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500" w:right="1520" w:hanging="290"/>
        <w:spacing w:after="0" w:line="335" w:lineRule="auto"/>
        <w:tabs>
          <w:tab w:leader="none" w:pos="5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640" w:right="1460" w:hanging="430"/>
        <w:spacing w:after="0" w:line="215"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14-1957288</w:t>
            </w:r>
          </w:p>
        </w:tc>
        <w:tc>
          <w:tcPr>
            <w:tcW w:w="0" w:type="dxa"/>
            <w:vAlign w:val="bottom"/>
          </w:tcPr>
          <w:p>
            <w:pPr>
              <w:spacing w:after="0"/>
              <w:rPr>
                <w:sz w:val="1"/>
                <w:szCs w:val="1"/>
                <w:color w:val="auto"/>
              </w:rPr>
            </w:pPr>
          </w:p>
        </w:tc>
      </w:tr>
      <w:tr>
        <w:trPr>
          <w:trHeight w:val="211"/>
        </w:trPr>
        <w:tc>
          <w:tcPr>
            <w:tcW w:w="7500" w:type="dxa"/>
            <w:vAlign w:val="bottom"/>
            <w:gridSpan w:val="5"/>
            <w:vMerge w:val="restart"/>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26"/>
        </w:trPr>
        <w:tc>
          <w:tcPr>
            <w:tcW w:w="7500" w:type="dxa"/>
            <w:vAlign w:val="bottom"/>
            <w:gridSpan w:val="5"/>
            <w:vMerge w:val="continue"/>
          </w:tcPr>
          <w:p>
            <w:pPr>
              <w:spacing w:after="0"/>
              <w:rPr>
                <w:sz w:val="10"/>
                <w:szCs w:val="10"/>
                <w:color w:val="auto"/>
              </w:rPr>
            </w:pPr>
          </w:p>
        </w:tc>
        <w:tc>
          <w:tcPr>
            <w:tcW w:w="3760" w:type="dxa"/>
            <w:vAlign w:val="bottom"/>
            <w:vMerge w:val="restart"/>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2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vMerge w:val="restart"/>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77024-4284</w:t>
            </w: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935-4800</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gridSpan w:val="5"/>
          </w:tcPr>
          <w:p>
            <w:pPr>
              <w:jc w:val="center"/>
              <w:ind w:left="3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4"/>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6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2025, the registrant had 40,402,879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and Description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2025 and December 31, 2024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for the Three-Month Periods Ended</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2025 and 2024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Three-Month Periods Ended March 31,</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2024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Ended March 31, 2025 and 2024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6. 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00" w:type="dxa"/>
            <w:vAlign w:val="bottom"/>
            <w:shd w:val="clear" w:color="auto" w:fill="CCEEFF"/>
          </w:tcPr>
          <w:p>
            <w:pPr>
              <w:spacing w:after="0"/>
              <w:rPr>
                <w:sz w:val="19"/>
                <w:szCs w:val="19"/>
                <w:color w:val="auto"/>
              </w:rPr>
            </w:pPr>
          </w:p>
        </w:tc>
      </w:tr>
      <w:tr>
        <w:trPr>
          <w:trHeight w:val="90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78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of $1,410,269 and $1,320,266,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1,397,508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$250</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37,519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$243, respectively)</w:t>
            </w:r>
          </w:p>
        </w:tc>
        <w:tc>
          <w:tcPr>
            <w:tcW w:w="16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308,042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1,993,390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1,870,820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417,542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902,970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857,876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126,439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90,566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86,698</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4,030,633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1,871,491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708,347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637,185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243,083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113,748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3,179,912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2,935,479</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40,402,879 and 40,127,908 shares issued</w:t>
            </w: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6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721,186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718,598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139,178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850,721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793,999</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4,030,633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300,366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264,968</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143,914</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277,092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gains and losses on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unrealized gains (losses) on investments, net of tax</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losses on securities no longer held, net of tax</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40,196,416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39,108,351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41,680,595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41,085,136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40,127,908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39,863,756</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131,271</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March 31</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40,402,879</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39,995,027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March 31</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718,598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721,186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711,309</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r>
      <w:tr>
        <w:trPr>
          <w:trHeight w:val="223"/>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15,076</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850,721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94,265</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fixed maturity securities, available-for-sale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equity method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direct and indirect loans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sales of fixed maturity securities, available-for-sale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calls, transfers and paydowns of fixed maturity securities, available-for-sale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calls and paydowns of fixed maturity securities held-to-maturity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sales of equity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of and distributions from equity method and other long-term investments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short-term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receivable/payable for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provided by deposit accounting</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investment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(69,866)</w:t>
            </w:r>
          </w:p>
        </w:tc>
        <w:tc>
          <w:tcPr>
            <w:tcW w:w="0" w:type="dxa"/>
            <w:vAlign w:val="bottom"/>
          </w:tcPr>
          <w:p>
            <w:pPr>
              <w:spacing w:after="0"/>
              <w:rPr>
                <w:sz w:val="1"/>
                <w:szCs w:val="1"/>
                <w:color w:val="auto"/>
              </w:rPr>
            </w:pPr>
          </w:p>
        </w:tc>
      </w:tr>
      <w:tr>
        <w:trPr>
          <w:trHeight w:val="19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stock notes receivable</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 term borrowings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 term borrowings and trust preferred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period</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5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 Basis of Presentation</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2024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2024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6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amortized cost and the fair value by investment category at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26,682</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490,850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85,831</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402,397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76,191</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315,557</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1,397,508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available-for-sale fixed maturity securities by contractual maturity at March 31,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316,122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312,529</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221,809</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42,664</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486,882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478,588</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313,118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315,557</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1,410,269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1,397,508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March 31, 2025 consisted entirely of asset backed securities that were not due at a single maturity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U.S. government agencies mortgage-backed fixed maturity securities, with a carrying value of approximately $68.1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assets with fair values of approximately $32.7 million pledged as collateral for the performance obligations under reinsurance agreements. In accordance with the terms of the trust agreements, the Company retains all rights regarding these securities, of which $28.2 million are residential mortgage-backed securities, $2.3 million of cash and cash equivalents and other assets and $2.2 million of short-term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March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(12,341)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25,644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101,504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300,497</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232,924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533,421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(30,078)</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571,031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480,693</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631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March 31, 2025 and determined that no credit impairment existed in the gross unrealized holding losses, due to the reasons discussed below:</w:t>
      </w:r>
    </w:p>
    <w:p>
      <w:pPr>
        <w:spacing w:after="0" w:line="70"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securities and municipal securities</w:t>
      </w:r>
      <w:r>
        <w:rPr>
          <w:rFonts w:ascii="Times New Roman" w:cs="Times New Roman" w:eastAsia="Times New Roman" w:hAnsi="Times New Roman"/>
          <w:sz w:val="18"/>
          <w:szCs w:val="18"/>
          <w:color w:val="auto"/>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securities and miscellaneous</w:t>
      </w:r>
      <w:r>
        <w:rPr>
          <w:rFonts w:ascii="Times New Roman" w:cs="Times New Roman" w:eastAsia="Times New Roman" w:hAnsi="Times New Roman"/>
          <w:sz w:val="18"/>
          <w:szCs w:val="18"/>
          <w:color w:val="auto"/>
        </w:rPr>
        <w:t>: Corporations in various industries issued these securities. The decline in fair values was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Residential mortgage-backed securities, commercial mortgage-backed securities, and other asset-backed securities</w:t>
      </w:r>
      <w:r>
        <w:rPr>
          <w:rFonts w:ascii="Times New Roman" w:cs="Times New Roman" w:eastAsia="Times New Roman" w:hAnsi="Times New Roman"/>
          <w:sz w:val="18"/>
          <w:szCs w:val="18"/>
          <w:color w:val="auto"/>
        </w:rPr>
        <w:t>: The decline in fair values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w:t>
            </w: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29"/>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6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2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0" w:type="dxa"/>
            <w:vAlign w:val="bottom"/>
          </w:tcPr>
          <w:p>
            <w:pPr>
              <w:spacing w:after="0"/>
              <w:rPr>
                <w:sz w:val="20"/>
                <w:szCs w:val="20"/>
                <w:color w:val="auto"/>
              </w:rPr>
            </w:pPr>
          </w:p>
        </w:tc>
      </w:tr>
      <w:tr>
        <w:trPr>
          <w:trHeight w:val="45"/>
        </w:trPr>
        <w:tc>
          <w:tcPr>
            <w:tcW w:w="20" w:type="dxa"/>
            <w:vAlign w:val="bottom"/>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88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8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320" w:type="dxa"/>
            <w:vAlign w:val="bottom"/>
            <w:tcBorders>
              <w:bottom w:val="single" w:sz="8" w:color="9A9A9A"/>
            </w:tcBorders>
          </w:tcPr>
          <w:p>
            <w:pPr>
              <w:spacing w:after="0"/>
              <w:rPr>
                <w:sz w:val="19"/>
                <w:szCs w:val="19"/>
                <w:color w:val="auto"/>
              </w:rPr>
            </w:pPr>
          </w:p>
        </w:tc>
        <w:tc>
          <w:tcPr>
            <w:tcW w:w="36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17,288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Indirect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18,297</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(losses) on the Company’s investment portfolio, net of deferred income taxes, included in other comprehensive loss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43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(7,989)</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1,663</w:t>
            </w:r>
          </w:p>
        </w:tc>
      </w:tr>
      <w:tr>
        <w:trPr>
          <w:trHeight w:val="248"/>
        </w:trPr>
        <w:tc>
          <w:tcPr>
            <w:tcW w:w="3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(6,326)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65"/>
        </w:trPr>
        <w:tc>
          <w:tcPr>
            <w:tcW w:w="3680" w:type="dxa"/>
            <w:vAlign w:val="bottom"/>
          </w:tcPr>
          <w:p>
            <w:pPr>
              <w:spacing w:after="0"/>
              <w:rPr>
                <w:sz w:val="24"/>
                <w:szCs w:val="24"/>
                <w:color w:val="auto"/>
              </w:rPr>
            </w:pPr>
          </w:p>
        </w:tc>
        <w:tc>
          <w:tcPr>
            <w:tcW w:w="43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3"/>
        </w:trPr>
        <w:tc>
          <w:tcPr>
            <w:tcW w:w="3680" w:type="dxa"/>
            <w:vAlign w:val="bottom"/>
            <w:tcBorders>
              <w:bottom w:val="single" w:sz="8" w:color="9A9A9A"/>
            </w:tcBorders>
          </w:tcPr>
          <w:p>
            <w:pPr>
              <w:spacing w:after="0"/>
              <w:rPr>
                <w:sz w:val="19"/>
                <w:szCs w:val="19"/>
                <w:color w:val="auto"/>
              </w:rPr>
            </w:pPr>
          </w:p>
        </w:tc>
        <w:tc>
          <w:tcPr>
            <w:tcW w:w="43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 for sale and equity securities classified as Level 3</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range of the discount rate as of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54"/>
        </w:trPr>
        <w:tc>
          <w:tcPr>
            <w:tcW w:w="68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March 31,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7.93 %</w:t>
            </w:r>
          </w:p>
        </w:tc>
      </w:tr>
      <w:tr>
        <w:trPr>
          <w:trHeight w:val="54"/>
        </w:trPr>
        <w:tc>
          <w:tcPr>
            <w:tcW w:w="68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RedBird Capital Partners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Included in other long-term investments is an investment in a limited partnership with RedBird Capital Partners, which invests in Bishop Street Underwriters, LLC (“Bishop Street”), a managing general agent (MGA). The investment had a fair value of $32.6 million at March 31, 2025, which was determined using the net asset value. The Company employs procedures to assess the reasonableness of the fair value of the investment including obtaining and reviewing the audited financial statements. The unfunded commitment related to the investment was $24.4 million at March 31, 2025.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26,682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26,682</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415,528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490,850</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85,831</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402,397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402,397</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76,191</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315,557</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26,682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1,287,369</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83,457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1,397,508</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64,215</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42,700</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106,915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108,075</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308,042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1,288,529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1,867,247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425,628</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292,191</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1,187,812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three months ended March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5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vMerge w:val="restart"/>
          </w:tcPr>
          <w:p>
            <w:pPr>
              <w:jc w:val="right"/>
              <w:ind w:right="510"/>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5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77,920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(10,417)</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w:t>
            </w:r>
          </w:p>
        </w:tc>
        <w:tc>
          <w:tcPr>
            <w:tcW w:w="200" w:type="dxa"/>
            <w:vAlign w:val="bottom"/>
            <w:shd w:val="clear" w:color="auto" w:fill="CCEEFF"/>
          </w:tcPr>
          <w:p>
            <w:pPr>
              <w:spacing w:after="0"/>
              <w:rPr>
                <w:sz w:val="15"/>
                <w:szCs w:val="15"/>
                <w:color w:val="auto"/>
              </w:rPr>
            </w:pP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83,457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attributable to the change in</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or losses relating to assets held as of period end</w:t>
            </w:r>
          </w:p>
        </w:tc>
        <w:tc>
          <w:tcPr>
            <w:tcW w:w="200" w:type="dxa"/>
            <w:vAlign w:val="bottom"/>
            <w:vMerge w:val="continue"/>
            <w:shd w:val="clear" w:color="auto" w:fill="CCEEFF"/>
          </w:tcPr>
          <w:p>
            <w:pPr>
              <w:spacing w:after="0"/>
              <w:rPr>
                <w:sz w:val="20"/>
                <w:szCs w:val="20"/>
                <w:color w:val="auto"/>
              </w:rPr>
            </w:pPr>
          </w:p>
        </w:tc>
        <w:tc>
          <w:tcPr>
            <w:tcW w:w="2160" w:type="dxa"/>
            <w:vAlign w:val="bottom"/>
            <w:gridSpan w:val="2"/>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5"/>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attributable to the change in unrealized gains or losses relating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48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as of period end</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March 31, 2025, the Company determined the fair value of these instruments using the income approach utilizing inputs that are unobservable (Level 3).</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the Unsecured Subordinated Notes, due May 24, 2039 and have a fixed interest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fair value of these instruments using the income approach utilizing inputs that are observable (Level 2).</w:t>
      </w:r>
    </w:p>
    <w:p>
      <w:pPr>
        <w:spacing w:after="0" w:line="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March 31,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March 31, 2025 and December 31, 2024,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mature in approximately 2 years to 4 years from loan origination and the principal amounts of the loans range between 64% to 65% of the property’s appraised value at the time the loans were made.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of the Company’s mortgage loans as of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23"/>
        </w:trPr>
        <w:tc>
          <w:tcPr>
            <w:tcW w:w="8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1"/>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3"/>
        </w:trPr>
        <w:tc>
          <w:tcPr>
            <w:tcW w:w="80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months ended March 31, 2025 and 2024, respectively.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2025 $4.5 million of mortgage loans were in the process of foreclosure and there were no mortgage loans that were not producing income for the previous 12 months. As of December 31, 2024, no mortgage loans were in the process of foreclosure and there were no mortgage loans that were not producing income for the previous 12 months.</w:t>
      </w:r>
    </w:p>
    <w:p>
      <w:pPr>
        <w:spacing w:after="0" w:line="6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and ownership percentage of the Company’s equity method investments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32,364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16,692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3"/>
        </w:trPr>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59,145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(loss) income from equity method investments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80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
        </w:trPr>
        <w:tc>
          <w:tcPr>
            <w:tcW w:w="8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8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4,422</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March 31,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16,125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held indirect investments in collateralized loans and loan collateral through SMA1 and SMA2.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March 31, 2025 and December 31, 2024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19,093</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through which it offers a broad array of commercial property and casualty products and solutions on a non-admitted (or E&amp;S) and admitted basis, predominantly in the United States. The segment is made up of nine distinct underwriting divisions, or “continuing business,” and has dedicated underwriting leadership supported by high-quality technical staff with deep experience in their respective niches.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1 “Summary of Significant Accounting Policies” of the Company’s Annual Report on Form 10-K for the year ended December 31, 2024. The CODM assesses performance for the segment and decides how to allocate resources based on gross written premiums by net underwriting division, underwriting income, and income before income taxes that also is reported on the condensed consolidated statements of operations as consolidated income before income taxes. The measure of segment assets is reported on the balance sheet as total consolidated assets.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written premiums by underwriting division, net underwriting income, and consolidated net income are used to monitor budget versus actual results. The chief operating decision maker also uses net underwriting income, annualized return on equity and growth in book value per share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40,901</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68,408</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74,222</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57,312</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42,239</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33,842</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continuing business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458,655</w:t>
            </w:r>
          </w:p>
        </w:tc>
      </w:tr>
      <w:tr>
        <w:trPr>
          <w:trHeight w:val="223"/>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Exited business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written premiums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535,326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458,620</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net underwriting income, significant segment expenses and a reconciliation of net underwriting income to net income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20" w:type="dxa"/>
            <w:vAlign w:val="bottom"/>
            <w:shd w:val="clear" w:color="auto" w:fill="CCEEFF"/>
          </w:tcPr>
          <w:p>
            <w:pPr>
              <w:spacing w:after="0"/>
              <w:rPr>
                <w:sz w:val="16"/>
                <w:szCs w:val="16"/>
                <w:color w:val="auto"/>
              </w:rPr>
            </w:pPr>
          </w:p>
        </w:tc>
        <w:tc>
          <w:tcPr>
            <w:tcW w:w="78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Underwriting income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24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300,366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236,342</w:t>
            </w:r>
          </w:p>
        </w:tc>
      </w:tr>
      <w:tr>
        <w:trPr>
          <w:trHeight w:val="229"/>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underwriting revenues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302,342</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238,368</w:t>
            </w:r>
          </w:p>
        </w:tc>
      </w:tr>
      <w:tr>
        <w:trPr>
          <w:trHeight w:val="209"/>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LAE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187,309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143,914</w:t>
            </w:r>
          </w:p>
        </w:tc>
      </w:tr>
      <w:tr>
        <w:trPr>
          <w:trHeight w:val="230"/>
        </w:trPr>
        <w:tc>
          <w:tcPr>
            <w:tcW w:w="20" w:type="dxa"/>
            <w:vAlign w:val="bottom"/>
          </w:tcPr>
          <w:p>
            <w:pPr>
              <w:spacing w:after="0"/>
              <w:rPr>
                <w:sz w:val="19"/>
                <w:szCs w:val="19"/>
                <w:color w:val="auto"/>
              </w:rPr>
            </w:pP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w:t>
            </w: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42,061</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37,797</w:t>
            </w:r>
          </w:p>
        </w:tc>
      </w:tr>
      <w:tr>
        <w:trPr>
          <w:trHeight w:val="223"/>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underwriting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273,860</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underwriting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Reconciliation of net underwriting income to net income:</w:t>
            </w:r>
          </w:p>
        </w:tc>
        <w:tc>
          <w:tcPr>
            <w:tcW w:w="3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underwriting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28,482</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8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30"/>
        </w:trPr>
        <w:tc>
          <w:tcPr>
            <w:tcW w:w="20" w:type="dxa"/>
            <w:vAlign w:val="bottom"/>
          </w:tcPr>
          <w:p>
            <w:pPr>
              <w:spacing w:after="0"/>
              <w:rPr>
                <w:sz w:val="19"/>
                <w:szCs w:val="19"/>
                <w:color w:val="auto"/>
              </w:rPr>
            </w:pP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3"/>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51,435</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46,977</w:t>
            </w:r>
          </w:p>
        </w:tc>
      </w:tr>
      <w:tr>
        <w:trPr>
          <w:trHeight w:val="223"/>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9,377</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annualized return on equity for the three months ended March 31, 2025 and 2024 and book value per share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960" w:type="dxa"/>
            <w:vAlign w:val="bottom"/>
            <w:tcBorders>
              <w:top w:val="single" w:sz="8" w:color="auto"/>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8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3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392"/>
        </w:trPr>
        <w:tc>
          <w:tcPr>
            <w:tcW w:w="3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per share</w:t>
            </w:r>
          </w:p>
        </w:tc>
        <w:tc>
          <w:tcPr>
            <w:tcW w:w="3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54"/>
        </w:trPr>
        <w:tc>
          <w:tcPr>
            <w:tcW w:w="380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884"/>
        </w:trPr>
        <w:tc>
          <w:tcPr>
            <w:tcW w:w="3800" w:type="dxa"/>
            <w:vAlign w:val="bottom"/>
          </w:tcPr>
          <w:p>
            <w:pPr>
              <w:spacing w:after="0"/>
              <w:rPr>
                <w:sz w:val="24"/>
                <w:szCs w:val="24"/>
                <w:color w:val="auto"/>
              </w:rPr>
            </w:pPr>
          </w:p>
        </w:tc>
        <w:tc>
          <w:tcPr>
            <w:tcW w:w="32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3"/>
        </w:trPr>
        <w:tc>
          <w:tcPr>
            <w:tcW w:w="3800" w:type="dxa"/>
            <w:vAlign w:val="bottom"/>
            <w:tcBorders>
              <w:bottom w:val="single" w:sz="8" w:color="9A9A9A"/>
            </w:tcBorders>
          </w:tcPr>
          <w:p>
            <w:pPr>
              <w:spacing w:after="0"/>
              <w:rPr>
                <w:sz w:val="19"/>
                <w:szCs w:val="19"/>
                <w:color w:val="auto"/>
              </w:rPr>
            </w:pPr>
          </w:p>
        </w:tc>
        <w:tc>
          <w:tcPr>
            <w:tcW w:w="32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8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8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income tax expense and effective tax rates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10,193</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45"/>
        </w:trPr>
        <w:tc>
          <w:tcPr>
            <w:tcW w:w="7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will differ from the statutory rate of 21 percent due to permanent differences for disallowed expenses for tax and beneficial adjustments for tax-exempt income, dividends-received deduction, non-deductible expenses and discrete items. The effective tax rate for the three months ended March 31, 2025 was impacted by certain discrete tax items, primarily tax benefits from stock-based compensation, which reduced the effective tax rate by 3.9%.</w:t>
      </w:r>
    </w:p>
    <w:p>
      <w:pPr>
        <w:spacing w:after="0" w:line="68"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condensed consolidated balance sheets as of and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7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2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859,017</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144,155</w:t>
            </w: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27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187,309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144,155</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r>
      <w:tr>
        <w:trPr>
          <w:trHeight w:val="230"/>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80,516</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92,321</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1,164,690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910,851</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2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706,801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466,095</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2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1,871,491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1,376,946</w:t>
            </w:r>
          </w:p>
        </w:tc>
      </w:tr>
      <w:tr>
        <w:trPr>
          <w:trHeight w:val="20"/>
        </w:trPr>
        <w:tc>
          <w:tcPr>
            <w:tcW w:w="5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85"/>
        </w:trPr>
        <w:tc>
          <w:tcPr>
            <w:tcW w:w="5260" w:type="dxa"/>
            <w:vAlign w:val="bottom"/>
          </w:tcPr>
          <w:p>
            <w:pPr>
              <w:spacing w:after="0"/>
              <w:rPr>
                <w:sz w:val="24"/>
                <w:szCs w:val="24"/>
                <w:color w:val="auto"/>
              </w:rPr>
            </w:pPr>
          </w:p>
        </w:tc>
        <w:tc>
          <w:tcPr>
            <w:tcW w:w="278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3"/>
        </w:trPr>
        <w:tc>
          <w:tcPr>
            <w:tcW w:w="5260" w:type="dxa"/>
            <w:vAlign w:val="bottom"/>
            <w:tcBorders>
              <w:bottom w:val="single" w:sz="8" w:color="9A9A9A"/>
            </w:tcBorders>
          </w:tcPr>
          <w:p>
            <w:pPr>
              <w:spacing w:after="0"/>
              <w:rPr>
                <w:sz w:val="19"/>
                <w:szCs w:val="19"/>
                <w:color w:val="auto"/>
              </w:rPr>
            </w:pPr>
          </w:p>
        </w:tc>
        <w:tc>
          <w:tcPr>
            <w:tcW w:w="27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contract assets from commission and fee income as of March 31, 2025 and December 31, 2024 were $1.9 million and $1.4 million, respectively.</w:t>
      </w:r>
    </w:p>
    <w:p>
      <w:pPr>
        <w:spacing w:after="0" w:line="50"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37,797</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86,551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three months ended March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top w:val="single" w:sz="8" w:color="auto"/>
              <w:bottom w:val="single" w:sz="8" w:color="auto"/>
            </w:tcBorders>
          </w:tcPr>
          <w:p>
            <w:pPr>
              <w:spacing w:after="0"/>
              <w:rPr>
                <w:sz w:val="21"/>
                <w:szCs w:val="2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408,310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385,438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327,172</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300" w:type="dxa"/>
            <w:vAlign w:val="bottom"/>
          </w:tcPr>
          <w:p>
            <w:pPr>
              <w:spacing w:after="0"/>
              <w:rPr>
                <w:sz w:val="19"/>
                <w:szCs w:val="19"/>
                <w:color w:val="auto"/>
              </w:rPr>
            </w:pPr>
          </w:p>
        </w:tc>
        <w:tc>
          <w:tcPr>
            <w:tcW w:w="10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127,016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62,186</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(192,055)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(153,016)</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343,271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236,342</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79"/>
        </w:trPr>
        <w:tc>
          <w:tcPr>
            <w:tcW w:w="55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55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706,801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670,846</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902,970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857,876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232,147</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203,901</w:t>
            </w:r>
          </w:p>
        </w:tc>
      </w:tr>
      <w:tr>
        <w:trPr>
          <w:trHeight w:val="21"/>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March 31, 2025, the market value of these accounts was approximately $212.8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March 31, 2025 and December 31, 2024 was $24.7 million and $25.9 million, respectively, and was included in other assets on the condensed consolidated balance sheets.</w:t>
      </w:r>
    </w:p>
    <w:p>
      <w:pPr>
        <w:spacing w:after="0" w:line="64"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compilation of basic and diluted net earnings per share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96"/>
        </w:trPr>
        <w:tc>
          <w:tcPr>
            <w:tcW w:w="80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42,058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36,784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40,196,416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39,108,351</w:t>
            </w:r>
          </w:p>
        </w:tc>
      </w:tr>
      <w:tr>
        <w:trPr>
          <w:trHeight w:val="270"/>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711,752</w:t>
            </w:r>
          </w:p>
        </w:tc>
      </w:tr>
      <w:tr>
        <w:trPr>
          <w:trHeight w:val="230"/>
        </w:trPr>
        <w:tc>
          <w:tcPr>
            <w:tcW w:w="8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1,004,585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935,890</w:t>
            </w:r>
          </w:p>
        </w:tc>
      </w:tr>
      <w:tr>
        <w:trPr>
          <w:trHeight w:val="230"/>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479,594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329,143</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41,680,595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41,085,136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45"/>
        </w:trPr>
        <w:tc>
          <w:tcPr>
            <w:tcW w:w="8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70,671</w:t>
            </w:r>
          </w:p>
        </w:tc>
      </w:tr>
      <w:tr>
        <w:trPr>
          <w:trHeight w:val="238"/>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2,512</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5"/>
        </w:trPr>
        <w:tc>
          <w:tcPr>
            <w:tcW w:w="80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866,428</w:t>
            </w:r>
          </w:p>
        </w:tc>
      </w:tr>
      <w:tr>
        <w:trPr>
          <w:trHeight w:val="196"/>
        </w:trPr>
        <w:tc>
          <w:tcPr>
            <w:tcW w:w="80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866,428</w:t>
            </w:r>
          </w:p>
        </w:tc>
      </w:tr>
      <w:tr>
        <w:trPr>
          <w:trHeight w:val="21"/>
        </w:trPr>
        <w:tc>
          <w:tcPr>
            <w:tcW w:w="8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three months ended March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45"/>
        </w:trPr>
        <w:tc>
          <w:tcPr>
            <w:tcW w:w="8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receivable as of March 31, 2025 and December 31, 2024 were $18.6 million and $12.6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three months ended March 31, 2025 were $0.2 million, compared to $2.0 million for the three months ended March 31, 2024.</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and 5 for investments involving affiliated companies and additional related party transactions.</w:t>
      </w:r>
    </w:p>
    <w:p>
      <w:pPr>
        <w:spacing w:after="0" w:line="113" w:lineRule="exact"/>
        <w:rPr>
          <w:sz w:val="20"/>
          <w:szCs w:val="20"/>
          <w:color w:val="auto"/>
        </w:rPr>
      </w:pPr>
    </w:p>
    <w:p>
      <w:pPr>
        <w:ind w:right="8280" w:firstLine="8"/>
        <w:spacing w:after="0" w:line="378" w:lineRule="auto"/>
        <w:tabs>
          <w:tab w:leader="none" w:pos="4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“first quarter” as used below refers to the three months ended March 31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Specialty are defined in the sections entitled “Select Insurance and Financial Terms” and “Key Operating and Financial Metrics” included in our 2024 Form 10-K for the year ended December 31, 2024 (the “2024 Form 10-K”).</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 certain forward-looking statements that are subject to risks, uncertainties and other factors described in “Risk Factors” in our 2024 Form 10-K. Our actual results could differ materially from those anticipated in these forward-looking statements as a result of many factors.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months ended March 31, 2025 are not necessarily indicative of the results that may be expected for the full year ended December 31, 2025,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2024 Form 10-K.</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the Company updated its underwriting divisions to align with how management currently oversees the business, allocates resources and evaluates operating performance. The Company added a ninth division, Agriculture and Credit (Re)insurance, which includes the Global Agriculture unit, previously reported with Global Property, and the Mortgage and Credit units, and focuses on specialty classes for which reinsurance provides a more attractive market entry. The Industry Solutions division is now the Construction &amp; Energy Solutions division and the Inland Marine unit is now included in the Transactional E&amp;S division. Programs is now Specialty Programs. Prior reporting periods have been conformed to reflect the new presentation.</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with stable outlook from the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Company.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535,326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458,620</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(192,055)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(171,520)</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343,271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287,100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300,366</w:t>
            </w:r>
          </w:p>
        </w:tc>
        <w:tc>
          <w:tcPr>
            <w:tcW w:w="10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236,342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187,309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143,914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86,551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69,774</w:t>
            </w:r>
          </w:p>
        </w:tc>
        <w:tc>
          <w:tcPr>
            <w:tcW w:w="0" w:type="dxa"/>
            <w:vAlign w:val="bottom"/>
          </w:tcPr>
          <w:p>
            <w:pPr>
              <w:spacing w:after="0"/>
              <w:rPr>
                <w:sz w:val="1"/>
                <w:szCs w:val="1"/>
                <w:color w:val="auto"/>
              </w:rPr>
            </w:pPr>
          </w:p>
        </w:tc>
      </w:tr>
      <w:tr>
        <w:trPr>
          <w:trHeight w:val="223"/>
        </w:trPr>
        <w:tc>
          <w:tcPr>
            <w:tcW w:w="704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28,482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24,680</w:t>
            </w:r>
          </w:p>
        </w:tc>
        <w:tc>
          <w:tcPr>
            <w:tcW w:w="0" w:type="dxa"/>
            <w:vAlign w:val="bottom"/>
          </w:tcPr>
          <w:p>
            <w:pPr>
              <w:spacing w:after="0"/>
              <w:rPr>
                <w:sz w:val="1"/>
                <w:szCs w:val="1"/>
                <w:color w:val="auto"/>
              </w:rPr>
            </w:pPr>
          </w:p>
        </w:tc>
      </w:tr>
      <w:tr>
        <w:trPr>
          <w:trHeight w:val="34"/>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19,331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51,435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46,977</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42,058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36,784</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37,321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31,024</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28.1 %</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21"/>
        </w:trPr>
        <w:tc>
          <w:tcPr>
            <w:tcW w:w="70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2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90.5 %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89.6 %</w:t>
            </w:r>
          </w:p>
        </w:tc>
      </w:tr>
      <w:tr>
        <w:trPr>
          <w:trHeight w:val="21"/>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20.5 %</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0"/>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return on tangible equity</w:t>
            </w:r>
            <w:r>
              <w:rPr>
                <w:rFonts w:ascii="Times New Roman" w:cs="Times New Roman" w:eastAsia="Times New Roman" w:hAnsi="Times New Roman"/>
                <w:sz w:val="23"/>
                <w:szCs w:val="23"/>
                <w:color w:val="auto"/>
                <w:vertAlign w:val="superscript"/>
              </w:rPr>
              <w:t>(1)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29"/>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adjusted return on equity</w:t>
            </w:r>
            <w:r>
              <w:rPr>
                <w:rFonts w:ascii="Times New Roman" w:cs="Times New Roman" w:eastAsia="Times New Roman" w:hAnsi="Times New Roman"/>
                <w:sz w:val="23"/>
                <w:szCs w:val="23"/>
                <w:color w:val="auto"/>
                <w:vertAlign w:val="superscript"/>
              </w:rPr>
              <w:t>(1)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8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r>
              <w:rPr>
                <w:rFonts w:ascii="Times New Roman" w:cs="Times New Roman" w:eastAsia="Times New Roman" w:hAnsi="Times New Roman"/>
                <w:sz w:val="23"/>
                <w:szCs w:val="23"/>
                <w:color w:val="auto"/>
                <w:vertAlign w:val="superscript"/>
              </w:rPr>
              <w:t>(1)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20.3 %</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bl>
    <w:p>
      <w:pPr>
        <w:ind w:left="180" w:hanging="141"/>
        <w:spacing w:after="0" w:line="210" w:lineRule="auto"/>
        <w:tabs>
          <w:tab w:leader="none" w:pos="180" w:val="left"/>
        </w:tabs>
        <w:numPr>
          <w:ilvl w:val="0"/>
          <w:numId w:val="35"/>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5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Pre-tax</w:t>
            </w:r>
          </w:p>
        </w:tc>
        <w:tc>
          <w:tcPr>
            <w:tcW w:w="18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After-tax</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2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After-tax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55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expense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46,977</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2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r>
      <w:tr>
        <w:trPr>
          <w:trHeight w:val="22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1"/>
        </w:trPr>
        <w:tc>
          <w:tcPr>
            <w:tcW w:w="7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for the periods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850,721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692,272</w:t>
            </w:r>
          </w:p>
        </w:tc>
      </w:tr>
      <w:tr>
        <w:trPr>
          <w:trHeight w:val="230"/>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88,137</w:t>
            </w:r>
          </w:p>
        </w:tc>
      </w:tr>
      <w:tr>
        <w:trPr>
          <w:trHeight w:val="248"/>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763,632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604,135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annualized adjusted return on equity to annualized return on equity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149,284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123,896</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822,360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676,652</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54"/>
        </w:trPr>
        <w:tc>
          <w:tcPr>
            <w:tcW w:w="7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Annualized return on tangible equity for the three months ended March 31, 2025 and 2024 reconciles to annualized return on equity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net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168,232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147,136</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735,142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588,366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tangible equity</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54"/>
        </w:trPr>
        <w:tc>
          <w:tcPr>
            <w:tcW w:w="7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Tangible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Annualized adjusted return on tangible equity for the three months ended March 31, 2025 and 2024 reconciles to annualized return on equity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4"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149,284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123,896</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735,142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588,366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54"/>
        </w:trPr>
        <w:tc>
          <w:tcPr>
            <w:tcW w:w="7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three months ended March 31,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480" w:type="dxa"/>
            <w:vAlign w:val="bottom"/>
            <w:tcBorders>
              <w:top w:val="single" w:sz="8" w:color="auto"/>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Programs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6"/>
        </w:trPr>
        <w:tc>
          <w:tcPr>
            <w:tcW w:w="58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535,319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458,655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76,664</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gross written premiums for the first quarter of 2025, when compared to the same 2024 period, was driven by double-digit premium growth primarily from the agriculture and credit (re)insurance, accident &amp; health and specialty programs divisions, partially offset by a decrease in gross written premiums in the global property division.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written premiums for the first quarter of 2025 were $343.3 million, an increase of $56.2 million or 19.6%, when compared to $287.1 million for the same 2024 period. The increase in net written premiums was primarily driven by the same reasons that drove the increases in gross written premiums discussed above.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earned premiums for the first quarter of 2025 were $300.4 million, an increase of $64.1 million or 27.1% when compared to $236.3 million for the same 2024 period. The increase in net earned premiums was primarily driven by the same reasons that drove the increases in gross written premiums discussed above.</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reinsurance programs, see the “Reinsurance” discussion included in this Item 2</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Losses and LAE: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Non-cat loss and LAE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117" w:lineRule="exact"/>
        <w:rPr>
          <w:sz w:val="20"/>
          <w:szCs w:val="20"/>
          <w:color w:val="auto"/>
        </w:rPr>
      </w:pPr>
    </w:p>
    <w:p>
      <w:pPr>
        <w:ind w:left="20" w:right="800" w:firstLine="108"/>
        <w:spacing w:after="0" w:line="315" w:lineRule="auto"/>
        <w:rPr>
          <w:sz w:val="20"/>
          <w:szCs w:val="20"/>
          <w:color w:val="auto"/>
        </w:rPr>
      </w:pPr>
      <w:r>
        <w:rPr>
          <w:rFonts w:ascii="Times New Roman" w:cs="Times New Roman" w:eastAsia="Times New Roman" w:hAnsi="Times New Roman"/>
          <w:sz w:val="18"/>
          <w:szCs w:val="18"/>
          <w:color w:val="auto"/>
        </w:rPr>
        <w:t>Prior accident year development - LPT Total losses and LAE</w:t>
      </w:r>
    </w:p>
    <w:p>
      <w:pPr>
        <w:ind w:left="160" w:hanging="134"/>
        <w:spacing w:after="0" w:line="238" w:lineRule="auto"/>
        <w:tabs>
          <w:tab w:leader="none" w:pos="160" w:val="left"/>
        </w:tabs>
        <w:numPr>
          <w:ilvl w:val="0"/>
          <w:numId w:val="36"/>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8"/>
                <w:szCs w:val="18"/>
                <w:color w:val="auto"/>
              </w:rPr>
              <w:t>Losses</w:t>
            </w:r>
          </w:p>
        </w:tc>
        <w:tc>
          <w:tcPr>
            <w:tcW w:w="13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38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Premiums</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and LAE</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52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180,809</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60.2 %</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6"/>
        </w:trPr>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187,309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62.4 %</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143,914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-925195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-582295</wp:posOffset>
            </wp:positionV>
            <wp:extent cx="713232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-170815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163195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5" w:lineRule="exact"/>
        <w:rPr>
          <w:sz w:val="20"/>
          <w:szCs w:val="20"/>
          <w:color w:val="auto"/>
        </w:rPr>
      </w:pPr>
    </w:p>
    <w:p>
      <w:pPr>
        <w:sectPr>
          <w:pgSz w:w="11900" w:h="16838" w:orient="portrait"/>
          <w:cols w:equalWidth="0" w:num="2">
            <w:col w:w="3740" w:space="720"/>
            <w:col w:w="6780"/>
          </w:cols>
          <w:pgMar w:left="320" w:top="135" w:right="339" w:bottom="1440" w:gutter="0" w:footer="0" w:header="0"/>
          <w:type w:val="continuous"/>
        </w:sectPr>
      </w:pPr>
    </w:p>
    <w:p>
      <w:pPr>
        <w:spacing w:after="0" w:line="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loss ratio for the first quarter of 2025 increased 1.5 points when compared to the same 2024 period, due to higher catastrophe losses, primarily from convective storms in the Midwest and the California wildfires. The improvement in the non-catastrophe loss and LAE ratio for the first quarter of 2025 when compared to the same 2024 period, was driven by the business mix shift.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44,490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31,977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42,061</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37,797</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86,551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69,774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(1,976)</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5"/>
              </w:rPr>
              <w:t>(2,026)</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84,575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67,748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expense ratio for the first quarter improved 0.6 points when compared to the same 2024 period primarily due to earnings leverage partially offset by higher acquisition costs due to the business mix shift.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the first quarters of 2025 and 2024 exclude the impact of IPO related stock compensation and secondary offering expenses, which are reported in other expenses in our condensed consolidated statements of operations and comprehensive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1"/>
        </w:trPr>
        <w:tc>
          <w:tcPr>
            <w:tcW w:w="798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19,331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gains on securities still held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5,491</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gains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income for the first quarter of 2025 increased $1.0 million when compared to the same 2024 period.</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income from our fixed income portfolio for the first quarter of 2025, when compared to the same 2024 period, was due to (i) a larger asset base as we continued to increase our allocation to this part of our investment portfolio and (ii) a higher book yield of 5.2% at March 31, 2025 compared to 4.7% at March 31, 2024. The decrease in income from short-term investments for the first quarter of 2025 when compared to the same 2024 period, was due to a lower book yield. The losses from alternative and strategic investments for the first quarter of 2025 was driven by the decline in the fair value of limited partnership investments.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March 31, 2025 and determined that no credit impairment existed in the gross unrealized holding losses. See Note 2, “Investments” to our condensed consolidated financial statements included in Item 1 of this Form 10-Q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9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2,106,306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1,992,423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9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490,850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402,397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1,397,508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 by Standard &amp; Poor’s Financial Services, LLC (“Standard &amp; Poor’s”) at March 31, 2025 and “AA-” at December 31, 2024. The following table sets forth the credit quality of our available-for-sale fixed income portfolio at March 31, 2025 and December 31, 2024, as rated by Standard &amp; Poor’s or equivalent designation: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479,479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483,099</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158,996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1,397,508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average duration of our fixed income portfolio was approximately 4.29 years and 4.34 years, respectively, as of March 31, 2025 and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100.0% of which are publicly traded.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March 31, 2025 was $9.4 million compared to $10.2 million for the same 2024 period. Our effective tax rate for the three months ended March 31, 2025 was 18.2%, compared to 21.7% for the same 2024 period. The effective tax rate for the three months ended March 31, 2025 was impacted by certain discrete tax items, primarily tax benefits from stock-based compensation, which reduced the effective tax rate by 3.9%. For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see Note 7 of our condensed consolidated financial statements included in Item 1 of this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for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96,760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94,265</w:t>
            </w:r>
          </w:p>
        </w:tc>
        <w:tc>
          <w:tcPr>
            <w:tcW w:w="100" w:type="dxa"/>
            <w:vAlign w:val="bottom"/>
          </w:tcPr>
          <w:p>
            <w:pPr>
              <w:spacing w:after="0"/>
              <w:rPr>
                <w:sz w:val="19"/>
                <w:szCs w:val="19"/>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(69,866)</w:t>
            </w:r>
          </w:p>
        </w:tc>
        <w:tc>
          <w:tcPr>
            <w:tcW w:w="100" w:type="dxa"/>
            <w:vAlign w:val="bottom"/>
            <w:shd w:val="clear" w:color="auto" w:fill="CCEEFF"/>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tcPr>
          <w:p>
            <w:pPr>
              <w:spacing w:after="0"/>
              <w:rPr>
                <w:sz w:val="19"/>
                <w:szCs w:val="19"/>
                <w:color w:val="auto"/>
              </w:rPr>
            </w:pPr>
          </w:p>
        </w:tc>
      </w:tr>
      <w:tr>
        <w:trPr>
          <w:trHeight w:val="248"/>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2025 when compared to 2024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2025 and 2024 were primarily driven by purchases of fixed maturity securities and short-term investments. Net cash used in financing activities in 2024 was driven by net payments on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the redemption of the March 15, 2024 draw on the Revolving Credit Facility and redeemed $7.0 million of the March 29, 2023 draw on the Revolving Credit Facility (see “Revolving Credit Facility” below for additional information regarding the redemption).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provides us with up to a $150.0 million revolving credit facility and a letter of credit sub-facility of up to $30.0 million.</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30, 2024, we fully redeemed the March 15, 2024 draw on the Revolving Credit Facility and redeemed $7.0 million of the March 29, 2023 draw on the Revolving Credit Facility. As of March 31, 2025, we had $43.0 million outstanding under the Revolving Credit Facility with another $107.0 million of undrawn capacity.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At March 31, 2025, the six-month SOFR on the Revolving Credit Facility was 4.22%,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March 31, 2025,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2025 the ratio of total debt outstanding, including the FHLB Loan, the Revolving Credit Facility and the Notes, to total capitalization (defined as total debt plus stockholders’ equity) was 12.3% and at December 31, 2024, the ratio of total debt outstanding, including the Term Loan, the Revolver, the Trust Preferred and the Notes, to total capitalization was 13.1%.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March 31, 2025, no shares had been repurchased under this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April.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net retention on a written basis (calculated as net written premiums as a percentage of gross written premiums) was 64.1%, compared to 62.6% for the same 2024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March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Ocean Marine</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$5.19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 million per occurrence</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 million per occurrence</w:t>
            </w:r>
          </w:p>
        </w:tc>
      </w:tr>
      <w:tr>
        <w:trPr>
          <w:trHeight w:val="281"/>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 million per occurrence</w:t>
            </w:r>
          </w:p>
        </w:tc>
      </w:tr>
    </w:tbl>
    <w:p>
      <w:pPr>
        <w:ind w:left="180" w:hanging="154"/>
        <w:spacing w:after="0" w:line="199" w:lineRule="auto"/>
        <w:tabs>
          <w:tab w:leader="none" w:pos="18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Strength Ratings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2024, A.M. Best upgraded Skyward Specialty’s financial strength rating to A (Excellent) from A- (Excellent) and revised the outlook to stable from positive.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within Item 9A. Controls and Procedures of our 2024 Form 10-K, management concluded that a material weakness existed related to the ineffective implementation of information technology general controls (“ITGCs”) in the area of user access for systems that support the Company’s financial reporting processes as well as the related process-level IT dependent manual and automated controls that rely upon the affected ITGCs, or information coming from IT systems with affected ITGCs. As part of our efforts to remediate the material weakness, new controls and procedures have been designed and are in process of being implemented as previously disclosed within Item 9A. Controls and Procedures of our 2024 Form 10-K. Therefore, our CEO and CFO concluded that, as of March 31, 2025, our disclosure controls and procedures were not effective. Despite the foregoing, our CEO and CFO have certified that, based on their knowledge, the financial statements, and other financial information included in this Form 10-Q, fairly present in all material respects our financial condition, results of operations and cash flows as of, and for, the periods presented in this Form 10-Q.</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Activities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the oversight of the Audit Committee, our management has implemented, and is in process of implementing, additional measures to improve our internal control over ITGCs to remediate the material weakness identified above, including (i) conducting a thorough review of existing ITGCs to identify areas of weakness, (ii) enhancing access controls, (iii) strengthening system access procedures and (iv) providing regular training and awareness programs for employees to ensure they understand ITGC policies and procedures and adhere to best practices for maintaining data integrity and security. We are committed to continuing to improve our ITGCs.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identified material weakness, or to avoid potential future material weaknesses or significant deficiencies. While we believe our efforts have improved our internal control over ITGCs, remediation of the material weakness will require further validation and testing of the design and operating effectiveness of internal controls over a sustained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20"/>
        <w:spacing w:after="0" w:line="375" w:lineRule="auto"/>
        <w:rPr>
          <w:sz w:val="20"/>
          <w:szCs w:val="20"/>
          <w:color w:val="auto"/>
        </w:rPr>
      </w:pPr>
      <w:r>
        <w:rPr>
          <w:rFonts w:ascii="Times New Roman" w:cs="Times New Roman" w:eastAsia="Times New Roman" w:hAnsi="Times New Roman"/>
          <w:sz w:val="18"/>
          <w:szCs w:val="18"/>
          <w:color w:val="auto"/>
        </w:rPr>
        <w:t xml:space="preserve">of financial reporting cycles. We have invested, and expect to continue to invest, significant resources to improve our ITGCs. </w:t>
      </w: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ongoing remediation efforts relating to the material weaknesses identified above, there has been no change in our internal control over financial reporting identified in connection with the evaluation required by Rule 13a-15(d) and 15d-15(d) of the Exchange Act that occurred during the year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risks and uncertainties described under the heading “Risk Factors” in Part I, Item 1A of our Annual Report on Form 10-K for the year ended December 31, 2024 (our “2024 Form 10-K”), as supplemented by the below risk factor update. The below risk factor updates the risk factor captioned “Security breaches, loss of data, cyberattacks, and other information technology failures could disrupt our operations, damage our reputation, and adversely affect our business, operations, and financial results.” in our 2024 Form 10-K. There have been no other material changes in our risk factors in the quarter ended March 31, 2025 from those disclosed in our 2024 Form 10-K.</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cyberattacks, and other information technology failures could disrupt our operations, damage our reputation, and adversely affect our business, operations, and financial results.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and claims systems. We rely on these systems to interact with brokers and insureds, to underwrite business, to prepare policies and process premiums, to perform actuarial and other modeling functions, to process claims and make claims payments, and to prepare internal and external financial statements. Some of these systems may include or rely on third-party systems not located on our premises or under our control. Events such as natural catastrophes, terrorist attacks, industrial accidents, computer viruses and other cyber-attacks may cause our systems to fail or be inaccessible for extended periods of time. While we have implemented business contingency plans and other reasonable plans to protect our systems, whether housed internally or through third-party cloud services,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Computer viruses, hackers, employee misconduct, and other external hazards could expose our systems to security breaches, cyber-attacks or other disruptions. While we have implemented security measures designed to protect against breaches of security and other interference with our systems and networks, our systems and networks may be subject to breaches or interference and we, and our third-party service providers, will likely continue to experience cybersecurity incidents of varying degrees. For instance, we recently experienced a data incident in which attackers acquired certain of our data. We currently believe the breach is immaterial in nature, but we are continuing to investigate. At this time, there is no evidence that a nation-state actor or global hacker was involved or that there has been any misuse of this information. In the event that our investigation results in more significant exposure than we currently believe, our business may be adversely impacted. Any such event may result in operational disruptions as well as unauthorized access to, the disclosure of,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or other damage to our business. In addition, SEC and state law requirements regarding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 parties to whom we outsource certain of our functions are also subject to these risks. While we review and assess our third-party providers’ cybersecurity controls, as appropriate, and make changes to our business processes to manage these risks, we cannot ensure that our attempts to keep systems from being compromised and confidential information from being disclosed will always be successful. Moreover, our increased use of third-party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our data centers.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certain of our executives entered into or amended existing written plans during an open insider trading window for the purchase or sale of our securities that are intended to satisfy the affirmative defense of Rule 10b5-1(c) under the Exchange Act and our policies regarding transactions in our securities.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6, 2025, Andrew Robinson, Chief Executive Officer, modified his Rule 10b5-1 Trading Arrangement, originally adopted on September 10, 2024, to change the start date of the second tranche from May 9, 2025 to June 6, 2025. The modified plan provides for the sale of up to an aggregate of 36,271 shares of our common stock that remain available for sell.</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12, 2025, Mark Haushill entered into a new Rule 10b5-1 Trading Arrangement. The material terms of these trading plans are set forth in the table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0" w:type="dxa"/>
            <w:vAlign w:val="bottom"/>
            <w:tcBorders>
              <w:top w:val="single" w:sz="8" w:color="auto"/>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Disclosure</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9"/>
              </w:rPr>
              <w:t>Nature of Trading</w:t>
            </w:r>
          </w:p>
        </w:tc>
        <w:tc>
          <w:tcPr>
            <w:tcW w:w="178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Duration of Trading</w:t>
            </w:r>
          </w:p>
        </w:tc>
        <w:tc>
          <w:tcPr>
            <w:tcW w:w="1400" w:type="dxa"/>
            <w:vAlign w:val="bottom"/>
            <w:tcBorders>
              <w:top w:val="single" w:sz="8" w:color="auto"/>
            </w:tcBorders>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76"/>
        </w:trPr>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(Title)</w:t>
            </w:r>
          </w:p>
        </w:tc>
        <w:tc>
          <w:tcPr>
            <w:tcW w:w="8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40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Events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jc w:val="center"/>
              <w:ind w:right="368"/>
              <w:spacing w:after="0"/>
              <w:rPr>
                <w:sz w:val="20"/>
                <w:szCs w:val="20"/>
                <w:color w:val="auto"/>
              </w:rPr>
            </w:pPr>
            <w:r>
              <w:rPr>
                <w:rFonts w:ascii="Times New Roman" w:cs="Times New Roman" w:eastAsia="Times New Roman" w:hAnsi="Times New Roman"/>
                <w:sz w:val="18"/>
                <w:szCs w:val="18"/>
                <w:color w:val="auto"/>
                <w:w w:val="99"/>
              </w:rPr>
              <w:t>Date of Adoption</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Arrangement</w:t>
            </w: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169"/>
        </w:trPr>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Robinson (</w:t>
            </w:r>
            <w:r>
              <w:rPr>
                <w:rFonts w:ascii="Times New Roman" w:cs="Times New Roman" w:eastAsia="Times New Roman" w:hAnsi="Times New Roman"/>
                <w:sz w:val="18"/>
                <w:szCs w:val="18"/>
                <w:i w:val="1"/>
                <w:iCs w:val="1"/>
                <w:color w:val="auto"/>
              </w:rPr>
              <w:t>Chief</w:t>
            </w:r>
          </w:p>
        </w:tc>
        <w:tc>
          <w:tcPr>
            <w:tcW w:w="2400" w:type="dxa"/>
            <w:vAlign w:val="bottom"/>
            <w:gridSpan w:val="3"/>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10, 2024; Amended</w:t>
            </w:r>
          </w:p>
        </w:tc>
        <w:tc>
          <w:tcPr>
            <w:tcW w:w="100" w:type="dxa"/>
            <w:vAlign w:val="bottom"/>
            <w:shd w:val="clear" w:color="auto" w:fill="CCEEFF"/>
          </w:tcPr>
          <w:p>
            <w:pPr>
              <w:spacing w:after="0"/>
              <w:rPr>
                <w:sz w:val="14"/>
                <w:szCs w:val="14"/>
                <w:color w:val="auto"/>
              </w:rPr>
            </w:pPr>
          </w:p>
        </w:tc>
        <w:tc>
          <w:tcPr>
            <w:tcW w:w="21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w:t>
            </w: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7"/>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Up to 60,358</w:t>
            </w: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0" w:type="dxa"/>
            <w:vAlign w:val="bottom"/>
            <w:gridSpan w:val="5"/>
            <w:vMerge w:val="continue"/>
            <w:shd w:val="clear" w:color="auto" w:fill="CCEEFF"/>
          </w:tcPr>
          <w:p>
            <w:pPr>
              <w:spacing w:after="0"/>
              <w:rPr>
                <w:sz w:val="15"/>
                <w:szCs w:val="15"/>
                <w:color w:val="auto"/>
              </w:rPr>
            </w:pPr>
          </w:p>
        </w:tc>
        <w:tc>
          <w:tcPr>
            <w:tcW w:w="2500" w:type="dxa"/>
            <w:vAlign w:val="bottom"/>
            <w:gridSpan w:val="4"/>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second order of plan on March</w:t>
            </w:r>
          </w:p>
        </w:tc>
        <w:tc>
          <w:tcPr>
            <w:tcW w:w="2160" w:type="dxa"/>
            <w:vAlign w:val="bottom"/>
            <w:gridSpan w:val="4"/>
            <w:vMerge w:val="continue"/>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gridSpan w:val="7"/>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7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6, 2025</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1/2/2025 – 6/30/2025</w:t>
            </w:r>
          </w:p>
        </w:tc>
        <w:tc>
          <w:tcPr>
            <w:tcW w:w="380" w:type="dxa"/>
            <w:vAlign w:val="bottom"/>
            <w:shd w:val="clear" w:color="auto" w:fill="CCEEFF"/>
          </w:tcPr>
          <w:p>
            <w:pPr>
              <w:spacing w:after="0"/>
              <w:rPr>
                <w:sz w:val="21"/>
                <w:szCs w:val="21"/>
                <w:color w:val="auto"/>
              </w:rPr>
            </w:pPr>
          </w:p>
        </w:tc>
        <w:tc>
          <w:tcPr>
            <w:tcW w:w="1020" w:type="dxa"/>
            <w:vAlign w:val="bottom"/>
            <w:gridSpan w:val="6"/>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7"/>
              </w:rPr>
              <w:t>shares</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Mark Haushill </w:t>
            </w:r>
            <w:r>
              <w:rPr>
                <w:rFonts w:ascii="Times New Roman" w:cs="Times New Roman" w:eastAsia="Times New Roman" w:hAnsi="Times New Roman"/>
                <w:sz w:val="18"/>
                <w:szCs w:val="18"/>
                <w:i w:val="1"/>
                <w:iCs w:val="1"/>
                <w:color w:val="auto"/>
              </w:rPr>
              <w:t>(Chief</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Rule 10b5-1(c) Trading</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75,000</w:t>
            </w:r>
          </w:p>
        </w:tc>
        <w:tc>
          <w:tcPr>
            <w:tcW w:w="0" w:type="dxa"/>
            <w:vAlign w:val="bottom"/>
          </w:tcPr>
          <w:p>
            <w:pPr>
              <w:spacing w:after="0"/>
              <w:rPr>
                <w:sz w:val="1"/>
                <w:szCs w:val="1"/>
                <w:color w:val="auto"/>
              </w:rPr>
            </w:pPr>
          </w:p>
        </w:tc>
      </w:tr>
      <w:tr>
        <w:trPr>
          <w:trHeight w:val="24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460" w:type="dxa"/>
            <w:vAlign w:val="bottom"/>
          </w:tcPr>
          <w:p>
            <w:pPr>
              <w:spacing w:after="0"/>
              <w:rPr>
                <w:sz w:val="21"/>
                <w:szCs w:val="21"/>
                <w:color w:val="auto"/>
              </w:rPr>
            </w:pPr>
          </w:p>
        </w:tc>
        <w:tc>
          <w:tcPr>
            <w:tcW w:w="20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March 12, 2025</w:t>
            </w: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6/13/2025 – 3/31/2026</w:t>
            </w:r>
          </w:p>
        </w:tc>
        <w:tc>
          <w:tcPr>
            <w:tcW w:w="380" w:type="dxa"/>
            <w:vAlign w:val="bottom"/>
          </w:tcPr>
          <w:p>
            <w:pPr>
              <w:spacing w:after="0"/>
              <w:rPr>
                <w:sz w:val="21"/>
                <w:szCs w:val="21"/>
                <w:color w:val="auto"/>
              </w:rPr>
            </w:pPr>
          </w:p>
        </w:tc>
        <w:tc>
          <w:tcPr>
            <w:tcW w:w="10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7"/>
              </w:rPr>
              <w:t>shares</w:t>
            </w:r>
          </w:p>
        </w:tc>
        <w:tc>
          <w:tcPr>
            <w:tcW w:w="0" w:type="dxa"/>
            <w:vAlign w:val="bottom"/>
          </w:tcPr>
          <w:p>
            <w:pPr>
              <w:spacing w:after="0"/>
              <w:rPr>
                <w:sz w:val="1"/>
                <w:szCs w:val="1"/>
                <w:color w:val="auto"/>
              </w:rPr>
            </w:pPr>
          </w:p>
        </w:tc>
      </w:tr>
      <w:tr>
        <w:trPr>
          <w:trHeight w:val="54"/>
        </w:trPr>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 Exhibits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200" w:type="dxa"/>
            <w:vAlign w:val="bottom"/>
            <w:gridSpan w:val="3"/>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80" w:type="dxa"/>
            <w:vAlign w:val="bottom"/>
            <w:gridSpan w:val="6"/>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gridSpan w:val="6"/>
            <w:vMerge w:val="continue"/>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20"/>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9"/>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tcBorders>
              <w:top w:val="single" w:sz="8" w:color="0000FF"/>
            </w:tcBorders>
            <w:gridSpan w:val="7"/>
          </w:tcPr>
          <w:p>
            <w:pPr>
              <w:spacing w:after="0" w:line="129" w:lineRule="exact"/>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8-K filed with the Commission on January 18, 2023).</w:t>
              </w:r>
            </w:hyperlink>
          </w:p>
        </w:tc>
        <w:tc>
          <w:tcPr>
            <w:tcW w:w="36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0"/>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3"/>
                <w:szCs w:val="13"/>
                <w:color w:val="0000FF"/>
              </w:rPr>
            </w:pPr>
            <w:hyperlink r:id="rId96">
              <w:r>
                <w:rPr>
                  <w:rFonts w:ascii="Times New Roman" w:cs="Times New Roman" w:eastAsia="Times New Roman" w:hAnsi="Times New Roman"/>
                  <w:sz w:val="13"/>
                  <w:szCs w:val="13"/>
                  <w:color w:val="0000FF"/>
                </w:rPr>
                <w:t>Commission on January 18, 2023).</w:t>
              </w:r>
            </w:hyperlink>
          </w:p>
        </w:tc>
        <w:tc>
          <w:tcPr>
            <w:tcW w:w="2040" w:type="dxa"/>
            <w:vAlign w:val="bottom"/>
            <w:tcBorders>
              <w:top w:val="single" w:sz="8" w:color="0000FF"/>
            </w:tcBorders>
            <w:gridSpan w:val="3"/>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0"/>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1800" w:type="dxa"/>
            <w:vAlign w:val="bottom"/>
            <w:tcBorders>
              <w:top w:val="single" w:sz="8" w:color="0000FF"/>
            </w:tcBorders>
            <w:gridSpan w:val="3"/>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Sarbanes-Oxley Act of 2002.</w:t>
            </w:r>
          </w:p>
        </w:tc>
        <w:tc>
          <w:tcPr>
            <w:tcW w:w="960" w:type="dxa"/>
            <w:vAlign w:val="bottom"/>
            <w:tcBorders>
              <w:top w:val="single" w:sz="8" w:color="0000FF"/>
            </w:tcBorders>
            <w:gridSpan w:val="2"/>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40" w:hanging="961"/>
        <w:spacing w:after="0"/>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ind w:left="360" w:hanging="352"/>
        <w:spacing w:after="0" w:line="284" w:lineRule="auto"/>
        <w:tabs>
          <w:tab w:leader="none" w:pos="358"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 information called for is not required or is shown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431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0"/>
        </w:trPr>
        <w:tc>
          <w:tcPr>
            <w:tcW w:w="3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29"/>
        </w:trPr>
        <w:tc>
          <w:tcPr>
            <w:tcW w:w="3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8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240"/>
          </w:cols>
          <w:pgMar w:left="320" w:top="13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7, 2025</w:t>
            </w: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7, 2025</w:t>
            </w: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three months ended March 31, 2025,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7, 2025</w:t>
            </w: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7, 2025</w:t>
            </w: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2"/>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3"/>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decimal"/>
      <w:start w:val="3"/>
    </w:lvl>
  </w:abstractNum>
  <w:abstractNum w:abstractNumId="16">
    <w:nsid w:val="8138641"/>
    <w:multiLevelType w:val="hybridMultilevel"/>
    <w:lvl w:ilvl="0">
      <w:lvlJc w:val="left"/>
      <w:lvlText w:val="%1."/>
      <w:numFmt w:val="decimal"/>
      <w:start w:val="4"/>
    </w:lvl>
  </w:abstractNum>
  <w:abstractNum w:abstractNumId="17">
    <w:nsid w:val="1E7FF521"/>
    <w:multiLevelType w:val="hybridMultilevel"/>
    <w:lvl w:ilvl="0">
      <w:lvlJc w:val="left"/>
      <w:lvlText w:val="%1."/>
      <w:numFmt w:val="decimal"/>
      <w:start w:val="4"/>
    </w:lvl>
  </w:abstractNum>
  <w:abstractNum w:abstractNumId="18">
    <w:nsid w:val="7C3DBD3D"/>
    <w:multiLevelType w:val="hybridMultilevel"/>
    <w:lvl w:ilvl="0">
      <w:lvlJc w:val="left"/>
      <w:lvlText w:val="%1."/>
      <w:numFmt w:val="decimal"/>
      <w:start w:val="5"/>
    </w:lvl>
  </w:abstractNum>
  <w:abstractNum w:abstractNumId="19">
    <w:nsid w:val="737B8DDC"/>
    <w:multiLevelType w:val="hybridMultilevel"/>
    <w:lvl w:ilvl="0">
      <w:lvlJc w:val="left"/>
      <w:lvlText w:val="%1."/>
      <w:numFmt w:val="decimal"/>
      <w:start w:val="5"/>
    </w:lvl>
  </w:abstractNum>
  <w:abstractNum w:abstractNumId="20">
    <w:nsid w:val="6CEAF087"/>
    <w:multiLevelType w:val="hybridMultilevel"/>
    <w:lvl w:ilvl="0">
      <w:lvlJc w:val="left"/>
      <w:lvlText w:val="%1."/>
      <w:numFmt w:val="decimal"/>
      <w:start w:val="5"/>
    </w:lvl>
  </w:abstractNum>
  <w:abstractNum w:abstractNumId="21">
    <w:nsid w:val="22221A70"/>
    <w:multiLevelType w:val="hybridMultilevel"/>
    <w:lvl w:ilvl="0">
      <w:lvlJc w:val="left"/>
      <w:lvlText w:val="%1."/>
      <w:numFmt w:val="decimal"/>
      <w:start w:val="6"/>
    </w:lvl>
  </w:abstractNum>
  <w:abstractNum w:abstractNumId="22">
    <w:nsid w:val="4516DDE9"/>
    <w:multiLevelType w:val="hybridMultilevel"/>
    <w:lvl w:ilvl="0">
      <w:lvlJc w:val="left"/>
      <w:lvlText w:val="%1."/>
      <w:numFmt w:val="decimal"/>
      <w:start w:val="6"/>
    </w:lvl>
  </w:abstractNum>
  <w:abstractNum w:abstractNumId="23">
    <w:nsid w:val="3006C83E"/>
    <w:multiLevelType w:val="hybridMultilevel"/>
    <w:lvl w:ilvl="0">
      <w:lvlJc w:val="left"/>
      <w:lvlText w:val="%1."/>
      <w:numFmt w:val="decimal"/>
      <w:start w:val="6"/>
    </w:lvl>
  </w:abstractNum>
  <w:abstractNum w:abstractNumId="24">
    <w:nsid w:val="614FD4A1"/>
    <w:multiLevelType w:val="hybridMultilevel"/>
    <w:lvl w:ilvl="0">
      <w:lvlJc w:val="left"/>
      <w:lvlText w:val="%1."/>
      <w:numFmt w:val="decimal"/>
      <w:start w:val="7"/>
    </w:lvl>
  </w:abstractNum>
  <w:abstractNum w:abstractNumId="25">
    <w:nsid w:val="419AC241"/>
    <w:multiLevelType w:val="hybridMultilevel"/>
    <w:lvl w:ilvl="0">
      <w:lvlJc w:val="left"/>
      <w:lvlText w:val="%1."/>
      <w:numFmt w:val="decimal"/>
      <w:start w:val="8"/>
    </w:lvl>
  </w:abstractNum>
  <w:abstractNum w:abstractNumId="26">
    <w:nsid w:val="5577F8E1"/>
    <w:multiLevelType w:val="hybridMultilevel"/>
    <w:lvl w:ilvl="0">
      <w:lvlJc w:val="left"/>
      <w:lvlText w:val="%1."/>
      <w:numFmt w:val="decimal"/>
      <w:start w:val="9"/>
    </w:lvl>
  </w:abstractNum>
  <w:abstractNum w:abstractNumId="27">
    <w:nsid w:val="440BADFC"/>
    <w:multiLevelType w:val="hybridMultilevel"/>
    <w:lvl w:ilvl="0">
      <w:lvlJc w:val="left"/>
      <w:lvlText w:val="%1."/>
      <w:numFmt w:val="decimal"/>
      <w:start w:val="10"/>
    </w:lvl>
  </w:abstractNum>
  <w:abstractNum w:abstractNumId="28">
    <w:nsid w:val="5072367"/>
    <w:multiLevelType w:val="hybridMultilevel"/>
    <w:lvl w:ilvl="0">
      <w:lvlJc w:val="left"/>
      <w:lvlText w:val="%1."/>
      <w:numFmt w:val="decimal"/>
      <w:start w:val="11"/>
    </w:lvl>
  </w:abstractNum>
  <w:abstractNum w:abstractNumId="29">
    <w:nsid w:val="3804823E"/>
    <w:multiLevelType w:val="hybridMultilevel"/>
    <w:lvl w:ilvl="0">
      <w:lvlJc w:val="left"/>
      <w:lvlText w:val="%1."/>
      <w:numFmt w:val="decimal"/>
      <w:start w:val="11"/>
    </w:lvl>
  </w:abstractNum>
  <w:abstractNum w:abstractNumId="30">
    <w:nsid w:val="77465F01"/>
    <w:multiLevelType w:val="hybridMultilevel"/>
    <w:lvl w:ilvl="0">
      <w:lvlJc w:val="left"/>
      <w:lvlText w:val="%1."/>
      <w:numFmt w:val="decimal"/>
      <w:start w:val="12"/>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decimal"/>
      <w:start w:val="13"/>
    </w:lvl>
  </w:abstractNum>
  <w:abstractNum w:abstractNumId="33">
    <w:nsid w:val="2463B9EA"/>
    <w:multiLevelType w:val="hybridMultilevel"/>
    <w:lvl w:ilvl="0">
      <w:lvlJc w:val="left"/>
      <w:lvlText w:val="%1."/>
      <w:numFmt w:val="decimal"/>
      <w:start w:val="14"/>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lvl w:ilvl="1">
      <w:lvlJc w:val="left"/>
      <w:lvlText w:val="%2"/>
      <w:numFmt w:val="decimal"/>
      <w:start w:val="104"/>
    </w:lvl>
  </w:abstractNum>
  <w:abstractNum w:abstractNumId="39">
    <w:nsid w:val="3855585C"/>
    <w:multiLevelType w:val="hybridMultilevel"/>
    <w:lvl w:ilvl="0">
      <w:lvlJc w:val="left"/>
      <w:lvlText w:val="(%1)"/>
      <w:numFmt w:val="lowerLetter"/>
      <w:start w:val="2"/>
    </w:lvl>
    <w:lvl w:ilvl="1">
      <w:lvlJc w:val="left"/>
      <w:lvlText w:val="%2"/>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95" Type="http://schemas.openxmlformats.org/officeDocument/2006/relationships/hyperlink" Target="https://www.sec.gov/Archives/edgar/data/1519449/000110465923004624/tm233575d1_ex3-1.htm" TargetMode="External"/><Relationship Id="rId96" Type="http://schemas.openxmlformats.org/officeDocument/2006/relationships/hyperlink" Target="https://www.sec.gov/Archives/edgar/data/1519449/000110465923004624/tm233575d1_ex3-2.htm" TargetMode="External"/><Relationship Id="rId97"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2025-05-07T14:45:42Z</dcterms:created>
  <dcterms:modified xsi:type="dcterms:W3CDTF">2025-05-07T14:45:42Z</dcterms:modified>
</cp:coreProperties>
</file>