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line="211" w:lineRule="auto"/>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 w:lineRule="exact"/>
        <w:rPr>
          <w:sz w:val="24"/>
          <w:szCs w:val="24"/>
          <w:color w:val="auto"/>
        </w:rPr>
      </w:pPr>
    </w:p>
    <w:p>
      <w:pPr>
        <w:ind w:left="3700"/>
        <w:spacing w:after="0"/>
        <w:rPr>
          <w:sz w:val="20"/>
          <w:szCs w:val="20"/>
          <w:color w:val="auto"/>
        </w:rPr>
      </w:pPr>
      <w:r>
        <w:rPr>
          <w:rFonts w:ascii="Arial" w:cs="Arial" w:eastAsia="Arial" w:hAnsi="Arial"/>
          <w:sz w:val="22"/>
          <w:szCs w:val="22"/>
          <w:color w:val="auto"/>
        </w:rPr>
        <w:t>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left="500" w:right="1520" w:hanging="290"/>
        <w:spacing w:after="0" w:line="330" w:lineRule="auto"/>
        <w:tabs>
          <w:tab w:leader="none" w:pos="59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4" w:lineRule="exact"/>
        <w:rPr>
          <w:sz w:val="24"/>
          <w:szCs w:val="24"/>
          <w:color w:val="auto"/>
        </w:rPr>
      </w:pPr>
    </w:p>
    <w:p>
      <w:pPr>
        <w:ind w:left="640" w:right="1460" w:hanging="430"/>
        <w:spacing w:after="0" w:line="215" w:lineRule="auto"/>
        <w:tabs>
          <w:tab w:leader="none" w:pos="64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 to ____________</w:t>
      </w: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001-41591</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SKYWARD SPECIALTY INSURANCE GROUP,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47625</wp:posOffset>
            </wp:positionV>
            <wp:extent cx="1722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65"/>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6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14-1957288</w:t>
            </w:r>
          </w:p>
        </w:tc>
        <w:tc>
          <w:tcPr>
            <w:tcW w:w="0" w:type="dxa"/>
            <w:vAlign w:val="bottom"/>
          </w:tcPr>
          <w:p>
            <w:pPr>
              <w:spacing w:after="0"/>
              <w:rPr>
                <w:sz w:val="1"/>
                <w:szCs w:val="1"/>
                <w:color w:val="auto"/>
              </w:rPr>
            </w:pPr>
          </w:p>
        </w:tc>
      </w:tr>
      <w:tr>
        <w:trPr>
          <w:trHeight w:val="225"/>
        </w:trPr>
        <w:tc>
          <w:tcPr>
            <w:tcW w:w="4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76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7500" w:type="dxa"/>
            <w:vAlign w:val="bottom"/>
            <w:gridSpan w:val="5"/>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329"/>
        </w:trPr>
        <w:tc>
          <w:tcPr>
            <w:tcW w:w="428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800 Gessner Road, Suite 600</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vMerge w:val="restart"/>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77024-4284</w:t>
            </w:r>
          </w:p>
        </w:tc>
        <w:tc>
          <w:tcPr>
            <w:tcW w:w="0" w:type="dxa"/>
            <w:vAlign w:val="bottom"/>
          </w:tcPr>
          <w:p>
            <w:pPr>
              <w:spacing w:after="0"/>
              <w:rPr>
                <w:sz w:val="1"/>
                <w:szCs w:val="1"/>
                <w:color w:val="auto"/>
              </w:rPr>
            </w:pPr>
          </w:p>
        </w:tc>
      </w:tr>
      <w:tr>
        <w:trPr>
          <w:trHeight w:val="233"/>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6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252"/>
        </w:trPr>
        <w:tc>
          <w:tcPr>
            <w:tcW w:w="4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(713) 935-4800</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gridSpan w:val="5"/>
          </w:tcPr>
          <w:p>
            <w:pPr>
              <w:jc w:val="center"/>
              <w:ind w:left="3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3"/>
        </w:trPr>
        <w:tc>
          <w:tcPr>
            <w:tcW w:w="428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74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0" w:type="dxa"/>
            <w:vAlign w:val="bottom"/>
            <w:tcBorders>
              <w:bottom w:val="single" w:sz="8" w:color="auto"/>
            </w:tcBorders>
          </w:tcPr>
          <w:p>
            <w:pPr>
              <w:spacing w:after="0"/>
              <w:rPr>
                <w:sz w:val="19"/>
                <w:szCs w:val="19"/>
                <w:color w:val="auto"/>
              </w:rPr>
            </w:pPr>
          </w:p>
        </w:tc>
        <w:tc>
          <w:tcPr>
            <w:tcW w:w="2740" w:type="dxa"/>
            <w:vAlign w:val="bottom"/>
            <w:tcBorders>
              <w:bottom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SKWD</w:t>
            </w:r>
          </w:p>
        </w:tc>
        <w:tc>
          <w:tcPr>
            <w:tcW w:w="480" w:type="dxa"/>
            <w:vAlign w:val="bottom"/>
            <w:tcBorders>
              <w:bottom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306" w:lineRule="exact"/>
        <w:rPr>
          <w:sz w:val="24"/>
          <w:szCs w:val="24"/>
          <w:color w:val="auto"/>
        </w:rPr>
      </w:pPr>
    </w:p>
    <w:p>
      <w:pPr>
        <w:ind w:right="26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p>
      <w:pPr>
        <w:spacing w:after="0" w:line="2" w:lineRule="exact"/>
        <w:rPr>
          <w:sz w:val="24"/>
          <w:szCs w:val="24"/>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800" w:type="dxa"/>
            <w:vAlign w:val="bottom"/>
          </w:tcPr>
          <w:p>
            <w:pPr>
              <w:jc w:val="right"/>
              <w:ind w:right="191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26, 2024, the registrant had 39,995,027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40" w:right="319" w:bottom="114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14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817"/>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20" w:type="dxa"/>
            <w:vAlign w:val="bottom"/>
          </w:tcPr>
          <w:p>
            <w:pPr>
              <w:spacing w:after="0"/>
              <w:rPr>
                <w:sz w:val="24"/>
                <w:szCs w:val="24"/>
                <w:color w:val="auto"/>
              </w:rPr>
            </w:pPr>
          </w:p>
        </w:tc>
        <w:tc>
          <w:tcPr>
            <w:tcW w:w="7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10-Q</w:t>
            </w: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and Description</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Page</w:t>
            </w: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Condensed Consolidated Balance Sheets as of March 31, 2024 and December 31, 2023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for the Three-Month Periods Ended</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31, 2024 and 2023 (unaudited)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21"/>
                <w:szCs w:val="2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Changes in Stockholders’ Equity for the Three-Month Periods Ended March 31,</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2023 (unaudited)</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21"/>
                <w:szCs w:val="2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Condensed Consolidated Statements of Cash Flows for the Three-Month Periods Ended March 31, 2024 and 2023</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1048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04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Item 6. Exhibits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4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400" w:type="dxa"/>
            <w:vAlign w:val="bottom"/>
            <w:shd w:val="clear" w:color="auto" w:fill="CCEEFF"/>
          </w:tcPr>
          <w:p>
            <w:pPr>
              <w:spacing w:after="0"/>
              <w:rPr>
                <w:sz w:val="19"/>
                <w:szCs w:val="19"/>
                <w:color w:val="auto"/>
              </w:rPr>
            </w:pPr>
          </w:p>
        </w:tc>
      </w:tr>
      <w:tr>
        <w:trPr>
          <w:trHeight w:val="8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3"/>
          </w:tcPr>
          <w:p>
            <w:pPr>
              <w:ind w:left="440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42"/>
        </w:trPr>
        <w:tc>
          <w:tcPr>
            <w:tcW w:w="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78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90"/>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(amortized cost of $1,102,190 and $1,047,713,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1,065,175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vMerge w:val="continue"/>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held-to-maturity, at amortized cost (net of allowance for credit losses of $329)</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 at fair value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110,653</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 at fair value</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297,932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1,673,206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1,613,687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85,059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34,445</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receivable,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273,410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179,235</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612,043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596,334</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unearned premium</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204,625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186,121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104,697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w:t>
            </w: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88,137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88,435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92,063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75,341</w:t>
            </w:r>
          </w:p>
        </w:tc>
        <w:tc>
          <w:tcPr>
            <w:tcW w:w="0" w:type="dxa"/>
            <w:vAlign w:val="bottom"/>
          </w:tcPr>
          <w:p>
            <w:pPr>
              <w:spacing w:after="0"/>
              <w:rPr>
                <w:sz w:val="1"/>
                <w:szCs w:val="1"/>
                <w:color w:val="auto"/>
              </w:rPr>
            </w:pPr>
          </w:p>
        </w:tc>
      </w:tr>
      <w:tr>
        <w:trPr>
          <w:trHeight w:val="223"/>
        </w:trPr>
        <w:tc>
          <w:tcPr>
            <w:tcW w:w="8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3,187,057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1,376,946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1,314,501</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621,794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552,532</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ceding commission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37,057</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and premium payables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193,760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150,156</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 for others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58,588</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53,443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50,880</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2,494,785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2,292,404</w:t>
            </w:r>
          </w:p>
        </w:tc>
        <w:tc>
          <w:tcPr>
            <w:tcW w:w="0" w:type="dxa"/>
            <w:vAlign w:val="bottom"/>
          </w:tcPr>
          <w:p>
            <w:pPr>
              <w:spacing w:after="0"/>
              <w:rPr>
                <w:sz w:val="1"/>
                <w:szCs w:val="1"/>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1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500,000,000 shares authorized, 39,995,027 and 39,863,756 shares issued</w:t>
            </w:r>
          </w:p>
        </w:tc>
        <w:tc>
          <w:tcPr>
            <w:tcW w:w="1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4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711,309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710,855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notes receivable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(21,708)</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692,272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661,031</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3,187,057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2,953,435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2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amounts)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earned premiums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236,342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29"/>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189,930</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51,655</w:t>
            </w: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217,991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170,208</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gains and losses on investments: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 in unrealized (losses) gains on investments, net of tax</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losses on securities no longer held, net of tax</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30,458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39,108,351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32,848,243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8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41,085,136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36,952,073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173990</wp:posOffset>
            </wp:positionV>
            <wp:extent cx="71062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 except share amounts)</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Preferred shares:</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(1,969,660)</w:t>
            </w:r>
          </w:p>
        </w:tc>
        <w:tc>
          <w:tcPr>
            <w:tcW w:w="0" w:type="dxa"/>
            <w:vAlign w:val="bottom"/>
          </w:tcPr>
          <w:p>
            <w:pPr>
              <w:spacing w:after="0"/>
              <w:rPr>
                <w:sz w:val="1"/>
                <w:szCs w:val="1"/>
                <w:color w:val="auto"/>
              </w:rPr>
            </w:pPr>
          </w:p>
        </w:tc>
      </w:tr>
      <w:tr>
        <w:trPr>
          <w:trHeight w:val="223"/>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Common shares:</w:t>
            </w: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39,863,756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16,599,666</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shares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4,753,332</w:t>
            </w:r>
          </w:p>
        </w:tc>
        <w:tc>
          <w:tcPr>
            <w:tcW w:w="0" w:type="dxa"/>
            <w:vAlign w:val="bottom"/>
          </w:tcPr>
          <w:p>
            <w:pPr>
              <w:spacing w:after="0"/>
              <w:rPr>
                <w:sz w:val="1"/>
                <w:szCs w:val="1"/>
                <w:color w:val="auto"/>
              </w:rPr>
            </w:pP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16,305,113</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39,995,027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37,658,111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577,289</w:t>
            </w:r>
          </w:p>
        </w:tc>
        <w:tc>
          <w:tcPr>
            <w:tcW w:w="0" w:type="dxa"/>
            <w:vAlign w:val="bottom"/>
          </w:tcPr>
          <w:p>
            <w:pPr>
              <w:spacing w:after="0"/>
              <w:rPr>
                <w:sz w:val="1"/>
                <w:szCs w:val="1"/>
                <w:color w:val="auto"/>
              </w:rPr>
            </w:pPr>
          </w:p>
        </w:tc>
      </w:tr>
      <w:tr>
        <w:trPr>
          <w:trHeight w:val="22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conversion to common shares</w:t>
            </w:r>
          </w:p>
        </w:tc>
        <w:tc>
          <w:tcPr>
            <w:tcW w:w="3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equity offerings, net</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62,358</w:t>
            </w:r>
          </w:p>
        </w:tc>
        <w:tc>
          <w:tcPr>
            <w:tcW w:w="0" w:type="dxa"/>
            <w:vAlign w:val="bottom"/>
          </w:tcPr>
          <w:p>
            <w:pPr>
              <w:spacing w:after="0"/>
              <w:rPr>
                <w:sz w:val="1"/>
                <w:szCs w:val="1"/>
                <w:color w:val="auto"/>
              </w:rPr>
            </w:pPr>
          </w:p>
        </w:tc>
      </w:tr>
      <w:tr>
        <w:trPr>
          <w:trHeight w:val="248"/>
        </w:trPr>
        <w:tc>
          <w:tcPr>
            <w:tcW w:w="77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641,368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notes receivable: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Employee equity transactions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(43,485)</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Retained earnings (accumulated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30"/>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effect on adoption of ASU No. 2016-13</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i w:val="1"/>
                <w:iCs w:val="1"/>
                <w:color w:val="auto"/>
              </w:rPr>
              <w:t>Balance at March 31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(92,137)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507,146</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91,651</w:t>
            </w:r>
          </w:p>
        </w:tc>
      </w:tr>
      <w:tr>
        <w:trPr>
          <w:trHeight w:val="223"/>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94,265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107,207</w:t>
            </w: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fixed maturity securities, available-for-sale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(97,426)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(72,466)</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equity method investments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direct and indirect loans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14,665</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maturities of investment securities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34,980</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equity method and other long-term investments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short-term investments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(166,193)</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receivable/payable for securities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provided by deposit accounting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r>
      <w:tr>
        <w:trPr>
          <w:trHeight w:val="223"/>
        </w:trPr>
        <w:tc>
          <w:tcPr>
            <w:tcW w:w="7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investment activities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(193,426)</w:t>
            </w: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stock notes receivable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Draw on revolving line of credit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term loan</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trust preferred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initial public offering</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66,262</w:t>
            </w:r>
          </w:p>
        </w:tc>
      </w:tr>
      <w:tr>
        <w:trPr>
          <w:trHeight w:val="223"/>
        </w:trPr>
        <w:tc>
          <w:tcPr>
            <w:tcW w:w="77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66,455</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w:t>
            </w:r>
          </w:p>
        </w:tc>
      </w:tr>
      <w:tr>
        <w:trPr>
          <w:trHeight w:val="229"/>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125,011</w:t>
            </w:r>
          </w:p>
        </w:tc>
      </w:tr>
      <w:tr>
        <w:trPr>
          <w:trHeight w:val="223"/>
        </w:trPr>
        <w:tc>
          <w:tcPr>
            <w:tcW w:w="77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Cash and cash equivalents and restricted cash at end of period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105,247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2,656</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w:t>
            </w:r>
          </w:p>
        </w:tc>
      </w:tr>
      <w:tr>
        <w:trPr>
          <w:trHeight w:val="203"/>
        </w:trPr>
        <w:tc>
          <w:tcPr>
            <w:tcW w:w="7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The sum of cash and cash equivalents and restricted cash from the consolidated balance sheets</w:t>
            </w: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4"/>
        </w:trPr>
        <w:tc>
          <w:tcPr>
            <w:tcW w:w="7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7520" w:firstLine="8"/>
        <w:spacing w:after="0" w:line="378" w:lineRule="auto"/>
        <w:tabs>
          <w:tab w:leader="none" w:pos="3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 Basis of Presentation</w:t>
      </w: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2023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2023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6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set forth the amortized cost and the fair value by investment category at March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428,985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(17,245)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415,756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95,817</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283,014</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30,526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204,496</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1,065,175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41,401</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(329)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41,401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Gross</w:t>
            </w:r>
          </w:p>
        </w:tc>
        <w:tc>
          <w:tcPr>
            <w:tcW w:w="1340" w:type="dxa"/>
            <w:vAlign w:val="bottom"/>
            <w:tcBorders>
              <w:top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Allowance for</w:t>
            </w: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5"/>
                <w:szCs w:val="15"/>
                <w:color w:val="auto"/>
              </w:rPr>
            </w:pPr>
          </w:p>
        </w:tc>
        <w:tc>
          <w:tcPr>
            <w:tcW w:w="11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Unrealized</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1"/>
                <w:szCs w:val="21"/>
                <w:color w:val="auto"/>
              </w:rPr>
            </w:pP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Gains</w:t>
            </w:r>
          </w:p>
        </w:tc>
        <w:tc>
          <w:tcPr>
            <w:tcW w:w="160" w:type="dxa"/>
            <w:vAlign w:val="bottom"/>
          </w:tcPr>
          <w:p>
            <w:pPr>
              <w:spacing w:after="0"/>
              <w:rPr>
                <w:sz w:val="21"/>
                <w:szCs w:val="21"/>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Loss</w:t>
            </w:r>
          </w:p>
        </w:tc>
        <w:tc>
          <w:tcPr>
            <w:tcW w:w="1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09"/>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0" w:type="dxa"/>
            <w:vAlign w:val="bottom"/>
          </w:tcPr>
          <w:p>
            <w:pPr>
              <w:spacing w:after="0"/>
              <w:rPr>
                <w:sz w:val="1"/>
                <w:szCs w:val="1"/>
                <w:color w:val="auto"/>
              </w:rPr>
            </w:pPr>
          </w:p>
        </w:tc>
      </w:tr>
      <w:tr>
        <w:trPr>
          <w:trHeight w:val="248"/>
        </w:trPr>
        <w:tc>
          <w:tcPr>
            <w:tcW w:w="47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23"/>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43,315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amortized cost and fair value of available-for-sale fixed maturity securities by contractual maturity at March 31,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Amortized</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less than one year</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32,270</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31,793</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286,500</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183,251</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45,595</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329,042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313,540</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206,357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204,496</w:t>
            </w:r>
          </w:p>
        </w:tc>
      </w:tr>
      <w:tr>
        <w:trPr>
          <w:trHeight w:val="248"/>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1,102,190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1,065,175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fixed maturity securities, held-to-maturity, at March 31, 2024 consisted entirely of asset backed securities that were not due at a single maturity date.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gross unrealized losses and the corresponding fair values of investments, aggregated by length of time that individual securities had been in a continuous unrealized loss position as of March 31,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95,105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272,122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(17,245)</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(6,466)</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103,169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183,241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(16,596)</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(1,854)</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36,528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60,458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96,986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(3,277)</w:t>
            </w:r>
          </w:p>
        </w:tc>
        <w:tc>
          <w:tcPr>
            <w:tcW w:w="0" w:type="dxa"/>
            <w:vAlign w:val="bottom"/>
          </w:tcPr>
          <w:p>
            <w:pPr>
              <w:spacing w:after="0"/>
              <w:rPr>
                <w:sz w:val="1"/>
                <w:szCs w:val="1"/>
                <w:color w:val="auto"/>
              </w:rPr>
            </w:pPr>
          </w:p>
        </w:tc>
      </w:tr>
      <w:tr>
        <w:trPr>
          <w:trHeight w:val="205"/>
        </w:trPr>
        <w:tc>
          <w:tcPr>
            <w:tcW w:w="3480" w:type="dxa"/>
            <w:vAlign w:val="bottom"/>
            <w:shd w:val="clear" w:color="auto" w:fill="CCEEFF"/>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253,704</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416,341</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(42,878)</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670,045</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(46,011)</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0" w:type="dxa"/>
            <w:vAlign w:val="bottom"/>
          </w:tcPr>
          <w:p>
            <w:pPr>
              <w:spacing w:after="0"/>
              <w:rPr>
                <w:sz w:val="1"/>
                <w:szCs w:val="1"/>
                <w:color w:val="auto"/>
              </w:rPr>
            </w:pPr>
          </w:p>
        </w:tc>
      </w:tr>
      <w:tr>
        <w:trPr>
          <w:trHeight w:val="205"/>
        </w:trPr>
        <w:tc>
          <w:tcPr>
            <w:tcW w:w="34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2"/>
                <w:szCs w:val="22"/>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39,371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39,371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455,712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709,416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(47,335)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color w:val="auto"/>
              </w:rPr>
              <w:t>Less than 12 Months</w:t>
            </w:r>
          </w:p>
        </w:tc>
        <w:tc>
          <w:tcPr>
            <w:tcW w:w="2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color w:val="auto"/>
              </w:rPr>
              <w:t>12 Months or More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Total</w:t>
            </w: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3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color w:val="auto"/>
              </w:rPr>
              <w:t>Gross Unrealized</w:t>
            </w:r>
          </w:p>
        </w:tc>
        <w:tc>
          <w:tcPr>
            <w:tcW w:w="0" w:type="dxa"/>
            <w:vAlign w:val="bottom"/>
          </w:tcPr>
          <w:p>
            <w:pPr>
              <w:spacing w:after="0"/>
              <w:rPr>
                <w:sz w:val="1"/>
                <w:szCs w:val="1"/>
                <w:color w:val="auto"/>
              </w:rPr>
            </w:pPr>
          </w:p>
        </w:tc>
      </w:tr>
      <w:tr>
        <w:trPr>
          <w:trHeight w:val="193"/>
        </w:trPr>
        <w:tc>
          <w:tcPr>
            <w:tcW w:w="3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Losses</w:t>
            </w: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4"/>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9"/>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(15,761)</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155"/>
        </w:trPr>
        <w:tc>
          <w:tcPr>
            <w:tcW w:w="348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available-</w:t>
            </w: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for-sale</w:t>
            </w: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441,858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(40,886)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563,220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(42,553)</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156"/>
        </w:trPr>
        <w:tc>
          <w:tcPr>
            <w:tcW w:w="348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fixed maturity securities, held-to-</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maturity:</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(44,522)</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692 lots of fixed maturity securities in an unrealized loss position. The Company does not have an intent to sell these securities and it is not more likely than not that the Company will be required to sell these securities before maturity or recovery of its cost basis. The Company determined that no credit impairment existed in the gross unrealized holding losses because the credit ratings of these securities were consistent with the credit ratings when purchased and/or at origination, there were no adverse changes in financial condition of the issuer and no adverse credit quality events in underlying assets. The Company attributed the unrealized losses to the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gains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realized gains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29"/>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realized losses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on investments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gains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
        </w:trPr>
        <w:tc>
          <w:tcPr>
            <w:tcW w:w="8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proceeds from sales of available-for-sale fixed maturity securities and equity securities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098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12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10,458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13,325</w:t>
            </w:r>
          </w:p>
        </w:tc>
      </w:tr>
      <w:tr>
        <w:trPr>
          <w:trHeight w:val="45"/>
        </w:trPr>
        <w:tc>
          <w:tcPr>
            <w:tcW w:w="7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net investment income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maturity securities, available-for sale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12,231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loans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loans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 and cash</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 in net unrealized (losses)/gains on the Company’s investment portfolio, net of deferred income taxes, included in other comprehensive loss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(7,989)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9,786</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1,663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rPr>
              <w:t>(2,045)</w:t>
            </w:r>
          </w:p>
        </w:tc>
      </w:tr>
      <w:tr>
        <w:trPr>
          <w:trHeight w:val="248"/>
        </w:trPr>
        <w:tc>
          <w:tcPr>
            <w:tcW w:w="8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(6,326)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7,741</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82" w:lineRule="auto"/>
        <w:rPr>
          <w:sz w:val="20"/>
          <w:szCs w:val="20"/>
          <w:color w:val="auto"/>
        </w:rPr>
      </w:pPr>
      <w:r>
        <w:rPr>
          <w:rFonts w:ascii="Times New Roman" w:cs="Times New Roman" w:eastAsia="Times New Roman" w:hAnsi="Times New Roman"/>
          <w:sz w:val="18"/>
          <w:szCs w:val="18"/>
          <w:color w:val="auto"/>
        </w:rPr>
        <w:t>Level 1 - Inputs are unadjusted, quoted prices for identical assets or liabilities in active markets at the measurement date.</w:t>
      </w:r>
    </w:p>
    <w:p>
      <w:pPr>
        <w:spacing w:after="0" w:line="54" w:lineRule="exact"/>
        <w:rPr>
          <w:sz w:val="20"/>
          <w:szCs w:val="20"/>
          <w:color w:val="auto"/>
        </w:rPr>
      </w:pPr>
    </w:p>
    <w:p>
      <w:pPr>
        <w:ind w:left="1060" w:right="2560" w:hanging="728"/>
        <w:spacing w:after="0" w:line="282" w:lineRule="auto"/>
        <w:rPr>
          <w:sz w:val="20"/>
          <w:szCs w:val="20"/>
          <w:color w:val="auto"/>
        </w:rPr>
      </w:pPr>
      <w:r>
        <w:rPr>
          <w:rFonts w:ascii="Times New Roman" w:cs="Times New Roman" w:eastAsia="Times New Roman" w:hAnsi="Times New Roman"/>
          <w:sz w:val="18"/>
          <w:szCs w:val="18"/>
          <w:color w:val="auto"/>
        </w:rPr>
        <w:t>Level 2 - Inputs are other than quoted prices included in Level 1 that are observable for the asset or liability through corroboration with market data at the measurement date.</w:t>
      </w:r>
    </w:p>
    <w:p>
      <w:pPr>
        <w:spacing w:after="0" w:line="54" w:lineRule="exact"/>
        <w:rPr>
          <w:sz w:val="20"/>
          <w:szCs w:val="20"/>
          <w:color w:val="auto"/>
        </w:rPr>
      </w:pPr>
    </w:p>
    <w:p>
      <w:pPr>
        <w:ind w:left="1060" w:right="2860" w:hanging="728"/>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reflect management’s best estimate of what market participants would use in pricing the asset or liability at the measurement date.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for financial instruments in the accompanying consolidated financial statements and in these notes: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 mutual funds and common stock</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uses unadjusted quoted prices for identical instruments in an active exchange to measure fair value which represent Level 1 inputs.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stocks, municipal securities, corporate securities and miscellaneous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mortgage-backed securities, residential mortgage-backed securities and other asset-backed securities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loans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range and weighted average, weighted by relative fair value, of the spread as of March 31,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1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9.75 %</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4.27 %</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3.25 %</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r>
      <w:tr>
        <w:trPr>
          <w:trHeight w:val="54"/>
        </w:trPr>
        <w:tc>
          <w:tcPr>
            <w:tcW w:w="682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the Company’s investments within the fair value hierarchy at March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35,566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35,566</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415,756</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95,817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95,817</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283,014</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30,526</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204,496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204,496</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35,566</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1,029,609</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1,065,175</w:t>
            </w: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41,401</w:t>
            </w:r>
          </w:p>
        </w:tc>
      </w:tr>
      <w:tr>
        <w:trPr>
          <w:trHeight w:val="223"/>
        </w:trPr>
        <w:tc>
          <w:tcPr>
            <w:tcW w:w="5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41,401</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70,378</w:t>
            </w: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r>
      <w:tr>
        <w:trPr>
          <w:trHeight w:val="230"/>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45,516</w:t>
            </w:r>
          </w:p>
        </w:tc>
      </w:tr>
      <w:tr>
        <w:trPr>
          <w:trHeight w:val="223"/>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115,894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1,189</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117,083</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297,932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297,932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449,392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1,030,798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1,565,900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1</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44,166</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383,420</w:t>
            </w:r>
          </w:p>
        </w:tc>
      </w:tr>
      <w:tr>
        <w:trPr>
          <w:trHeight w:val="230"/>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281,626</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29,934</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185,727</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973,485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held-to-maturity: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23"/>
        </w:trPr>
        <w:tc>
          <w:tcPr>
            <w:tcW w:w="50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fixed maturity securities, held-to-maturity: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67,425</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stocks</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r>
      <w:tr>
        <w:trPr>
          <w:trHeight w:val="223"/>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118,249</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loans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270,226</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1,497,213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fair value of instruments carried at fair value with a Level 3 measurement during the three months ended March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50,070</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gains for the period recognized in net investment gains (losses)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0" w:type="dxa"/>
            <w:vAlign w:val="bottom"/>
          </w:tcPr>
          <w:p>
            <w:pPr>
              <w:spacing w:after="0"/>
              <w:rPr>
                <w:sz w:val="1"/>
                <w:szCs w:val="1"/>
                <w:color w:val="auto"/>
              </w:rPr>
            </w:pPr>
          </w:p>
        </w:tc>
      </w:tr>
      <w:tr>
        <w:trPr>
          <w:trHeight w:val="229"/>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(6,919)</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Total gains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8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0" w:type="dxa"/>
            <w:vAlign w:val="bottom"/>
          </w:tcPr>
          <w:p>
            <w:pPr>
              <w:spacing w:after="0"/>
              <w:rPr>
                <w:sz w:val="1"/>
                <w:szCs w:val="1"/>
                <w:color w:val="auto"/>
              </w:rPr>
            </w:pPr>
          </w:p>
        </w:tc>
      </w:tr>
      <w:tr>
        <w:trPr>
          <w:trHeight w:val="221"/>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Mortgage Loans</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52,842</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losses for the period recognized in net investment gains (losses)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42,335</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4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relating to assets held as of period end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were used in estimating the fair value disclosures of other financial instruments:</w:t>
      </w:r>
    </w:p>
    <w:p>
      <w:pPr>
        <w:spacing w:after="0" w:line="11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maturity securities, held-to-maturity: </w:t>
      </w:r>
      <w:r>
        <w:rPr>
          <w:rFonts w:ascii="Times New Roman" w:cs="Times New Roman" w:eastAsia="Times New Roman" w:hAnsi="Times New Roman"/>
          <w:sz w:val="18"/>
          <w:szCs w:val="18"/>
          <w:color w:val="auto"/>
        </w:rPr>
        <w:t>Fixed maturity securities, held-to-maturity consists of senior and junior notes with target rates of return.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March 31, 2024, the Company determined the fair value of these instruments using the income approach utilizing inputs that are unobservable (Level 3).</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Notes payable: </w:t>
      </w:r>
      <w:r>
        <w:rPr>
          <w:rFonts w:ascii="Times New Roman" w:cs="Times New Roman" w:eastAsia="Times New Roman" w:hAnsi="Times New Roman"/>
          <w:sz w:val="18"/>
          <w:szCs w:val="18"/>
          <w:color w:val="auto"/>
        </w:rPr>
        <w:t>The carrying value approximates the estimated fair value for notes payable as the notes payable accrue interest at current market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a spread. The Company determines fair value using the income approach utilizing inputs that are observable (Level 2).</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Subordinated debt: </w:t>
      </w:r>
      <w:r>
        <w:rPr>
          <w:rFonts w:ascii="Times New Roman" w:cs="Times New Roman" w:eastAsia="Times New Roman" w:hAnsi="Times New Roman"/>
          <w:sz w:val="18"/>
          <w:szCs w:val="18"/>
          <w:color w:val="auto"/>
        </w:rPr>
        <w:t>Subordinated debt consists of two debt instruments, the Junior Subordinated Interest Debentures, due September 15, 2036,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spacing w:after="0" w:line="7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carrying and fair values of notes payable and subordinated debt as of March 31,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860" w:type="dxa"/>
            <w:vAlign w:val="bottom"/>
            <w:tcBorders>
              <w:top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6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69"/>
        </w:trPr>
        <w:tc>
          <w:tcPr>
            <w:tcW w:w="5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53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Subordinated debt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Junior subordinated interest debentures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Unsecured subordinated notes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Subordinated debt, net of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Mortgage Loans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invested in Separately Managed Accounts (“SMA1” and “SMA2”), managed by Arena Investors, LP (“Arena”), which is affiliated with The Westaim Corporation (“Westaim”) who, directly and through Westaim HIIG GP Inc. (a general partnership controlled by Westaim), is the Company’s largest stockholder. As of March 31, 2024 and December 31, 2023, the Company held direct investments in mortgage loans from various creditors through SMA1 and SMA2.</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mortgage loan portfolios are primarily senior loans on real estate across the U.S. The loans earn interest at a fixed spread above a prime rate, mature in approximately 1 year to 3 years from loan origination and the principal amounts of the loans range between 64% to 90% property’s appraised value at the time the loans were made.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Company’s mortgage loans as of March 31, 2024 and December 31,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15,322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14,469</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16,072</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6,936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w:t>
            </w:r>
          </w:p>
        </w:tc>
      </w:tr>
      <w:tr>
        <w:trPr>
          <w:trHeight w:val="248"/>
        </w:trPr>
        <w:tc>
          <w:tcPr>
            <w:tcW w:w="8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gross investment income for mortgage loans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0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months ended March 31, 2024 and 2023.</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approximately $6.9 million and $7.1 million of mortgage loans, respectively, were in the process of foreclosure. As of March 31, 2024, $6.9 million of mortgage loans were not producing income for the previous 12 months.</w:t>
      </w:r>
    </w:p>
    <w:p>
      <w:pPr>
        <w:spacing w:after="0" w:line="50"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Method Investments and Other</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ownership interests in most of its equity method investments range from approximately 3% to less than 5% where the Company has significant influence but not control.</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carrying value of the Company’s equity method investments as of March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40,643</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JVM Funds LLC units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19,293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23"/>
        </w:trPr>
        <w:tc>
          <w:tcPr>
            <w:tcW w:w="80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72,758</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74,628</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(loss) from equity method investments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RISCOM</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II LP units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JVM Funds LLC</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 Black Swan LP units</w:t>
            </w:r>
          </w:p>
        </w:tc>
        <w:tc>
          <w:tcPr>
            <w:tcW w:w="3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Arena SOP LP units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Arena Special Opportunities Fund, LP units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unfunded commitment of equity method investments as of March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Brewer Lane Ventures Fund II LP units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4,227</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Hudson Ventures Fund 2 LP units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Dowling Capital Partners LP units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80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5,335</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
        </w:trPr>
        <w:tc>
          <w:tcPr>
            <w:tcW w:w="8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Company’s recorded investment in RISCOM compared to its share of underlying equity as of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RISCOM:</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2,367</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w:t>
            </w:r>
          </w:p>
        </w:tc>
      </w:tr>
      <w:tr>
        <w:trPr>
          <w:trHeight w:val="21"/>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recorded investment in JVM Funds LLC compared to its share of underlying equity as of March 31, 2024 and December 31,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JVM Funds LLC:</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Underlying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18,574</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Difference</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Recorded investment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19,293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20,061</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
        </w:trPr>
        <w:tc>
          <w:tcPr>
            <w:tcW w:w="8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Indirect Loans and Loan Collateral</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held indirect investments in collateralized loans and loan collateral through SMA1 and SMA2.</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 of the SMA1 and SMA2 as of March 31, 2024 and December 31, 2023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24,883</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30,816</w:t>
            </w:r>
          </w:p>
        </w:tc>
      </w:tr>
      <w:tr>
        <w:trPr>
          <w:trHeight w:val="229"/>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SMA2</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48"/>
        </w:trPr>
        <w:tc>
          <w:tcPr>
            <w:tcW w:w="8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indirect loans and loan collateral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31,204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u w:val="single" w:color="auto"/>
          <w:color w:val="auto"/>
        </w:rPr>
        <w:t>Notes Payable &amp; Subordinated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to obtain a new unsecured revolving credit facility (the “Revolving Credit Facility”) with a syndicate of participating banks during the first quarter of 2023. The Revolving Credit Facility provided the Company with up to a $150.0 million revolving credit facility, with an accordion that can increase the capacity by $50.0 million, and a letter of credit sub-facility of up to $30.0 million. As of December 31, 2023, the Company drew $50.0 million on the Revolving Credit Facility. During the three months ended March 31, 2024, the Company drew an additional $50.0 million on the Revolving Credit Facility and used the proceeds to pay off the principal on its existing Debentures (defined below).</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Secured Overnight Financing Rate (“SOFR”) plus a margin of between 150 and 190 basis points based on the ratio of debt to total capital and a credit spread adjustment of 10 basis points. The following table sets forth the outstanding draws on the Revolving Credit Facility as of March 31,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540" w:type="dxa"/>
            <w:vAlign w:val="bottom"/>
            <w:tcBorders>
              <w:top w:val="single" w:sz="8" w:color="auto"/>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Margin</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Six-month SOFR</w:t>
            </w: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Net interest rate</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29,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r>
      <w:tr>
        <w:trPr>
          <w:trHeight w:val="49"/>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subject to covenants on the Revolving Credit Facility based on minimum net worth, maximum debt to capital ratio, minimum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Rating and minimum liquidity. As of March 31, 2024, the Company was in compliance with all covenants.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the Company received $58.0 million of proceeds from a debenture offering through a statutory trust, Delos Capital Trust (the “Trust”). The sole asset of the Trust consists of Fixed/Floating Rate Junior Subordinated Deferrable Interest Debentures (the “Debentures”) with a principal amount of $59.8 million issued by the Company and cash of $1.8 million from the issuance of Trust common shares purchased by the Company equal to 3% of the Trust capitalization. On March 15, 2024, the Company redeemed the Debentures and paid $1.4 million of accrued interest.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Company’s income tax expense and effective tax rates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10,193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4,166</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21.1 %</w:t>
            </w:r>
          </w:p>
        </w:tc>
      </w:tr>
      <w:tr>
        <w:trPr>
          <w:trHeight w:val="45"/>
        </w:trPr>
        <w:tc>
          <w:tcPr>
            <w:tcW w:w="77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will differ from the statutory rate of 21 percent due to permanent differences for disallowed expenses for tax and beneficial adjustments for tax-exempt income, dividends-received deduction and non-deductible expenses.</w:t>
      </w:r>
    </w:p>
    <w:p>
      <w:pPr>
        <w:spacing w:after="0" w:line="50"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reconciliation of unpaid losses and loss adjustment expenses (“LAE”) as reported in the condensed consolidated balance sheets as of and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1,141,757</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reinsurance recoverable on unpaid claims, beginning of period</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(455,484)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(435,986)</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losses and LAE, beginning of period, net of reinsurance</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859,017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705,771</w:t>
            </w:r>
          </w:p>
        </w:tc>
      </w:tr>
      <w:tr>
        <w:trPr>
          <w:trHeight w:val="21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Incurred,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115,142</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incurred, net of reinsurance</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144,155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115,142</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net of reinsurance, related to:</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3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Prior years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68,745</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paid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77,489</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reserves for losses and LAE, end of period</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910,851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743,424</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reinsurance recoverable on unpaid claims, end of period</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466,095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429,752</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Reserves for losses and LAE, end of period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1,376,946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1,173,176</w:t>
            </w: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disaggregated revenues from contracts with customers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SUA commission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SUA fee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commission and fee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1"/>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contract assets from commission and fee income as of March 31, 2024 and December 31, 2023 were $1.5 million and $1.0 million, respectively. Contract assets were $1.3 million as of both March 31, 2023 and December 31, 2022.</w:t>
      </w:r>
    </w:p>
    <w:p>
      <w:pPr>
        <w:spacing w:after="0" w:line="50"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Underwriting, Acquisition and Insurance Expenses</w:t>
      </w:r>
    </w:p>
    <w:p>
      <w:pPr>
        <w:spacing w:after="0" w:line="12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underwriting, acquisition and insurance expenses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37,797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30,420</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underwriting, acquisition and insurance expenses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effects of reinsurance on written and earned premiums and losses and loss adjustment expenses for the three months ended March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900" w:type="dxa"/>
            <w:vAlign w:val="bottom"/>
            <w:tcBorders>
              <w:top w:val="single" w:sz="8" w:color="auto"/>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r>
      <w:tr>
        <w:trPr>
          <w:trHeight w:val="223"/>
        </w:trPr>
        <w:tc>
          <w:tcPr>
            <w:tcW w:w="5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tcBorders>
              <w:bottom w:val="single" w:sz="8" w:color="auto"/>
            </w:tcBorders>
          </w:tcPr>
          <w:p>
            <w:pPr>
              <w:spacing w:after="0"/>
              <w:rPr>
                <w:sz w:val="19"/>
                <w:szCs w:val="19"/>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8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240" w:type="dxa"/>
            <w:vAlign w:val="bottom"/>
          </w:tcPr>
          <w:p>
            <w:pPr>
              <w:spacing w:after="0"/>
              <w:rPr>
                <w:sz w:val="19"/>
                <w:szCs w:val="19"/>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Written</w:t>
            </w:r>
          </w:p>
        </w:tc>
        <w:tc>
          <w:tcPr>
            <w:tcW w:w="30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Earned</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premiums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366,796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327,172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308,213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262,658</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39,131</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premiums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(153,016)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(118,958)</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287,100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236,342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182,831</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85,619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reinsurance recoverables and ceded unearned premium as of March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Ceded unpaid losses and LAE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466,095</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455,484</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paid losses and LAE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127,385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122,287</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portfolio transfer</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20,858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612,043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596,334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Ceded unearned premium</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204,625</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186,121</w:t>
            </w:r>
          </w:p>
        </w:tc>
      </w:tr>
      <w:tr>
        <w:trPr>
          <w:trHeight w:val="21"/>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March 31, 2024, the market value of these accounts was approximately $171.2 million. The trust amount will be adjusted periodically, by mutual agreement, based on claim payments and loss reserve recoverables.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ceded reinsurance contracts that transfer only significant timing risk and do not transfer sufficient underwriting risk are accounted for using the deposit method of accounting. The Company’s deposit asset at March 31, 2024 and December 31, 2023 was $27.5 million and $29.9 million, respectively, and was included in other assets on the condensed consolidated balance sheets.</w:t>
      </w:r>
    </w:p>
    <w:p>
      <w:pPr>
        <w:spacing w:after="0" w:line="64"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compilation of basic and diluted net earnings per share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share and per share amounts)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Less: Undistributed income allocated to participating securities</w:t>
            </w: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common stockholders (numerator for basic earnings per share)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14,282</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 back: Undistributed income allocated to participating securities</w:t>
            </w:r>
          </w:p>
        </w:tc>
        <w:tc>
          <w:tcPr>
            <w:tcW w:w="3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23"/>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(numerator for diluted earnings per share under the two-class method)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15,556</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weighted-average common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39,108,351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32,848,243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preferred shares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2,931,256</w:t>
            </w:r>
          </w:p>
        </w:tc>
        <w:tc>
          <w:tcPr>
            <w:tcW w:w="0" w:type="dxa"/>
            <w:vAlign w:val="bottom"/>
          </w:tcPr>
          <w:p>
            <w:pPr>
              <w:spacing w:after="0"/>
              <w:rPr>
                <w:sz w:val="1"/>
                <w:szCs w:val="1"/>
                <w:color w:val="auto"/>
              </w:rPr>
            </w:pPr>
          </w:p>
        </w:tc>
      </w:tr>
      <w:tr>
        <w:trPr>
          <w:trHeight w:val="270"/>
        </w:trPr>
        <w:tc>
          <w:tcPr>
            <w:tcW w:w="8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Dilutive effect of stock notes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711,752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708,746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Dilutive effect of stock units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935,890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444,612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Dilutive effect of options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329,143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Diluted weighted-average common share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41,085,136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36,952,073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0.94</w:t>
            </w:r>
          </w:p>
        </w:tc>
        <w:tc>
          <w:tcPr>
            <w:tcW w:w="80" w:type="dxa"/>
            <w:vAlign w:val="bottom"/>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54"/>
        </w:trPr>
        <w:tc>
          <w:tcPr>
            <w:tcW w:w="80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anti-dilutive instruments that were excluded from the calculation of diluted weighted-average common share equivalents during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4"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70,671</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443,951</w:t>
            </w:r>
          </w:p>
        </w:tc>
      </w:tr>
      <w:tr>
        <w:trPr>
          <w:trHeight w:val="238"/>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333,551</w:t>
            </w:r>
          </w:p>
        </w:tc>
      </w:tr>
      <w:tr>
        <w:trPr>
          <w:trHeight w:val="45"/>
        </w:trPr>
        <w:tc>
          <w:tcPr>
            <w:tcW w:w="80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common share equivalents of contingently issuable instruments that were excluded from basic earnings per share in the three months ended March 31, 2024 and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spacing w:after="0"/>
              <w:rPr>
                <w:sz w:val="21"/>
                <w:szCs w:val="21"/>
                <w:color w:val="auto"/>
              </w:rPr>
            </w:pPr>
          </w:p>
        </w:tc>
        <w:tc>
          <w:tcPr>
            <w:tcW w:w="3200" w:type="dxa"/>
            <w:vAlign w:val="bottom"/>
            <w:tcBorders>
              <w:top w:val="single" w:sz="8" w:color="auto"/>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4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866,428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1,054,510</w:t>
            </w:r>
          </w:p>
        </w:tc>
      </w:tr>
      <w:tr>
        <w:trPr>
          <w:trHeight w:val="54"/>
        </w:trPr>
        <w:tc>
          <w:tcPr>
            <w:tcW w:w="80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167" w:lineRule="exact"/>
        <w:rPr>
          <w:sz w:val="20"/>
          <w:szCs w:val="20"/>
          <w:color w:val="auto"/>
        </w:rPr>
      </w:pPr>
    </w:p>
    <w:p>
      <w:pPr>
        <w:ind w:right="8820" w:firstLine="8"/>
        <w:spacing w:after="0" w:line="378" w:lineRule="auto"/>
        <w:tabs>
          <w:tab w:leader="none" w:pos="319"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 Westaim</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2023, Westaim dissolved Westaim HIIG LP and obtained direct ownership of the Company’s common stock held by the partnership. Westaim subsequently transferred the direct ownership of the Company’s stock to the wholly owned general partnership, Westaim HIIG GP Inc. As of March 31, 2024 and December 31, 2023, Westaim, including shares beneficially owned through Westaim HIIG GP Inc., owned 17.5% of the Company’s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RISCOM</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RISCOM provides the Company with wholesale brokerage services. RISCOM and the Company also have a managing general agency agreement. The Company holds a 20% ownership interest in RISCOM.</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earned premium and gross commission expense related to these agreements for the three months ended March 31,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w:t>
            </w:r>
          </w:p>
        </w:tc>
      </w:tr>
      <w:tr>
        <w:trPr>
          <w:trHeight w:val="23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r>
      <w:tr>
        <w:trPr>
          <w:trHeight w:val="45"/>
        </w:trPr>
        <w:tc>
          <w:tcPr>
            <w:tcW w:w="80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Premiums receivable as of March 31, 2024 and December 31, 2023 were $15.6 million and $10.6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Advisory and professional services fees and expense reimbursements paid to various affiliated stockholders and directors for the three months ended March 31, 2024 were $2.0 million, compared to $2.1 million for the three months ended March 31, 2023.</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4 and 5 for investments involving affiliated companies and additional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8360" w:firstLine="8"/>
        <w:spacing w:after="0" w:line="377" w:lineRule="auto"/>
        <w:tabs>
          <w:tab w:leader="none" w:pos="31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 Litigation</w:t>
      </w:r>
    </w:p>
    <w:p>
      <w:pPr>
        <w:spacing w:after="0" w:line="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 believes the resolution of any such matters will not, individually or in the aggregate, have a material adverse effect on the Company’s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sale of business assets and subsidiaries, the Company has provided indemnifications to certain of the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“first quarter” as used below refers to the three months ended March 31 for the time period then ended. We discuss certain key metrics which provide useful information about our business and the operational factors underlying our financial performance. Many of these metrics are generally standard among insurance companies and help to provide comparability with our peers. Select insurance, accounting, operating and financial terms for Skyward Specialty are defined in the sections entitled “Select Insurance and Financial Terms” and “Key Operating and Financial Metrics” included in our Annual Report on Form 10-K for the year ended December 31, 2023 (the “2023 Form 10-K”).</w:t>
      </w:r>
    </w:p>
    <w:p>
      <w:pPr>
        <w:spacing w:after="0" w:line="7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discussion and analysis below include certain forward-looking statements that are subject to risks, uncertainties and other factors described in "Risk Factors" in our Annual Report on Form 10-K for the year ended December 31, 2023. Our actual results could differ materially from those anticipated in these forward-looking statements as a result of many factors.</w:t>
      </w:r>
    </w:p>
    <w:p>
      <w:pPr>
        <w:spacing w:after="0" w:line="6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results of operations for the three months ended March 31, 2024 are not necessarily indicative of the results that may be expected for the full year ended December 31, 2024,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for the year ended December 31, 2023.</w:t>
      </w:r>
    </w:p>
    <w:p>
      <w:pPr>
        <w:spacing w:after="0" w:line="7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Founded in 2006, Skyward Specialty is a specialty insurance holding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eight distinct underwriting divisions has dedicated underwriting leadership supported by high-quality technical staff with deep experience in their respective niches. We believe this structure and expertise allows us to serve the needs of our customers effectively and be a value-add partner to our distributors, while earning attractive risk-adjusted returns.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insurance company subsidiaries are group rated and have financial strength ratings of “A-” (Excellent) with positive outlook from the 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458,620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360,498</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(171,520)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(158,357)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written premiums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287,100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202,141</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vMerge w:val="continue"/>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rPr>
              <w:t>236,342</w:t>
            </w:r>
          </w:p>
        </w:tc>
        <w:tc>
          <w:tcPr>
            <w:tcW w:w="100" w:type="dxa"/>
            <w:vAlign w:val="bottom"/>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182,831</w:t>
            </w: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 and fee income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3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143,914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114,900</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69,774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51,655</w:t>
            </w:r>
          </w:p>
        </w:tc>
        <w:tc>
          <w:tcPr>
            <w:tcW w:w="0" w:type="dxa"/>
            <w:vAlign w:val="bottom"/>
          </w:tcPr>
          <w:p>
            <w:pPr>
              <w:spacing w:after="0"/>
              <w:rPr>
                <w:sz w:val="1"/>
                <w:szCs w:val="1"/>
                <w:color w:val="auto"/>
              </w:rPr>
            </w:pPr>
          </w:p>
        </w:tc>
      </w:tr>
      <w:tr>
        <w:trPr>
          <w:trHeight w:val="223"/>
        </w:trPr>
        <w:tc>
          <w:tcPr>
            <w:tcW w:w="7740" w:type="dxa"/>
            <w:vAlign w:val="bottom"/>
          </w:tcPr>
          <w:p>
            <w:pPr>
              <w:ind w:left="240"/>
              <w:spacing w:after="0" w:line="223" w:lineRule="exact"/>
              <w:rPr>
                <w:sz w:val="20"/>
                <w:szCs w:val="20"/>
                <w:color w:val="auto"/>
              </w:rPr>
            </w:pPr>
            <w:r>
              <w:rPr>
                <w:rFonts w:ascii="Times New Roman" w:cs="Times New Roman" w:eastAsia="Times New Roman" w:hAnsi="Times New Roman"/>
                <w:sz w:val="18"/>
                <w:szCs w:val="18"/>
                <w:color w:val="auto"/>
              </w:rPr>
              <w:t>Underwriting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24,680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17,768</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18,297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gains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8,303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46,977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19,722</w:t>
            </w: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36,784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15,556</w:t>
            </w: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operating income</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30,974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15,486</w:t>
            </w:r>
          </w:p>
        </w:tc>
        <w:tc>
          <w:tcPr>
            <w:tcW w:w="0" w:type="dxa"/>
            <w:vAlign w:val="bottom"/>
          </w:tcPr>
          <w:p>
            <w:pPr>
              <w:spacing w:after="0"/>
              <w:rPr>
                <w:sz w:val="1"/>
                <w:szCs w:val="1"/>
                <w:color w:val="auto"/>
              </w:rPr>
            </w:pPr>
          </w:p>
        </w:tc>
      </w:tr>
    </w:tbl>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and LAE ratio</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loss and LAE ratio</w:t>
            </w:r>
            <w:r>
              <w:rPr>
                <w:rFonts w:ascii="Times New Roman" w:cs="Times New Roman" w:eastAsia="Times New Roman" w:hAnsi="Times New Roman"/>
                <w:sz w:val="23"/>
                <w:szCs w:val="23"/>
                <w:color w:val="auto"/>
                <w:vertAlign w:val="superscript"/>
              </w:rPr>
              <w:t>(1)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61.0 %</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48"/>
        </w:trPr>
        <w:tc>
          <w:tcPr>
            <w:tcW w:w="77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Adjusted combined ratio</w:t>
            </w:r>
            <w:r>
              <w:rPr>
                <w:rFonts w:ascii="Times New Roman" w:cs="Times New Roman" w:eastAsia="Times New Roman" w:hAnsi="Times New Roman"/>
                <w:sz w:val="23"/>
                <w:szCs w:val="23"/>
                <w:color w:val="auto"/>
                <w:vertAlign w:val="superscript"/>
              </w:rPr>
              <w:t>(1)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21.7 %</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30"/>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return on tangible equity</w:t>
            </w:r>
            <w:r>
              <w:rPr>
                <w:rFonts w:ascii="Times New Roman" w:cs="Times New Roman" w:eastAsia="Times New Roman" w:hAnsi="Times New Roman"/>
                <w:sz w:val="23"/>
                <w:szCs w:val="23"/>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Annualized adjusted return on equity</w:t>
            </w:r>
            <w:r>
              <w:rPr>
                <w:rFonts w:ascii="Times New Roman" w:cs="Times New Roman" w:eastAsia="Times New Roman" w:hAnsi="Times New Roman"/>
                <w:sz w:val="23"/>
                <w:szCs w:val="23"/>
                <w:color w:val="auto"/>
                <w:vertAlign w:val="superscript"/>
              </w:rPr>
              <w:t>(1)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8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r>
              <w:rPr>
                <w:rFonts w:ascii="Times New Roman" w:cs="Times New Roman" w:eastAsia="Times New Roman" w:hAnsi="Times New Roman"/>
                <w:sz w:val="23"/>
                <w:szCs w:val="23"/>
                <w:color w:val="auto"/>
                <w:vertAlign w:val="superscript"/>
              </w:rPr>
              <w:t>(1)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21.1 %</w:t>
            </w:r>
          </w:p>
        </w:tc>
        <w:tc>
          <w:tcPr>
            <w:tcW w:w="1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r>
    </w:tbl>
    <w:p>
      <w:pPr>
        <w:ind w:left="180" w:hanging="141"/>
        <w:spacing w:after="0" w:line="210" w:lineRule="auto"/>
        <w:tabs>
          <w:tab w:leader="none" w:pos="180" w:val="left"/>
        </w:tabs>
        <w:numPr>
          <w:ilvl w:val="0"/>
          <w:numId w:val="16"/>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15240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Operating Income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adjusted operating income to net income for the three months ended March 31,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5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r>
      <w:tr>
        <w:trPr>
          <w:trHeight w:val="223"/>
        </w:trPr>
        <w:tc>
          <w:tcPr>
            <w:tcW w:w="5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tcBorders>
          </w:tcPr>
          <w:p>
            <w:pPr>
              <w:spacing w:after="0"/>
              <w:rPr>
                <w:sz w:val="19"/>
                <w:szCs w:val="19"/>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Pre-tax</w:t>
            </w:r>
          </w:p>
        </w:tc>
        <w:tc>
          <w:tcPr>
            <w:tcW w:w="18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After-tax</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Pre-tax</w:t>
            </w:r>
          </w:p>
        </w:tc>
        <w:tc>
          <w:tcPr>
            <w:tcW w:w="2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After-tax</w:t>
            </w: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as reported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36,784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w:t>
            </w: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impact of LPT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gains</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30"/>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30,974</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15,486</w:t>
            </w:r>
          </w:p>
        </w:tc>
      </w:tr>
      <w:tr>
        <w:trPr>
          <w:trHeight w:val="21"/>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Income</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underwriting income to income before federal income tax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84"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federal income tax expense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19,722</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29"/>
        </w:trPr>
        <w:tc>
          <w:tcPr>
            <w:tcW w:w="8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8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r>
      <w:tr>
        <w:trPr>
          <w:trHeight w:val="229"/>
        </w:trPr>
        <w:tc>
          <w:tcPr>
            <w:tcW w:w="8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investment gains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Underwriting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24,680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Loss Ratio / Adjusted Combined Ratio</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adjusted loss and LAE ratio and adjusted combined ratio to the loss and LAE ratio and combined ratio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62865</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84"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182,831</w:t>
            </w:r>
          </w:p>
        </w:tc>
      </w:tr>
      <w:tr>
        <w:trPr>
          <w:trHeight w:val="229"/>
        </w:trPr>
        <w:tc>
          <w:tcPr>
            <w:tcW w:w="7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LAE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Pre-tax net impact of loss portfolio transfer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losses and LAE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144,155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115,142</w:t>
            </w:r>
          </w:p>
        </w:tc>
      </w:tr>
      <w:tr>
        <w:trPr>
          <w:trHeight w:val="236"/>
        </w:trPr>
        <w:tc>
          <w:tcPr>
            <w:tcW w:w="7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ratio</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90.2 %</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impact of LPT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combined ratio</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Stockholders’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tangible stockholders’ equity to stockholders’ equity for the periods ended March 31,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80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692,272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507,146</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Goodwill and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89,503</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Tangible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417,643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annualized adjusted return on equity to annualized return on equity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29"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123,896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61,943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676,652</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464,404</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equity</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54"/>
        </w:trPr>
        <w:tc>
          <w:tcPr>
            <w:tcW w:w="77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Return on Tangible Equity</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Annualized return on tangible equity for the three months ended March 31, 2024 and 2023 reconciles to annualized return on equity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147,136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62,224</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588,366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374,718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return on tangible equity</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54"/>
        </w:trPr>
        <w:tc>
          <w:tcPr>
            <w:tcW w:w="7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Adjusted Return on Tangible Equity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Annualized adjusted return on tangible equity for the three months ended March 31, 2024 and 2023 reconciles to annualized return on equity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annualized adjusted 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123,896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61,943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average tangible stockholders’ equity</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588,366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374,718</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adjusted return on tangible equity</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54"/>
        </w:trPr>
        <w:tc>
          <w:tcPr>
            <w:tcW w:w="7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gross written premiums by underwriting division for the three months ended March 31, 2024 and 2023:</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92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Property &amp; Agriculture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Captives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Lines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Transactional E&amp;S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Surety</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Total gross written premiums</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458,655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360,255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98,400</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Excludes exited business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92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increase in gross written premiums for the first quarter of 2024, when compared to the same 2023 period, was primarily driven by double-digit premium growth primarily from our captives, transactional E&amp;S, surety, global property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&amp; agriculture and professional lines underwriting divisions. The double-digit premium growth was due to new business and increased rates.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written premiums for the first quarter of March 31, 2024 were $287.1 million, an increase of $85.0 million or 42.0%, when compared to the same 2023 period.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earned premiums for the three months ended March 31, 2024 were $236.3 million, an increase of $53.5 million, or 29.3%, when compared to the same 2023 period. The increases in net earned premiums were primarily driven by the same reasons that drove the increases in gross written premiums discussed above.</w:t>
      </w:r>
    </w:p>
    <w:p>
      <w:pPr>
        <w:spacing w:after="0" w:line="66" w:lineRule="exact"/>
        <w:rPr>
          <w:sz w:val="20"/>
          <w:szCs w:val="20"/>
          <w:color w:val="auto"/>
        </w:rPr>
      </w:pPr>
    </w:p>
    <w:p>
      <w:pPr>
        <w:ind w:right="2200" w:firstLine="324"/>
        <w:spacing w:after="0" w:line="376" w:lineRule="auto"/>
        <w:rPr>
          <w:sz w:val="20"/>
          <w:szCs w:val="20"/>
          <w:color w:val="auto"/>
        </w:rPr>
      </w:pPr>
      <w:r>
        <w:rPr>
          <w:rFonts w:ascii="Times New Roman" w:cs="Times New Roman" w:eastAsia="Times New Roman" w:hAnsi="Times New Roman"/>
          <w:sz w:val="18"/>
          <w:szCs w:val="18"/>
          <w:color w:val="auto"/>
        </w:rPr>
        <w:t>For additional information regarding our reinsurance programs, see the “Reinsurance” discussion included in this Item 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and LAE</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components of the loss and LAE ratios and adjusted loss and LAE ratios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Losses and LAE:</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Prior accident year development - LPT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losses and LAE</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losses and LAE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p>
      <w:pPr>
        <w:ind w:left="140"/>
        <w:spacing w:after="0"/>
        <w:rPr>
          <w:sz w:val="20"/>
          <w:szCs w:val="20"/>
          <w:color w:val="auto"/>
        </w:rPr>
      </w:pPr>
      <w:r>
        <w:rPr>
          <w:rFonts w:ascii="Times New Roman" w:cs="Times New Roman" w:eastAsia="Times New Roman" w:hAnsi="Times New Roman"/>
          <w:sz w:val="18"/>
          <w:szCs w:val="18"/>
          <w:color w:val="auto"/>
        </w:rPr>
        <w:t>Non-cat loss and LAE</w:t>
      </w:r>
      <w:r>
        <w:rPr>
          <w:rFonts w:ascii="Times New Roman" w:cs="Times New Roman" w:eastAsia="Times New Roman" w:hAnsi="Times New Roman"/>
          <w:sz w:val="23"/>
          <w:szCs w:val="23"/>
          <w:color w:val="auto"/>
          <w:vertAlign w:val="superscript"/>
        </w:rPr>
        <w:t>(1)</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Cat loss and LAE</w:t>
      </w:r>
      <w:r>
        <w:rPr>
          <w:rFonts w:ascii="Times New Roman" w:cs="Times New Roman" w:eastAsia="Times New Roman" w:hAnsi="Times New Roman"/>
          <w:sz w:val="23"/>
          <w:szCs w:val="23"/>
          <w:color w:val="auto"/>
          <w:vertAlign w:val="superscript"/>
        </w:rPr>
        <w:t>(1)</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adjusted losses and LAE</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48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8"/>
                <w:szCs w:val="18"/>
                <w:color w:val="auto"/>
                <w:w w:val="97"/>
              </w:rPr>
              <w:t>Losses</w:t>
            </w:r>
          </w:p>
        </w:tc>
        <w:tc>
          <w:tcPr>
            <w:tcW w:w="1220" w:type="dxa"/>
            <w:vAlign w:val="bottom"/>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vMerge w:val="restart"/>
          </w:tcPr>
          <w:p>
            <w:pPr>
              <w:jc w:val="center"/>
              <w:ind w:right="580"/>
              <w:spacing w:after="0"/>
              <w:rPr>
                <w:sz w:val="20"/>
                <w:szCs w:val="20"/>
                <w:color w:val="auto"/>
              </w:rPr>
            </w:pPr>
            <w:r>
              <w:rPr>
                <w:rFonts w:ascii="Times New Roman" w:cs="Times New Roman" w:eastAsia="Times New Roman" w:hAnsi="Times New Roman"/>
                <w:sz w:val="18"/>
                <w:szCs w:val="18"/>
                <w:color w:val="auto"/>
              </w:rPr>
              <w:t>Losses</w:t>
            </w: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32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color w:val="auto"/>
              </w:rPr>
              <w:t>Net Earned</w:t>
            </w:r>
          </w:p>
        </w:tc>
        <w:tc>
          <w:tcPr>
            <w:tcW w:w="2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2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4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7"/>
              </w:rPr>
              <w:t>and LAE</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Premiums</w:t>
            </w:r>
          </w:p>
        </w:tc>
        <w:tc>
          <w:tcPr>
            <w:tcW w:w="220" w:type="dxa"/>
            <w:vAlign w:val="bottom"/>
          </w:tcPr>
          <w:p>
            <w:pPr>
              <w:spacing w:after="0"/>
              <w:rPr>
                <w:sz w:val="21"/>
                <w:szCs w:val="21"/>
                <w:color w:val="auto"/>
              </w:rPr>
            </w:pPr>
          </w:p>
        </w:tc>
        <w:tc>
          <w:tcPr>
            <w:tcW w:w="148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and LAE</w:t>
            </w:r>
          </w:p>
        </w:tc>
        <w:tc>
          <w:tcPr>
            <w:tcW w:w="1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520"/>
        </w:trPr>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143,155</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143,914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143,155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60.6 %</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0" w:type="dxa"/>
            <w:vAlign w:val="bottom"/>
          </w:tcPr>
          <w:p>
            <w:pPr>
              <w:spacing w:after="0"/>
              <w:rPr>
                <w:sz w:val="1"/>
                <w:szCs w:val="1"/>
                <w:color w:val="auto"/>
              </w:rPr>
            </w:pPr>
          </w:p>
        </w:tc>
      </w:tr>
      <w:tr>
        <w:trPr>
          <w:trHeight w:val="270"/>
        </w:trPr>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0.4 %</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144,155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61.0 %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-1534160</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-1191260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-848360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-530860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-187960</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580" w:space="720"/>
            <w:col w:w="5940"/>
          </w:cols>
          <w:pgMar w:left="320" w:top="135" w:right="339" w:bottom="1440" w:gutter="0" w:footer="0" w:header="0"/>
          <w:type w:val="continuous"/>
        </w:sectPr>
      </w:pPr>
    </w:p>
    <w:p>
      <w:pPr>
        <w:ind w:left="160" w:hanging="134"/>
        <w:spacing w:after="0"/>
        <w:tabs>
          <w:tab w:leader="none" w:pos="160" w:val="left"/>
        </w:tabs>
        <w:numPr>
          <w:ilvl w:val="0"/>
          <w:numId w:val="1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Current accident year</w:t>
      </w:r>
    </w:p>
    <w:p>
      <w:pPr>
        <w:spacing w:after="0" w:line="55" w:lineRule="exact"/>
        <w:rPr>
          <w:rFonts w:ascii="Times New Roman" w:cs="Times New Roman" w:eastAsia="Times New Roman" w:hAnsi="Times New Roman"/>
          <w:sz w:val="17"/>
          <w:szCs w:val="17"/>
          <w:i w:val="1"/>
          <w:iCs w:val="1"/>
          <w:color w:val="auto"/>
          <w:vertAlign w:val="superscript"/>
        </w:rPr>
      </w:pPr>
    </w:p>
    <w:p>
      <w:pPr>
        <w:ind w:left="180" w:hanging="154"/>
        <w:spacing w:after="0" w:line="191" w:lineRule="auto"/>
        <w:tabs>
          <w:tab w:leader="none" w:pos="180" w:val="left"/>
        </w:tabs>
        <w:numPr>
          <w:ilvl w:val="0"/>
          <w:numId w:val="1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loss ratio for the first quarter of 2024 improved 1.9 points when compared to the same 2023 period. The first quarter of 2024 was minimally impacted by catastrophe losses, while the first quarter of 2023 was impacted by wind and hail events, including tornadoes, which added 1.8 points to the 2023 loss ratio. The non-cat loss and LAE ratio improved 0.5 points when compared to the same 2023 period, primarily driven by the shift in the mix of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the expense ratios for the three months ended March 31,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360" w:type="dxa"/>
            <w:vAlign w:val="bottom"/>
            <w:tcBorders>
              <w:top w:val="single" w:sz="8" w:color="auto"/>
              <w:bottom w:val="single" w:sz="8" w:color="auto"/>
            </w:tcBorders>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4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right="250"/>
              <w:spacing w:after="0" w:line="169" w:lineRule="exact"/>
              <w:rPr>
                <w:sz w:val="20"/>
                <w:szCs w:val="20"/>
                <w:color w:val="auto"/>
              </w:rPr>
            </w:pPr>
            <w:r>
              <w:rPr>
                <w:rFonts w:ascii="Times New Roman" w:cs="Times New Roman" w:eastAsia="Times New Roman" w:hAnsi="Times New Roman"/>
                <w:sz w:val="18"/>
                <w:szCs w:val="18"/>
                <w:color w:val="auto"/>
                <w:w w:val="98"/>
              </w:rPr>
              <w:t>% of</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8"/>
              </w:rPr>
              <w:t>Net Earned</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Premiums</w:t>
            </w:r>
          </w:p>
        </w:tc>
        <w:tc>
          <w:tcPr>
            <w:tcW w:w="220" w:type="dxa"/>
            <w:vAlign w:val="bottom"/>
          </w:tcPr>
          <w:p>
            <w:pPr>
              <w:spacing w:after="0"/>
              <w:rPr>
                <w:sz w:val="21"/>
                <w:szCs w:val="21"/>
                <w:color w:val="auto"/>
              </w:rPr>
            </w:pP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Premiums</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policy acquisition expenses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31,977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21,235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and general expenses</w:t>
            </w:r>
          </w:p>
        </w:tc>
        <w:tc>
          <w:tcPr>
            <w:tcW w:w="220" w:type="dxa"/>
            <w:vAlign w:val="bottom"/>
          </w:tcPr>
          <w:p>
            <w:pPr>
              <w:spacing w:after="0"/>
              <w:rPr>
                <w:sz w:val="19"/>
                <w:szCs w:val="19"/>
                <w:color w:val="auto"/>
              </w:rPr>
            </w:pPr>
          </w:p>
        </w:tc>
        <w:tc>
          <w:tcPr>
            <w:tcW w:w="10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37,797</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30,420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acquisition and insurance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69,774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51,655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commission and fee income</w:t>
            </w:r>
          </w:p>
        </w:tc>
        <w:tc>
          <w:tcPr>
            <w:tcW w:w="220" w:type="dxa"/>
            <w:vAlign w:val="bottom"/>
          </w:tcPr>
          <w:p>
            <w:pPr>
              <w:spacing w:after="0"/>
              <w:rPr>
                <w:sz w:val="19"/>
                <w:szCs w:val="19"/>
                <w:color w:val="auto"/>
              </w:rPr>
            </w:pP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w w:val="95"/>
              </w:rPr>
              <w:t>(2,026)</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67,748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50,163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expense ratio for the first quarter of 2024 increased 1.3 points when compared to the same 2023 period, primarily driven by the business mix shift.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expense ratios for the first quarter of 2024 and 2023, respectively, exclude the impact of IPO related stock compensation and secondary offering expenses, which are reported in other expenses in our condensed consolidated statements of operations and comprehensive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Results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Beginning January 1, 2024 we simplified the investment portfolio classifications to align with our strategy and the underlying risk characteristics of the portfolio. The prior period has been reclassified to conform to the current period presentation.</w:t>
      </w:r>
    </w:p>
    <w:p>
      <w:pPr>
        <w:spacing w:after="0" w:line="54" w:lineRule="exact"/>
        <w:rPr>
          <w:sz w:val="20"/>
          <w:szCs w:val="20"/>
          <w:color w:val="auto"/>
        </w:rPr>
      </w:pPr>
    </w:p>
    <w:p>
      <w:pPr>
        <w:jc w:val="both"/>
        <w:ind w:firstLine="324"/>
        <w:spacing w:after="0" w:line="279" w:lineRule="auto"/>
        <w:rPr>
          <w:sz w:val="20"/>
          <w:szCs w:val="20"/>
          <w:color w:val="auto"/>
        </w:rPr>
      </w:pPr>
      <w:r>
        <w:rPr>
          <w:rFonts w:ascii="Times New Roman" w:cs="Times New Roman" w:eastAsia="Times New Roman" w:hAnsi="Times New Roman"/>
          <w:sz w:val="18"/>
          <w:szCs w:val="18"/>
          <w:color w:val="auto"/>
        </w:rPr>
        <w:t>The following table sets forth the components of net investment income and net investment gains (losses) for the 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71062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&amp; 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2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0" w:type="dxa"/>
            <w:vAlign w:val="bottom"/>
          </w:tcPr>
          <w:p>
            <w:pPr>
              <w:spacing w:after="0"/>
              <w:rPr>
                <w:sz w:val="1"/>
                <w:szCs w:val="1"/>
                <w:color w:val="auto"/>
              </w:rPr>
            </w:pPr>
          </w:p>
        </w:tc>
      </w:tr>
      <w:tr>
        <w:trPr>
          <w:trHeight w:val="221"/>
        </w:trPr>
        <w:tc>
          <w:tcPr>
            <w:tcW w:w="798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18,297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unrealized gains on securities still held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80" w:type="dxa"/>
            <w:vAlign w:val="bottom"/>
            <w:vMerge w:val="continue"/>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8,991</w:t>
            </w:r>
          </w:p>
        </w:tc>
        <w:tc>
          <w:tcPr>
            <w:tcW w:w="100" w:type="dxa"/>
            <w:vAlign w:val="bottom"/>
          </w:tcPr>
          <w:p>
            <w:pPr>
              <w:spacing w:after="0"/>
              <w:rPr>
                <w:sz w:val="17"/>
                <w:szCs w:val="17"/>
                <w:color w:val="auto"/>
              </w:rPr>
            </w:pPr>
          </w:p>
        </w:tc>
        <w:tc>
          <w:tcPr>
            <w:tcW w:w="3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3,767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0" w:type="dxa"/>
            <w:vAlign w:val="bottom"/>
          </w:tcPr>
          <w:p>
            <w:pPr>
              <w:spacing w:after="0"/>
              <w:rPr>
                <w:sz w:val="1"/>
                <w:szCs w:val="1"/>
                <w:color w:val="auto"/>
              </w:rPr>
            </w:pP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investment gains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investment income for the first quarter of 2024 increased $13.7 million when compared to the same 2023 period.</w:t>
      </w:r>
    </w:p>
    <w:p>
      <w:pPr>
        <w:spacing w:after="0" w:line="11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increase in income from our fixed income portfolio for the first quarter of 2024, when compared to the same 2023 period, was due to (i) a larger asset base as we continued to increase our allocation to this part of our investment portfolio and (ii) a higher book yield of 4.7% at March 31, 2024 compared to 4.0% at March 31, 2023. The increase in income from short-term investments &amp; cash and cash equivalents for the first quarter of 2024, when compared to the same 2023 period, was due to higher investment yields and a larger asset base. The fair value of our alternative and strategic investments portfolio for the first quarter of 2024 increased when compared to the same 2023 period, which was impacted by a decline in the fair value of limited partnership investments.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March 31, 2024 and determined that no credit impairment existed in the gross unrealized holding losses. See Note 2, “Investments” to our condensed consolidated financial statements included in Item 1 of this Form 10-Q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Composition of Investment Portfolio</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investment portfolio at carrying value at March 31, 2024 and December 31, 2023:</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48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1240" w:type="dxa"/>
            <w:vAlign w:val="bottom"/>
            <w:tcBorders>
              <w:top w:val="single" w:sz="8" w:color="auto"/>
              <w:bottom w:val="single" w:sz="8" w:color="auto"/>
            </w:tcBorders>
          </w:tcPr>
          <w:p>
            <w:pPr>
              <w:spacing w:after="0"/>
              <w:rPr>
                <w:sz w:val="21"/>
                <w:szCs w:val="2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0" w:type="dxa"/>
            <w:vAlign w:val="bottom"/>
          </w:tcPr>
          <w:p>
            <w:pPr>
              <w:spacing w:after="0"/>
              <w:rPr>
                <w:sz w:val="19"/>
                <w:szCs w:val="19"/>
                <w:color w:val="auto"/>
              </w:rPr>
            </w:pPr>
          </w:p>
        </w:tc>
        <w:tc>
          <w:tcPr>
            <w:tcW w:w="17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Carrying Value</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Carrying Value</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297,932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1,109,484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and strategic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23"/>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1,758,265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1,679,578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income</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fixed income portfolio primarily consists of investment grade fixed income securities, which are predominantly highly-rated and liquid bonds, and commercial mortgage loans.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components of our fixed income securities at March 31, 2024 and December 31,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00" w:type="dxa"/>
            <w:vAlign w:val="bottom"/>
          </w:tcPr>
          <w:p>
            <w:pPr>
              <w:spacing w:after="0"/>
              <w:rPr>
                <w:sz w:val="19"/>
                <w:szCs w:val="19"/>
                <w:color w:val="auto"/>
              </w:rPr>
            </w:pPr>
          </w:p>
        </w:tc>
        <w:tc>
          <w:tcPr>
            <w:tcW w:w="16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w w:val="96"/>
              </w:rPr>
              <w:t>Carrying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Carrying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44,166</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securities and miscellaneous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383,420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92,778</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283,014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29,934</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asset-backed securities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185,727</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17.4 %</w:t>
            </w:r>
          </w:p>
        </w:tc>
      </w:tr>
      <w:tr>
        <w:trPr>
          <w:trHeight w:val="223"/>
        </w:trPr>
        <w:tc>
          <w:tcPr>
            <w:tcW w:w="5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1,065,175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95.3 %</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loans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44,309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1,067,721</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credit rating of our available-for-sale fixed income portfolio was “AA-” by Standard &amp; Poor’s Financial Services, LLC (“Standard &amp; Poor’s”) at March 31, 2024 and December 31, 2023. The following table sets forth the credit quality of our available-for-sale fixed income portfolio at March 31, 2024 and December 31, 2023, as rated by Standard &amp; Poor’s or equivalent designation: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90"/>
              <w:spacing w:after="0"/>
              <w:rPr>
                <w:sz w:val="20"/>
                <w:szCs w:val="20"/>
                <w:color w:val="auto"/>
              </w:rPr>
            </w:pPr>
            <w:r>
              <w:rPr>
                <w:rFonts w:ascii="Times New Roman" w:cs="Times New Roman" w:eastAsia="Times New Roman" w:hAnsi="Times New Roman"/>
                <w:sz w:val="18"/>
                <w:szCs w:val="18"/>
                <w:color w:val="auto"/>
                <w:w w:val="94"/>
              </w:rPr>
              <w:t>2023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00" w:type="dxa"/>
            <w:vAlign w:val="bottom"/>
          </w:tcPr>
          <w:p>
            <w:pPr>
              <w:spacing w:after="0"/>
              <w:rPr>
                <w:sz w:val="19"/>
                <w:szCs w:val="19"/>
                <w:color w:val="auto"/>
              </w:rPr>
            </w:pPr>
          </w:p>
        </w:tc>
        <w:tc>
          <w:tcPr>
            <w:tcW w:w="15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Fair Value</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 of 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478,029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493,252</w:t>
            </w: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233,487</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173,597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154,096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BB and Lower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30,910</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fixed income portfolio,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1,065,175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1,017,651</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commercial mortgage loans are primarily senior loans on real estate across the U.S.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average duration of our fixed income portfolio was approximately 4.18 years and 4.24 years, respectively, as of March 31, 2024 and December 31,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Equities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equities portfolio primarily consists of domestic preferred stocks, common equities, exchange traded funds, limited partnerships, limited liability corporations and other types of equity interests, 100.0% of which are publicly traded.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Alternative and strategic investments</w:t>
      </w:r>
    </w:p>
    <w:p>
      <w:pPr>
        <w:spacing w:after="0" w:line="11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Alternative investments consists of promissory notes, limited partnerships, joint ventures and equity interests. The underlying investments are primarily floating rate senior secured loans, comprised of short duration, collateralized, asset-oriented credit investments. The limited partnerships and joint ventures are subject to future increases or decreases in asset value as asset values are monetized and the income is distributed. At March 31, 2024 and December 31, 2023, 78.9% and 77.8%, respectively, of the alternative investments were managed by Arena Investors, LPA which is affiliated with Westaim, our largest stockholder. Strategic investments consists of equity interests in private entities within the insurance industry.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Income tax expense for the three months ended March 31, 2024 was $10.2 million compared to $4.2 million for the same 2023 period. Our effective tax rate for the three months ended March 31, 2024 was 21.7%, compared to 21.1% for the same 2023 period. For additional information, see Note 7 of our condensed consolidated financial statements included in Item 1 of this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cash flows for the three months ended March 31, 2024 and 2023 were: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94,265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107,207</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(193,426)</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66,455</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14,933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increase in cash provided by operating activities in 2024 and 2023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in 2024 and 2023 was primarily driven by purchases of fixed maturity securities and short-term investments.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in 2024 was driven by net payments on debt.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29, 2023, we entered into an unsecured revolving credit facility (the “Revolving Credit Facility”) with a syndicate of participating banks. The Revolving Credit Facility provides us with up to a $150.0 million revolving credit facility, with an accordion that can increase the capacity by $50.0 million, and a letter of credit sub-facility of up to $30.0 million.</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2024, we drew $50.0 million on the Revolving Credit Facility and used the proceeds and existing cash to fund the redemption of the Debentures (see “Debentures” below for additional information regarding the redemption). As of March 31, 2024, we had $100.0 million outstanding under the Revolving Credit Facility with another $50.0 million of undrawn capacity.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on the Revolving Credit Facility is payable quarterly. The interest rate on the Revolving Credit Facility is the SOFR plus a margin of between 150 and 190 basis points based on the ratio of debt to total capital and a credit spread adjustment of 10 basis points. The following table sets forth the outstanding draws on the Revolving Credit Facility as of March 31, 2024:</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540" w:type="dxa"/>
            <w:vAlign w:val="bottom"/>
            <w:tcBorders>
              <w:top w:val="single" w:sz="8" w:color="auto"/>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223"/>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Margin</w:t>
            </w:r>
          </w:p>
        </w:tc>
        <w:tc>
          <w:tcPr>
            <w:tcW w:w="1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Six-month SOFR</w:t>
            </w:r>
          </w:p>
        </w:tc>
        <w:tc>
          <w:tcPr>
            <w:tcW w:w="1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Net interest rate</w:t>
            </w:r>
          </w:p>
        </w:tc>
      </w:tr>
      <w:tr>
        <w:trPr>
          <w:trHeight w:val="223"/>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2024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6.85 %</w:t>
            </w: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29,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5.23 %</w:t>
            </w:r>
          </w:p>
        </w:tc>
        <w:tc>
          <w:tcPr>
            <w:tcW w:w="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r>
      <w:tr>
        <w:trPr>
          <w:trHeight w:val="49"/>
        </w:trPr>
        <w:tc>
          <w:tcPr>
            <w:tcW w:w="4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covenants on the Revolving Credit Facility based on minimum net worth, maximum debt to capital ratio, minimum A.M. Best Rating and minimum liquidity. As of March 31, 2024, we are in compliance with all covenants.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Debentures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On March 15, 2024, the Company redeemed the Debentures and paid $1.4 million of accrued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Subordinated Debt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eight-year commitment requires all interest payments to be paid in full, as well as the return of all capital. Principal payment is due at maturity on May 24, 2039 and interest is payable quarterly.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2024 the ratio of total debt outstanding, including the Revolving Credit Facility, the Trust Preferred and the Notes, to total capitalization (defined as total debt plus stockholders’ equity) was 14.7% and at December 31, 2023, the ratio of total debt outstanding, including the Term Loan, the Revolver, the Trust Preferred and the Notes, to total capitalization was 16.3%.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50" w:lineRule="exact"/>
        <w:rPr>
          <w:sz w:val="20"/>
          <w:szCs w:val="20"/>
          <w:color w:val="auto"/>
        </w:rPr>
      </w:pPr>
    </w:p>
    <w:p>
      <w:pPr>
        <w:ind w:left="660" w:right="2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Quota share reinsurance </w:t>
      </w:r>
      <w:r>
        <w:rPr>
          <w:rFonts w:ascii="Times New Roman" w:cs="Times New Roman" w:eastAsia="Times New Roman" w:hAnsi="Times New Roman"/>
          <w:sz w:val="18"/>
          <w:szCs w:val="18"/>
          <w:color w:val="auto"/>
        </w:rPr>
        <w:t>refers to a reinsurance contract whereby the reinsurer agrees to assume a specified percentage of the ceding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arising out of a defined class of business in exchange for a corresponding percentage of premiums, net of a ceding commission.</w:t>
      </w:r>
    </w:p>
    <w:p>
      <w:pPr>
        <w:spacing w:after="0" w:line="4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Excess of loss reinsurance </w:t>
      </w:r>
      <w:r>
        <w:rPr>
          <w:rFonts w:ascii="Times New Roman" w:cs="Times New Roman" w:eastAsia="Times New Roman" w:hAnsi="Times New Roman"/>
          <w:sz w:val="18"/>
          <w:szCs w:val="18"/>
          <w:color w:val="auto"/>
        </w:rPr>
        <w:t>refers to a reinsurance contract whereby the reinsurer agrees to assume all or a portion of the ceding company’s losses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individual claim or an event in excess of a specified amount in exchange for a premium payable amount negotiated between the parties, which includes our catastrophe reinsurance program.</w:t>
      </w:r>
    </w:p>
    <w:p>
      <w:pPr>
        <w:spacing w:after="0" w:line="62"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Facultative coverage </w:t>
      </w:r>
      <w:r>
        <w:rPr>
          <w:rFonts w:ascii="Times New Roman" w:cs="Times New Roman" w:eastAsia="Times New Roman" w:hAnsi="Times New Roman"/>
          <w:sz w:val="18"/>
          <w:szCs w:val="18"/>
          <w:color w:val="auto"/>
        </w:rPr>
        <w:t>refers to a reinsurance contract on individual risks as opposed to a group or class of business. It is used for a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reasons, including supplementing the limits provided by the treaty coverage or covering risks or perils excluded from treaty reinsurance.</w:t>
      </w:r>
    </w:p>
    <w:p>
      <w:pPr>
        <w:spacing w:after="0" w:line="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our net retention on a written basis (calculated as net written premiums as a percentage of gross written premiums) was 62.6%, compared to 56.1% for the same 2023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reinsurance programs as of March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28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&amp; Health</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$0.90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Commercial Auto</w:t>
            </w:r>
            <w:r>
              <w:rPr>
                <w:rFonts w:ascii="Times New Roman" w:cs="Times New Roman" w:eastAsia="Times New Roman" w:hAnsi="Times New Roman"/>
                <w:sz w:val="23"/>
                <w:szCs w:val="23"/>
                <w:color w:val="auto"/>
                <w:vertAlign w:val="superscript"/>
              </w:rPr>
              <w:t>(1)</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$1.00 million per occurrence</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Cyber</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$2.69 million per occurrence</w:t>
            </w:r>
          </w:p>
        </w:tc>
      </w:tr>
      <w:tr>
        <w:trPr>
          <w:trHeight w:val="230"/>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Excess Casualty</w:t>
            </w:r>
            <w:r>
              <w:rPr>
                <w:rFonts w:ascii="Times New Roman" w:cs="Times New Roman" w:eastAsia="Times New Roman" w:hAnsi="Times New Roman"/>
                <w:sz w:val="23"/>
                <w:szCs w:val="23"/>
                <w:color w:val="auto"/>
                <w:vertAlign w:val="superscript"/>
              </w:rPr>
              <w:t>(1)(2)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$1.25 million per occurrence</w:t>
            </w:r>
          </w:p>
        </w:tc>
      </w:tr>
      <w:tr>
        <w:trPr>
          <w:trHeight w:val="229"/>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Liability</w:t>
            </w:r>
            <w:r>
              <w:rPr>
                <w:rFonts w:ascii="Times New Roman" w:cs="Times New Roman" w:eastAsia="Times New Roman" w:hAnsi="Times New Roman"/>
                <w:sz w:val="23"/>
                <w:szCs w:val="23"/>
                <w:color w:val="auto"/>
                <w:vertAlign w:val="superscript"/>
              </w:rPr>
              <w:t>(1)</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 million per occurrence</w:t>
            </w:r>
          </w:p>
        </w:tc>
      </w:tr>
      <w:tr>
        <w:trPr>
          <w:trHeight w:val="229"/>
        </w:trPr>
        <w:tc>
          <w:tcPr>
            <w:tcW w:w="8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Lines</w:t>
            </w:r>
            <w:r>
              <w:rPr>
                <w:rFonts w:ascii="Times New Roman" w:cs="Times New Roman" w:eastAsia="Times New Roman" w:hAnsi="Times New Roman"/>
                <w:sz w:val="23"/>
                <w:szCs w:val="23"/>
                <w:color w:val="auto"/>
                <w:vertAlign w:val="superscript"/>
              </w:rPr>
              <w:t>(2)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$5.21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Property</w:t>
            </w:r>
            <w:r>
              <w:rPr>
                <w:rFonts w:ascii="Times New Roman" w:cs="Times New Roman" w:eastAsia="Times New Roman" w:hAnsi="Times New Roman"/>
                <w:sz w:val="23"/>
                <w:szCs w:val="23"/>
                <w:color w:val="auto"/>
                <w:vertAlign w:val="superscript"/>
              </w:rPr>
              <w:t>(3)</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$2.80 million per occurrence</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Representation and Warranty</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$3.25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Surety</w:t>
            </w:r>
            <w:r>
              <w:rPr>
                <w:rFonts w:ascii="Times New Roman" w:cs="Times New Roman" w:eastAsia="Times New Roman" w:hAnsi="Times New Roman"/>
                <w:sz w:val="23"/>
                <w:szCs w:val="23"/>
                <w:color w:val="auto"/>
                <w:vertAlign w:val="superscript"/>
              </w:rPr>
              <w:t>(2)</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 million per occurrence</w:t>
            </w:r>
          </w:p>
        </w:tc>
      </w:tr>
      <w:tr>
        <w:trPr>
          <w:trHeight w:val="281"/>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w:t>
            </w:r>
            <w:r>
              <w:rPr>
                <w:rFonts w:ascii="Times New Roman" w:cs="Times New Roman" w:eastAsia="Times New Roman" w:hAnsi="Times New Roman"/>
                <w:sz w:val="23"/>
                <w:szCs w:val="23"/>
                <w:color w:val="auto"/>
                <w:vertAlign w:val="superscript"/>
              </w:rPr>
              <w:t>(2)</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$2.33 million per occurrence</w:t>
            </w:r>
          </w:p>
        </w:tc>
      </w:tr>
    </w:tbl>
    <w:p>
      <w:pPr>
        <w:ind w:left="180" w:hanging="154"/>
        <w:spacing w:after="0" w:line="199" w:lineRule="auto"/>
        <w:tabs>
          <w:tab w:leader="none" w:pos="180" w:val="left"/>
        </w:tabs>
        <w:numPr>
          <w:ilvl w:val="0"/>
          <w:numId w:val="1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Legal defense expenses can force exposure above the maximum company retention for Excess Casualty, Commercial Auto and General Liability.</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1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Reinsurance is subject to a loss ratio cap or aggregate level of loss cover that exceeds a modeled 1:250-year PML event.</w:t>
      </w:r>
    </w:p>
    <w:p>
      <w:pPr>
        <w:spacing w:after="0" w:line="30" w:lineRule="exact"/>
        <w:rPr>
          <w:rFonts w:ascii="Times New Roman" w:cs="Times New Roman" w:eastAsia="Times New Roman" w:hAnsi="Times New Roman"/>
          <w:sz w:val="19"/>
          <w:szCs w:val="19"/>
          <w:i w:val="1"/>
          <w:iCs w:val="1"/>
          <w:color w:val="auto"/>
          <w:vertAlign w:val="superscript"/>
        </w:rPr>
      </w:pPr>
    </w:p>
    <w:p>
      <w:pPr>
        <w:ind w:left="180" w:hanging="154"/>
        <w:spacing w:after="0" w:line="189" w:lineRule="auto"/>
        <w:tabs>
          <w:tab w:leader="none" w:pos="180" w:val="left"/>
        </w:tabs>
        <w:numPr>
          <w:ilvl w:val="0"/>
          <w:numId w:val="1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Catastrophe loss protection is purchased up to $28.0 million in excess of $12.0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Financial Strength Ratings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25, 2023, A.M. Best affirmed Skyward Specialty’s financial strength rating of A- (Excellent) and revised the outlook to positive from stable.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our Annual Report on Form 10-K for the year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2024,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in the quarter ended March 31, 2024 from those disclosed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Exhibits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60" w:type="dxa"/>
            <w:vAlign w:val="bottom"/>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3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00" w:type="dxa"/>
            <w:vAlign w:val="bottom"/>
            <w:tcBorders>
              <w:top w:val="single" w:sz="8" w:color="auto"/>
            </w:tcBorders>
            <w:gridSpan w:val="13"/>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9"/>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11"/>
          </w:tcPr>
          <w:p>
            <w:pPr>
              <w:spacing w:after="0" w:line="129" w:lineRule="exact"/>
              <w:rPr>
                <w:rFonts w:ascii="Times New Roman" w:cs="Times New Roman" w:eastAsia="Times New Roman" w:hAnsi="Times New Roman"/>
                <w:sz w:val="13"/>
                <w:szCs w:val="13"/>
                <w:color w:val="0000FF"/>
              </w:rPr>
            </w:pPr>
            <w:hyperlink r:id="rId80">
              <w:r>
                <w:rPr>
                  <w:rFonts w:ascii="Times New Roman" w:cs="Times New Roman" w:eastAsia="Times New Roman" w:hAnsi="Times New Roman"/>
                  <w:sz w:val="13"/>
                  <w:szCs w:val="13"/>
                  <w:color w:val="0000FF"/>
                </w:rPr>
                <w:t>8-K filed with the Commission on January 18, 2023).</w:t>
              </w:r>
            </w:hyperlink>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gridSpan w:val="13"/>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8"/>
        </w:trPr>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Commission on January 18, 2023).</w:t>
              </w:r>
            </w:hyperlink>
          </w:p>
        </w:tc>
        <w:tc>
          <w:tcPr>
            <w:tcW w:w="7140" w:type="dxa"/>
            <w:vAlign w:val="bottom"/>
            <w:tcBorders>
              <w:top w:val="single" w:sz="8" w:color="0000FF"/>
            </w:tcBorders>
            <w:gridSpan w:val="8"/>
          </w:tcPr>
          <w:p>
            <w:pPr>
              <w:spacing w:after="0"/>
              <w:rPr>
                <w:sz w:val="11"/>
                <w:szCs w:val="11"/>
                <w:color w:val="auto"/>
              </w:rPr>
            </w:pP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gridSpan w:val="13"/>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reference to Exhibit 4.1 to the Company’s Registration Statement on Form S-1, filed with the SEC on November 14, 2022).</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tcBorders>
              <w:top w:val="single" w:sz="8" w:color="0000FF"/>
            </w:tcBorders>
            <w:gridSpan w:val="5"/>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adopted pursuant to Section 302 of the Sarbanes-Oxley Act of 2002.</w:t>
            </w:r>
          </w:p>
        </w:tc>
        <w:tc>
          <w:tcPr>
            <w:tcW w:w="408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8"/>
                <w:szCs w:val="18"/>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8"/>
        </w:trPr>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0"/>
                <w:szCs w:val="20"/>
                <w:color w:val="auto"/>
              </w:rPr>
            </w:pPr>
          </w:p>
        </w:tc>
        <w:tc>
          <w:tcPr>
            <w:tcW w:w="99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340" w:hanging="961"/>
        <w:spacing w:after="0"/>
        <w:tabs>
          <w:tab w:leader="none" w:pos="1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ind w:left="360" w:hanging="352"/>
        <w:spacing w:after="0" w:line="284" w:lineRule="auto"/>
        <w:tabs>
          <w:tab w:leader="none" w:pos="358"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All financial statement schedules are omitted because the information called for is not required or is shown either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or in the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1431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Skyward Specialty Insurance Group, Inc.</w:t>
            </w: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3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0"/>
        </w:trPr>
        <w:tc>
          <w:tcPr>
            <w:tcW w:w="3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3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3, 2024</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32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0"/>
        </w:trPr>
        <w:tc>
          <w:tcPr>
            <w:tcW w:w="3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3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Robinson, certify that:</w:t>
      </w:r>
    </w:p>
    <w:p>
      <w:pPr>
        <w:spacing w:after="0" w:line="117"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3, 2024</w:t>
            </w: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11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Haushill, certify that:</w:t>
      </w:r>
    </w:p>
    <w:p>
      <w:pPr>
        <w:spacing w:after="0" w:line="11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Skyward Specialty Insurance Group, Inc.;</w:t>
      </w:r>
    </w:p>
    <w:p>
      <w:pPr>
        <w:spacing w:after="0" w:line="11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8"/>
        <w:spacing w:after="0" w:line="282"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spacing w:after="0" w:line="266" w:lineRule="auto"/>
        <w:tabs>
          <w:tab w:leader="none" w:pos="1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8"/>
        <w:spacing w:after="0" w:line="282"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29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spacing w:after="0" w:line="282" w:lineRule="auto"/>
        <w:tabs>
          <w:tab w:leader="none" w:pos="130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3, 2024</w:t>
            </w: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Skyward Specialty Insurance Group, Inc. (the “Company”) for the three months ended March 31, 2024,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2" w:lineRule="exact"/>
        <w:rPr>
          <w:sz w:val="20"/>
          <w:szCs w:val="20"/>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3, 2024</w:t>
            </w: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Robinson</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Robinson</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45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May 3, 2024</w:t>
            </w: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Haushill</w:t>
            </w:r>
          </w:p>
        </w:tc>
      </w:tr>
      <w:tr>
        <w:trPr>
          <w:trHeight w:val="218"/>
        </w:trPr>
        <w:tc>
          <w:tcPr>
            <w:tcW w:w="7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Name: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Haushill</w:t>
            </w:r>
          </w:p>
        </w:tc>
      </w:tr>
      <w:tr>
        <w:trPr>
          <w:trHeight w:val="234"/>
        </w:trPr>
        <w:tc>
          <w:tcPr>
            <w:tcW w:w="7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Title:</w:t>
            </w: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decimal"/>
      <w:start w:val="13"/>
    </w:lvl>
  </w:abstractNum>
  <w:abstractNum w:abstractNumId="14">
    <w:nsid w:val="257130A3"/>
    <w:multiLevelType w:val="hybridMultilevel"/>
    <w:lvl w:ilvl="0">
      <w:lvlJc w:val="left"/>
      <w:lvlText w:val="%1."/>
      <w:numFmt w:val="decimal"/>
      <w:start w:val="14"/>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lvl w:ilvl="1">
      <w:lvlJc w:val="left"/>
      <w:lvlText w:val="%2"/>
      <w:numFmt w:val="decimal"/>
      <w:start w:val="104"/>
    </w:lvl>
  </w:abstractNum>
  <w:abstractNum w:abstractNumId="20">
    <w:nsid w:val="2443A858"/>
    <w:multiLevelType w:val="hybridMultilevel"/>
    <w:lvl w:ilvl="0">
      <w:lvlJc w:val="left"/>
      <w:lvlText w:val="(%1)"/>
      <w:numFmt w:val="lowerLetter"/>
      <w:start w:val="2"/>
    </w:lvl>
    <w:lvl w:ilvl="1">
      <w:lvlJc w:val="left"/>
      <w:lvlText w:val="%2"/>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0" Type="http://schemas.openxmlformats.org/officeDocument/2006/relationships/hyperlink" Target="https://www.sec.gov/Archives/edgar/data/1519449/000110465923004624/tm233575d1_ex3-1.htm" TargetMode="External"/><Relationship Id="rId81" Type="http://schemas.openxmlformats.org/officeDocument/2006/relationships/hyperlink" Target="https://www.sec.gov/Archives/edgar/data/1519449/000110465923004624/tm233575d1_ex3-2.htm" TargetMode="External"/><Relationship Id="rId82" Type="http://schemas.openxmlformats.org/officeDocument/2006/relationships/hyperlink" Target="https://www.sec.gov/Archives/edgar/data/1519449/000110465922117762/tm228594d12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2024-05-03T11:57:29Z</dcterms:created>
  <dcterms:modified xsi:type="dcterms:W3CDTF">2024-05-03T11:57:29Z</dcterms:modified>
</cp:coreProperties>
</file>