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93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9300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Robinson Andrew S</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800 GESSNER</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600</w:t>
            </w:r>
          </w:p>
        </w:tc>
        <w:tc>
          <w:tcPr>
            <w:tcW w:w="9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77024</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3"/>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Skyward Specialty Insurance Group, Inc.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340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3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SKWD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820" w:type="dxa"/>
            <w:vAlign w:val="bottom"/>
            <w:gridSpan w:val="3"/>
            <w:vMerge w:val="continue"/>
          </w:tcPr>
          <w:p>
            <w:pPr>
              <w:spacing w:after="0"/>
              <w:rPr>
                <w:sz w:val="9"/>
                <w:szCs w:val="9"/>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3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0" w:type="dxa"/>
            <w:vAlign w:val="bottom"/>
            <w:tcBorders>
              <w:bottom w:val="single" w:sz="8" w:color="2C2C2C"/>
            </w:tcBorders>
          </w:tcPr>
          <w:p>
            <w:pPr>
              <w:spacing w:after="0"/>
              <w:rPr>
                <w:sz w:val="12"/>
                <w:szCs w:val="12"/>
                <w:color w:val="auto"/>
              </w:rPr>
            </w:pPr>
          </w:p>
        </w:tc>
        <w:tc>
          <w:tcPr>
            <w:tcW w:w="3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840" w:type="dxa"/>
            <w:vAlign w:val="bottom"/>
          </w:tcPr>
          <w:p>
            <w:pPr>
              <w:ind w:left="600"/>
              <w:spacing w:after="0" w:line="142"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4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4"/>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460"/>
              <w:spacing w:after="0" w:line="194" w:lineRule="exact"/>
              <w:rPr>
                <w:sz w:val="20"/>
                <w:szCs w:val="20"/>
                <w:color w:val="auto"/>
              </w:rPr>
            </w:pPr>
            <w:r>
              <w:rPr>
                <w:rFonts w:ascii="Times New Roman" w:cs="Times New Roman" w:eastAsia="Times New Roman" w:hAnsi="Times New Roman"/>
                <w:sz w:val="17"/>
                <w:szCs w:val="17"/>
                <w:color w:val="0000FF"/>
              </w:rPr>
              <w:t>Chairman &amp; CEO, Skyward Group</w:t>
            </w:r>
          </w:p>
        </w:tc>
        <w:tc>
          <w:tcPr>
            <w:tcW w:w="0" w:type="dxa"/>
            <w:vAlign w:val="bottom"/>
          </w:tcPr>
          <w:p>
            <w:pPr>
              <w:spacing w:after="0"/>
              <w:rPr>
                <w:sz w:val="1"/>
                <w:szCs w:val="1"/>
                <w:color w:val="auto"/>
              </w:rPr>
            </w:pPr>
          </w:p>
        </w:tc>
      </w:tr>
      <w:tr>
        <w:trPr>
          <w:trHeight w:val="218"/>
        </w:trPr>
        <w:tc>
          <w:tcPr>
            <w:tcW w:w="3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05/06/2026</w:t>
            </w: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 w:type="dxa"/>
            <w:vAlign w:val="bottom"/>
            <w:tcBorders>
              <w:bottom w:val="single" w:sz="8" w:color="2C2C2C"/>
            </w:tcBorders>
          </w:tcPr>
          <w:p>
            <w:pPr>
              <w:spacing w:after="0"/>
              <w:rPr>
                <w:sz w:val="14"/>
                <w:szCs w:val="14"/>
                <w:color w:val="auto"/>
              </w:rPr>
            </w:pPr>
          </w:p>
        </w:tc>
        <w:tc>
          <w:tcPr>
            <w:tcW w:w="34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jc w:val="right"/>
              <w:ind w:right="1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right"/>
              <w:ind w:right="15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05/06/2026</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20,150</w:t>
            </w:r>
            <w:r>
              <w:rPr>
                <w:rFonts w:ascii="Times New Roman" w:cs="Times New Roman" w:eastAsia="Times New Roman" w:hAnsi="Times New Roman"/>
                <w:sz w:val="21"/>
                <w:szCs w:val="21"/>
                <w:color w:val="008000"/>
                <w:vertAlign w:val="superscript"/>
              </w:rPr>
              <w:t>(1)</w:t>
            </w:r>
          </w:p>
        </w:tc>
        <w:tc>
          <w:tcPr>
            <w:tcW w:w="56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187,824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05/06/2026</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7,930</w:t>
            </w: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179,894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2023 LTIP</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05/06/2026</w:t>
            </w:r>
          </w:p>
        </w:tc>
        <w:tc>
          <w:tcPr>
            <w:tcW w:w="114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1"/>
                <w:szCs w:val="21"/>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15,151</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15,151</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 PSUs</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right"/>
              <w:ind w:right="15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that were acquired by the Reporting Person in connection with the settlement of the Performance Share Units ("PSUs") listed in Line I of Table II.</w:t>
      </w:r>
    </w:p>
    <w:p>
      <w:pPr>
        <w:spacing w:after="0" w:line="44"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disposition reported on this Form 4 represents shares withheld to cover tax withholding obligations in connection with the vesting and settlement of the PSUs listed in Line I of Table II. The disposition is mandated by the Issuer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represents the right to receive one share of the Issuer's Common Stock upon settlement.</w:t>
      </w:r>
    </w:p>
    <w:p>
      <w:pPr>
        <w:spacing w:after="0" w:line="44" w:lineRule="exact"/>
        <w:rPr>
          <w:rFonts w:ascii="Times New Roman" w:cs="Times New Roman" w:eastAsia="Times New Roman" w:hAnsi="Times New Roman"/>
          <w:sz w:val="13"/>
          <w:szCs w:val="13"/>
          <w:color w:val="008000"/>
        </w:rPr>
      </w:pPr>
    </w:p>
    <w:p>
      <w:pPr>
        <w:ind w:left="40" w:right="3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27, 2023, the Reporting Person was awarded 15,151 PSUs. The PSUs are subject to obtaining specified performance criteria from January 1, 2023 through December 31, 2025. The number of PSUs subject to vest under this award can range from 0% to 150% of the amount shown. This award fully vested on December 31, 2025 and settled upon certification by the Compensation Committee of the Board of Directors.</w:t>
      </w:r>
    </w:p>
    <w:p>
      <w:pPr>
        <w:spacing w:after="0" w:line="1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Stacy E. Skelton,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05/08/2026</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5833" TargetMode="External"/><Relationship Id="rId14" Type="http://schemas.openxmlformats.org/officeDocument/2006/relationships/hyperlink" Target="http://www.sec.gov/cgi-bin/browse-edgar?action=getcompany&amp;CIK=00015194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2026-05-08T15:56:21Z</dcterms:created>
  <dcterms:modified xsi:type="dcterms:W3CDTF">2026-05-08T15:56:21Z</dcterms:modified>
</cp:coreProperties>
</file>