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40" w:before="0" w:after="3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40" w:before="0" w:after="120"/>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1"/>
        <w:gridCol w:w="2886"/>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  to ____________</w:t>
            </w:r>
          </w:p>
        </w:tc>
      </w:tr>
    </w:tbl>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001-41591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SKYWARD SPECIALTY INSURANCE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614" w:type="dxa"/>
        <w:jc w:val="left"/>
        <w:tblInd w:w="0" w:type="dxa"/>
        <w:tblLayout w:type="fixed"/>
        <w:tblCellMar>
          <w:top w:w="28" w:type="dxa"/>
          <w:left w:w="28" w:type="dxa"/>
          <w:bottom w:w="28" w:type="dxa"/>
          <w:right w:w="28" w:type="dxa"/>
        </w:tblCellMar>
      </w:tblPr>
      <w:tblGrid>
        <w:gridCol w:w="1795"/>
        <w:gridCol w:w="1577"/>
        <w:gridCol w:w="1593"/>
        <w:gridCol w:w="481"/>
        <w:gridCol w:w="481"/>
        <w:gridCol w:w="687"/>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20"/>
              </w:rPr>
            </w:pPr>
            <w:r>
              <w:rPr>
                <w:rFonts w:ascii="Times New Roman;serif" w:hAnsi="Times New Roman;serif"/>
                <w:b/>
                <w:color w:val="000000"/>
                <w:sz w:val="20"/>
              </w:rPr>
              <w:t>14-1957288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800 Gessner Road, Suite 600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77024-4284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(713) 935-4800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24" w:type="dxa"/>
        <w:jc w:val="left"/>
        <w:tblInd w:w="0" w:type="dxa"/>
        <w:tblLayout w:type="fixed"/>
        <w:tblCellMar>
          <w:top w:w="28" w:type="dxa"/>
          <w:left w:w="28" w:type="dxa"/>
          <w:bottom w:w="28" w:type="dxa"/>
          <w:right w:w="28" w:type="dxa"/>
        </w:tblCellMar>
      </w:tblPr>
      <w:tblGrid>
        <w:gridCol w:w="978"/>
        <w:gridCol w:w="856"/>
        <w:gridCol w:w="866"/>
        <w:gridCol w:w="539"/>
        <w:gridCol w:w="539"/>
        <w:gridCol w:w="541"/>
        <w:gridCol w:w="1085"/>
        <w:gridCol w:w="1085"/>
        <w:gridCol w:w="1535"/>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SKWD</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40" w:before="0" w:after="12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color w:val="000000"/>
        </w:rPr>
        <w:t>☐</w:t>
      </w:r>
    </w:p>
    <w:p>
      <w:pPr>
        <w:pStyle w:val="TextBody"/>
        <w:bidi w:val="0"/>
        <w:spacing w:lineRule="auto" w:line="240" w:before="0" w:after="12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r>
        <w:rPr>
          <w:color w:val="000000"/>
        </w:rPr>
        <w:t>☐ </w:t>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53" w:after="30"/>
              <w:jc w:val="right"/>
              <w:rPr>
                <w:color w:val="000000"/>
              </w:rPr>
            </w:pPr>
            <w:r>
              <w:rPr>
                <w:color w:val="000000"/>
              </w:rPr>
              <w:t>☐</w:t>
            </w:r>
          </w:p>
        </w:tc>
      </w:tr>
    </w:tbl>
    <w:p>
      <w:pPr>
        <w:pStyle w:val="TextBody"/>
        <w:bidi w:val="0"/>
        <w:spacing w:lineRule="auto" w:line="240"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before="0" w:after="0"/>
        <w:jc w:val="left"/>
        <w:rPr/>
      </w:pPr>
      <w:r>
        <w:rPr/>
      </w:r>
    </w:p>
    <w:p>
      <w:pPr>
        <w:pStyle w:val="TextBody"/>
        <w:bidi w:val="0"/>
        <w:spacing w:lineRule="auto" w:line="24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2026, the registrant had 44,396,493 shares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12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9"/>
        <w:gridCol w:w="315"/>
        <w:gridCol w:w="310"/>
        <w:gridCol w:w="2972"/>
        <w:gridCol w:w="2848"/>
        <w:gridCol w:w="2858"/>
        <w:gridCol w:w="158"/>
        <w:gridCol w:w="158"/>
        <w:gridCol w:w="227"/>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Form 10-Q</w:t>
            </w:r>
          </w:p>
        </w:tc>
        <w:tc>
          <w:tcPr>
            <w:tcW w:w="86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and Description</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31">
              <w:r>
                <w:rPr>
                  <w:rStyle w:val="InternetLink"/>
                  <w:rFonts w:ascii="Times New Roman;serif" w:hAnsi="Times New Roman;serif"/>
                  <w:b w:val="false"/>
                  <w:strike w:val="false"/>
                  <w:dstrike w:val="false"/>
                  <w:color w:val="000000"/>
                  <w:sz w:val="20"/>
                  <w:u w:val="none"/>
                  <w:effect w:val="none"/>
                </w:rPr>
                <w:t>Part I</w:t>
              </w:r>
            </w:hyperlink>
          </w:p>
        </w:tc>
        <w:tc>
          <w:tcPr>
            <w:tcW w:w="8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34">
              <w:r>
                <w:rPr>
                  <w:rStyle w:val="InternetLink"/>
                  <w:rFonts w:ascii="Times New Roman;serif" w:hAnsi="Times New Roman;serif"/>
                  <w:b w:val="false"/>
                  <w:strike w:val="false"/>
                  <w:dstrike w:val="false"/>
                  <w:color w:val="000000"/>
                  <w:sz w:val="20"/>
                  <w:u w:val="none"/>
                  <w:effect w:val="none"/>
                </w:rPr>
                <w:t>Item 1.</w:t>
              </w:r>
            </w:hyperlink>
            <w:r>
              <w:rPr>
                <w:rFonts w:ascii="Times New Roman;serif" w:hAnsi="Times New Roman;serif"/>
                <w:b w:val="false"/>
                <w:color w:val="000000"/>
                <w:sz w:val="20"/>
              </w:rPr>
              <w:t xml:space="preserve"> </w:t>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34">
              <w:r>
                <w:rPr>
                  <w:rStyle w:val="InternetLink"/>
                  <w:rFonts w:ascii="Times New Roman;serif" w:hAnsi="Times New Roman;serif"/>
                  <w:b w:val="false"/>
                  <w:strike w:val="false"/>
                  <w:dstrike w:val="false"/>
                  <w:color w:val="000000"/>
                  <w:sz w:val="20"/>
                  <w:u w:val="none"/>
                  <w:effect w:val="none"/>
                </w:rPr>
                <w:t>Financial Statements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34">
              <w:r>
                <w:rPr>
                  <w:rStyle w:val="InternetLink"/>
                  <w:rFonts w:ascii="Times New Roman;serif" w:hAnsi="Times New Roman;serif"/>
                  <w:b w:val="false"/>
                  <w:strike w:val="false"/>
                  <w:dstrike w:val="false"/>
                  <w:color w:val="000000"/>
                  <w:sz w:val="20"/>
                  <w:u w:val="none"/>
                  <w:effect w:val="none"/>
                </w:rPr>
                <w:t>3</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40">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June 30, 2026</w:t>
            </w:r>
            <w:hyperlink w:anchor="ife0b29f5792b4ecb8637b77bd02fdb6b_40">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hyperlink w:anchor="ife0b29f5792b4ecb8637b77bd02fdb6b_40">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40">
              <w:r>
                <w:rPr>
                  <w:rStyle w:val="InternetLink"/>
                  <w:rFonts w:ascii="Times New Roman;serif" w:hAnsi="Times New Roman;serif"/>
                  <w:b w:val="false"/>
                  <w:strike w:val="false"/>
                  <w:dstrike w:val="false"/>
                  <w:color w:val="000000"/>
                  <w:sz w:val="20"/>
                  <w:u w:val="none"/>
                  <w:effect w:val="none"/>
                </w:rPr>
                <w:t>3</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43">
              <w:r>
                <w:rPr>
                  <w:rStyle w:val="InternetLink"/>
                  <w:rFonts w:ascii="Times New Roman;serif" w:hAnsi="Times New Roman;serif"/>
                  <w:b w:val="false"/>
                  <w:strike w:val="false"/>
                  <w:dstrike w:val="false"/>
                  <w:color w:val="000080"/>
                  <w:sz w:val="20"/>
                  <w:u w:val="single"/>
                  <w:effect w:val="none"/>
                </w:rPr>
                <w:t>Condensed Consolidated Statements of Operations and Comprehensive Income for the Three</w:t>
              </w:r>
            </w:hyperlink>
            <w:hyperlink w:anchor="ife0b29f5792b4ecb8637b77bd02fdb6b_43">
              <w:r>
                <w:rPr>
                  <w:rStyle w:val="InternetLink"/>
                  <w:rFonts w:ascii="Times New Roman;serif" w:hAnsi="Times New Roman;serif"/>
                  <w:b w:val="false"/>
                  <w:strike w:val="false"/>
                  <w:dstrike w:val="false"/>
                  <w:color w:val="000080"/>
                  <w:sz w:val="20"/>
                  <w:u w:val="single"/>
                  <w:effect w:val="none"/>
                </w:rPr>
                <w:t xml:space="preserve"> and Six</w:t>
              </w:r>
            </w:hyperlink>
            <w:hyperlink w:anchor="ife0b29f5792b4ecb8637b77bd02fdb6b_43">
              <w:r>
                <w:rPr>
                  <w:rStyle w:val="InternetLink"/>
                  <w:rFonts w:ascii="Times New Roman;serif" w:hAnsi="Times New Roman;serif"/>
                  <w:b w:val="false"/>
                  <w:strike w:val="false"/>
                  <w:dstrike w:val="false"/>
                  <w:color w:val="000080"/>
                  <w:sz w:val="20"/>
                  <w:u w:val="single"/>
                  <w:effect w:val="none"/>
                </w:rPr>
                <w:t>-</w:t>
              </w:r>
            </w:hyperlink>
            <w:hyperlink w:anchor="ife0b29f5792b4ecb8637b77bd02fdb6b_43">
              <w:r>
                <w:rPr>
                  <w:rStyle w:val="InternetLink"/>
                  <w:rFonts w:ascii="Times New Roman;serif" w:hAnsi="Times New Roman;serif"/>
                  <w:b w:val="false"/>
                  <w:strike w:val="false"/>
                  <w:dstrike w:val="false"/>
                  <w:color w:val="000080"/>
                  <w:sz w:val="20"/>
                  <w:u w:val="single"/>
                  <w:effect w:val="none"/>
                </w:rPr>
                <w:t xml:space="preserve">Month Periods Ended </w:t>
              </w:r>
            </w:hyperlink>
            <w:r>
              <w:rPr>
                <w:rFonts w:ascii="Times New Roman;serif" w:hAnsi="Times New Roman;serif"/>
                <w:b w:val="false"/>
                <w:color w:val="000000"/>
                <w:sz w:val="20"/>
              </w:rPr>
              <w:t>June 30, 2026</w:t>
            </w:r>
            <w:hyperlink w:anchor="ife0b29f5792b4ecb8637b77bd02fdb6b_4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fe0b29f5792b4ecb8637b77bd02fdb6b_43">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43">
              <w:r>
                <w:rPr>
                  <w:rStyle w:val="InternetLink"/>
                  <w:rFonts w:ascii="Times New Roman;serif" w:hAnsi="Times New Roman;serif"/>
                  <w:b w:val="false"/>
                  <w:strike w:val="false"/>
                  <w:dstrike w:val="false"/>
                  <w:color w:val="000000"/>
                  <w:sz w:val="20"/>
                  <w:u w:val="none"/>
                  <w:effect w:val="none"/>
                </w:rPr>
                <w:t>4</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46">
              <w:r>
                <w:rPr>
                  <w:rStyle w:val="InternetLink"/>
                  <w:rFonts w:ascii="Times New Roman;serif" w:hAnsi="Times New Roman;serif"/>
                  <w:b w:val="false"/>
                  <w:strike w:val="false"/>
                  <w:dstrike w:val="false"/>
                  <w:color w:val="000080"/>
                  <w:sz w:val="20"/>
                  <w:u w:val="single"/>
                  <w:effect w:val="none"/>
                </w:rPr>
                <w:t>Condensed Consolidated Statements of Changes in Stockholders’ Equity for the Three</w:t>
              </w:r>
            </w:hyperlink>
            <w:hyperlink w:anchor="ife0b29f5792b4ecb8637b77bd02fdb6b_46">
              <w:r>
                <w:rPr>
                  <w:rStyle w:val="InternetLink"/>
                  <w:rFonts w:ascii="Times New Roman;serif" w:hAnsi="Times New Roman;serif"/>
                  <w:b w:val="false"/>
                  <w:strike w:val="false"/>
                  <w:dstrike w:val="false"/>
                  <w:color w:val="000080"/>
                  <w:sz w:val="20"/>
                  <w:u w:val="single"/>
                  <w:effect w:val="none"/>
                </w:rPr>
                <w:t xml:space="preserve"> and Six-</w:t>
              </w:r>
            </w:hyperlink>
            <w:hyperlink w:anchor="ife0b29f5792b4ecb8637b77bd02fdb6b_46">
              <w:r>
                <w:rPr>
                  <w:rStyle w:val="InternetLink"/>
                  <w:rFonts w:ascii="Times New Roman;serif" w:hAnsi="Times New Roman;serif"/>
                  <w:b w:val="false"/>
                  <w:strike w:val="false"/>
                  <w:dstrike w:val="false"/>
                  <w:color w:val="000080"/>
                  <w:sz w:val="20"/>
                  <w:u w:val="single"/>
                  <w:effect w:val="none"/>
                </w:rPr>
                <w:t xml:space="preserve">Month Periods Ended </w:t>
              </w:r>
            </w:hyperlink>
            <w:r>
              <w:rPr>
                <w:rFonts w:ascii="Times New Roman;serif" w:hAnsi="Times New Roman;serif"/>
                <w:b w:val="false"/>
                <w:color w:val="000000"/>
                <w:sz w:val="20"/>
              </w:rPr>
              <w:t>June 30, 2026</w:t>
            </w:r>
            <w:hyperlink w:anchor="ife0b29f5792b4ecb8637b77bd02fdb6b_4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fe0b29f5792b4ecb8637b77bd02fdb6b_46">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46">
              <w:r>
                <w:rPr>
                  <w:rStyle w:val="InternetLink"/>
                  <w:rFonts w:ascii="Times New Roman;serif" w:hAnsi="Times New Roman;serif"/>
                  <w:b w:val="false"/>
                  <w:strike w:val="false"/>
                  <w:dstrike w:val="false"/>
                  <w:color w:val="000000"/>
                  <w:sz w:val="20"/>
                  <w:u w:val="none"/>
                  <w:effect w:val="none"/>
                </w:rPr>
                <w:t>5</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55">
              <w:r>
                <w:rPr>
                  <w:rStyle w:val="InternetLink"/>
                  <w:rFonts w:ascii="Times New Roman;serif" w:hAnsi="Times New Roman;serif"/>
                  <w:b w:val="false"/>
                  <w:strike w:val="false"/>
                  <w:dstrike w:val="false"/>
                  <w:color w:val="000080"/>
                  <w:sz w:val="20"/>
                  <w:u w:val="single"/>
                  <w:effect w:val="none"/>
                </w:rPr>
                <w:t xml:space="preserve">Condensed Consolidated Statements of Cash Flows for the </w:t>
              </w:r>
            </w:hyperlink>
            <w:hyperlink w:anchor="ife0b29f5792b4ecb8637b77bd02fdb6b_55">
              <w:r>
                <w:rPr>
                  <w:rStyle w:val="InternetLink"/>
                  <w:rFonts w:ascii="Times New Roman;serif" w:hAnsi="Times New Roman;serif"/>
                  <w:b w:val="false"/>
                  <w:strike w:val="false"/>
                  <w:dstrike w:val="false"/>
                  <w:color w:val="000080"/>
                  <w:sz w:val="20"/>
                  <w:u w:val="single"/>
                  <w:effect w:val="none"/>
                </w:rPr>
                <w:t>Six</w:t>
              </w:r>
            </w:hyperlink>
            <w:hyperlink w:anchor="ife0b29f5792b4ecb8637b77bd02fdb6b_55">
              <w:r>
                <w:rPr>
                  <w:rStyle w:val="InternetLink"/>
                  <w:rFonts w:ascii="Times New Roman;serif" w:hAnsi="Times New Roman;serif"/>
                  <w:b w:val="false"/>
                  <w:strike w:val="false"/>
                  <w:dstrike w:val="false"/>
                  <w:color w:val="000080"/>
                  <w:sz w:val="20"/>
                  <w:u w:val="single"/>
                  <w:effect w:val="none"/>
                </w:rPr>
                <w:t xml:space="preserve">-Month Periods Ended </w:t>
              </w:r>
            </w:hyperlink>
            <w:r>
              <w:rPr>
                <w:rFonts w:ascii="Times New Roman;serif" w:hAnsi="Times New Roman;serif"/>
                <w:b w:val="false"/>
                <w:color w:val="000000"/>
                <w:sz w:val="20"/>
              </w:rPr>
              <w:t>June 30, 2026</w:t>
            </w:r>
            <w:hyperlink w:anchor="ife0b29f5792b4ecb8637b77bd02fdb6b_5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hyperlink w:anchor="ife0b29f5792b4ecb8637b77bd02fdb6b_55">
              <w:r>
                <w:rPr>
                  <w:rStyle w:val="InternetLink"/>
                  <w:rFonts w:ascii="Times New Roman;serif" w:hAnsi="Times New Roman;serif"/>
                  <w:b w:val="false"/>
                  <w:strike w:val="false"/>
                  <w:dstrike w:val="false"/>
                  <w:color w:val="000000"/>
                  <w:sz w:val="20"/>
                  <w:u w:val="none"/>
                  <w:effect w:val="none"/>
                </w:rPr>
                <w:t xml:space="preserve"> (unaudited)</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55">
              <w:r>
                <w:rPr>
                  <w:rStyle w:val="InternetLink"/>
                  <w:rFonts w:ascii="Times New Roman;serif" w:hAnsi="Times New Roman;serif"/>
                  <w:b w:val="false"/>
                  <w:strike w:val="false"/>
                  <w:dstrike w:val="false"/>
                  <w:color w:val="000000"/>
                  <w:sz w:val="20"/>
                  <w:u w:val="none"/>
                  <w:effect w:val="none"/>
                </w:rPr>
                <w:t>7</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58">
              <w:r>
                <w:rPr>
                  <w:rStyle w:val="InternetLink"/>
                  <w:rFonts w:ascii="Times New Roman;serif" w:hAnsi="Times New Roman;serif"/>
                  <w:b w:val="false"/>
                  <w:strike w:val="false"/>
                  <w:dstrike w:val="false"/>
                  <w:color w:val="000000"/>
                  <w:sz w:val="20"/>
                  <w:u w:val="none"/>
                  <w:effect w:val="none"/>
                </w:rPr>
                <w:t>Notes to Condensed Consolidated Financial Statements (unaudited)</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58">
              <w:r>
                <w:rPr>
                  <w:rStyle w:val="InternetLink"/>
                  <w:rFonts w:ascii="Times New Roman;serif" w:hAnsi="Times New Roman;serif"/>
                  <w:b w:val="false"/>
                  <w:strike w:val="false"/>
                  <w:dstrike w:val="false"/>
                  <w:color w:val="000000"/>
                  <w:sz w:val="20"/>
                  <w:u w:val="none"/>
                  <w:effect w:val="none"/>
                </w:rPr>
                <w:t>8</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295">
              <w:r>
                <w:rPr>
                  <w:rStyle w:val="InternetLink"/>
                  <w:rFonts w:ascii="Times New Roman;serif" w:hAnsi="Times New Roman;serif"/>
                  <w:b w:val="false"/>
                  <w:strike w:val="false"/>
                  <w:dstrike w:val="false"/>
                  <w:color w:val="000000"/>
                  <w:sz w:val="20"/>
                  <w:u w:val="none"/>
                  <w:effect w:val="none"/>
                </w:rPr>
                <w:t>Item 2.</w:t>
              </w:r>
            </w:hyperlink>
            <w:r>
              <w:rPr>
                <w:rFonts w:ascii="Times New Roman;serif" w:hAnsi="Times New Roman;serif"/>
                <w:b w:val="false"/>
                <w:color w:val="000000"/>
                <w:sz w:val="20"/>
              </w:rPr>
              <w:t xml:space="preserve"> </w:t>
            </w:r>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295">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295">
              <w:r>
                <w:rPr>
                  <w:rStyle w:val="InternetLink"/>
                  <w:rFonts w:ascii="Times New Roman;serif" w:hAnsi="Times New Roman;serif"/>
                  <w:b w:val="false"/>
                  <w:strike w:val="false"/>
                  <w:dstrike w:val="false"/>
                  <w:color w:val="000000"/>
                  <w:sz w:val="20"/>
                  <w:u w:val="none"/>
                  <w:effect w:val="none"/>
                </w:rPr>
                <w:t>37</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523">
              <w:r>
                <w:rPr>
                  <w:rStyle w:val="InternetLink"/>
                  <w:rFonts w:ascii="Times New Roman;serif" w:hAnsi="Times New Roman;serif"/>
                  <w:b w:val="false"/>
                  <w:strike w:val="false"/>
                  <w:dstrike w:val="false"/>
                  <w:color w:val="000000"/>
                  <w:sz w:val="20"/>
                  <w:u w:val="none"/>
                  <w:effect w:val="none"/>
                </w:rPr>
                <w:t>Item 3.</w:t>
              </w:r>
            </w:hyperlink>
            <w:r>
              <w:rPr>
                <w:rFonts w:ascii="Times New Roman;serif" w:hAnsi="Times New Roman;serif"/>
                <w:b w:val="false"/>
                <w:color w:val="000000"/>
                <w:sz w:val="20"/>
              </w:rPr>
              <w:t xml:space="preserve"> </w:t>
            </w:r>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523">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523">
              <w:r>
                <w:rPr>
                  <w:rStyle w:val="InternetLink"/>
                  <w:rFonts w:ascii="Times New Roman;serif" w:hAnsi="Times New Roman;serif"/>
                  <w:b w:val="false"/>
                  <w:strike w:val="false"/>
                  <w:dstrike w:val="false"/>
                  <w:color w:val="000000"/>
                  <w:sz w:val="20"/>
                  <w:u w:val="none"/>
                  <w:effect w:val="none"/>
                </w:rPr>
                <w:t>53</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532">
              <w:r>
                <w:rPr>
                  <w:rStyle w:val="InternetLink"/>
                  <w:rFonts w:ascii="Times New Roman;serif" w:hAnsi="Times New Roman;serif"/>
                  <w:b w:val="false"/>
                  <w:strike w:val="false"/>
                  <w:dstrike w:val="false"/>
                  <w:color w:val="000000"/>
                  <w:sz w:val="20"/>
                  <w:u w:val="none"/>
                  <w:effect w:val="none"/>
                </w:rPr>
                <w:t>Item 4.</w:t>
              </w:r>
            </w:hyperlink>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532">
              <w:r>
                <w:rPr>
                  <w:rStyle w:val="InternetLink"/>
                  <w:rFonts w:ascii="Times New Roman;serif" w:hAnsi="Times New Roman;serif"/>
                  <w:b w:val="false"/>
                  <w:strike w:val="false"/>
                  <w:dstrike w:val="false"/>
                  <w:color w:val="000000"/>
                  <w:sz w:val="20"/>
                  <w:u w:val="none"/>
                  <w:effect w:val="none"/>
                </w:rPr>
                <w:t>Controls and Procedures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532">
              <w:r>
                <w:rPr>
                  <w:rStyle w:val="InternetLink"/>
                  <w:rFonts w:ascii="Times New Roman;serif" w:hAnsi="Times New Roman;serif"/>
                  <w:b w:val="false"/>
                  <w:strike w:val="false"/>
                  <w:dstrike w:val="false"/>
                  <w:color w:val="000000"/>
                  <w:sz w:val="20"/>
                  <w:u w:val="none"/>
                  <w:effect w:val="none"/>
                </w:rPr>
                <w:t>53</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544">
              <w:r>
                <w:rPr>
                  <w:rStyle w:val="InternetLink"/>
                  <w:rFonts w:ascii="Times New Roman;serif" w:hAnsi="Times New Roman;serif"/>
                  <w:b w:val="false"/>
                  <w:strike w:val="false"/>
                  <w:dstrike w:val="false"/>
                  <w:color w:val="000000"/>
                  <w:sz w:val="20"/>
                  <w:u w:val="none"/>
                  <w:effect w:val="none"/>
                </w:rPr>
                <w:t>Part II</w:t>
              </w:r>
            </w:hyperlink>
          </w:p>
        </w:tc>
        <w:tc>
          <w:tcPr>
            <w:tcW w:w="8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01">
              <w:r>
                <w:rPr>
                  <w:rStyle w:val="InternetLink"/>
                  <w:rFonts w:ascii="Times New Roman;serif" w:hAnsi="Times New Roman;serif"/>
                  <w:b w:val="false"/>
                  <w:strike w:val="false"/>
                  <w:dstrike w:val="false"/>
                  <w:color w:val="000000"/>
                  <w:sz w:val="20"/>
                  <w:u w:val="none"/>
                  <w:effect w:val="none"/>
                </w:rPr>
                <w:t>Item 1.</w:t>
              </w:r>
            </w:hyperlink>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01">
              <w:r>
                <w:rPr>
                  <w:rStyle w:val="InternetLink"/>
                  <w:rFonts w:ascii="Times New Roman;serif" w:hAnsi="Times New Roman;serif"/>
                  <w:b w:val="false"/>
                  <w:strike w:val="false"/>
                  <w:dstrike w:val="false"/>
                  <w:color w:val="000000"/>
                  <w:sz w:val="20"/>
                  <w:u w:val="none"/>
                  <w:effect w:val="none"/>
                </w:rPr>
                <w:t>Legal Proceedings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01">
              <w:r>
                <w:rPr>
                  <w:rStyle w:val="InternetLink"/>
                  <w:rFonts w:ascii="Times New Roman;serif" w:hAnsi="Times New Roman;serif"/>
                  <w:b w:val="false"/>
                  <w:strike w:val="false"/>
                  <w:dstrike w:val="false"/>
                  <w:color w:val="000000"/>
                  <w:sz w:val="20"/>
                  <w:u w:val="none"/>
                  <w:effect w:val="none"/>
                </w:rPr>
                <w:t>54</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04">
              <w:r>
                <w:rPr>
                  <w:rStyle w:val="InternetLink"/>
                  <w:rFonts w:ascii="Times New Roman;serif" w:hAnsi="Times New Roman;serif"/>
                  <w:b w:val="false"/>
                  <w:strike w:val="false"/>
                  <w:dstrike w:val="false"/>
                  <w:color w:val="000000"/>
                  <w:sz w:val="20"/>
                  <w:u w:val="none"/>
                  <w:effect w:val="none"/>
                </w:rPr>
                <w:t>Item 1A.</w:t>
              </w:r>
            </w:hyperlink>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04">
              <w:r>
                <w:rPr>
                  <w:rStyle w:val="InternetLink"/>
                  <w:rFonts w:ascii="Times New Roman;serif" w:hAnsi="Times New Roman;serif"/>
                  <w:b w:val="false"/>
                  <w:strike w:val="false"/>
                  <w:dstrike w:val="false"/>
                  <w:color w:val="000000"/>
                  <w:sz w:val="20"/>
                  <w:u w:val="none"/>
                  <w:effect w:val="none"/>
                </w:rPr>
                <w:t>Risk Factors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04">
              <w:r>
                <w:rPr>
                  <w:rStyle w:val="InternetLink"/>
                  <w:rFonts w:ascii="Times New Roman;serif" w:hAnsi="Times New Roman;serif"/>
                  <w:b w:val="false"/>
                  <w:strike w:val="false"/>
                  <w:dstrike w:val="false"/>
                  <w:color w:val="000000"/>
                  <w:sz w:val="20"/>
                  <w:u w:val="none"/>
                  <w:effect w:val="none"/>
                </w:rPr>
                <w:t>54</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28">
              <w:r>
                <w:rPr>
                  <w:rStyle w:val="InternetLink"/>
                  <w:rFonts w:ascii="Times New Roman;serif" w:hAnsi="Times New Roman;serif"/>
                  <w:b w:val="false"/>
                  <w:strike w:val="false"/>
                  <w:dstrike w:val="false"/>
                  <w:color w:val="000000"/>
                  <w:sz w:val="20"/>
                  <w:u w:val="none"/>
                  <w:effect w:val="none"/>
                </w:rPr>
                <w:t>Item 2.</w:t>
              </w:r>
            </w:hyperlink>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28">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28">
              <w:r>
                <w:rPr>
                  <w:rStyle w:val="InternetLink"/>
                  <w:rFonts w:ascii="Times New Roman;serif" w:hAnsi="Times New Roman;serif"/>
                  <w:b w:val="false"/>
                  <w:strike w:val="false"/>
                  <w:dstrike w:val="false"/>
                  <w:color w:val="000000"/>
                  <w:sz w:val="20"/>
                  <w:u w:val="none"/>
                  <w:effect w:val="none"/>
                </w:rPr>
                <w:t>54</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31">
              <w:r>
                <w:rPr>
                  <w:rStyle w:val="InternetLink"/>
                  <w:rFonts w:ascii="Times New Roman;serif" w:hAnsi="Times New Roman;serif"/>
                  <w:b w:val="false"/>
                  <w:strike w:val="false"/>
                  <w:dstrike w:val="false"/>
                  <w:color w:val="000000"/>
                  <w:sz w:val="20"/>
                  <w:u w:val="none"/>
                  <w:effect w:val="none"/>
                </w:rPr>
                <w:t>Item 3.</w:t>
              </w:r>
            </w:hyperlink>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31">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31">
              <w:r>
                <w:rPr>
                  <w:rStyle w:val="InternetLink"/>
                  <w:rFonts w:ascii="Times New Roman;serif" w:hAnsi="Times New Roman;serif"/>
                  <w:b w:val="false"/>
                  <w:strike w:val="false"/>
                  <w:dstrike w:val="false"/>
                  <w:color w:val="000000"/>
                  <w:sz w:val="20"/>
                  <w:u w:val="none"/>
                  <w:effect w:val="none"/>
                </w:rPr>
                <w:t>54</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34">
              <w:r>
                <w:rPr>
                  <w:rStyle w:val="InternetLink"/>
                  <w:rFonts w:ascii="Times New Roman;serif" w:hAnsi="Times New Roman;serif"/>
                  <w:b w:val="false"/>
                  <w:strike w:val="false"/>
                  <w:dstrike w:val="false"/>
                  <w:color w:val="000000"/>
                  <w:sz w:val="20"/>
                  <w:u w:val="none"/>
                  <w:effect w:val="none"/>
                </w:rPr>
                <w:t>Item 4.</w:t>
              </w:r>
            </w:hyperlink>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34">
              <w:r>
                <w:rPr>
                  <w:rStyle w:val="InternetLink"/>
                  <w:rFonts w:ascii="Times New Roman;serif" w:hAnsi="Times New Roman;serif"/>
                  <w:b w:val="false"/>
                  <w:strike w:val="false"/>
                  <w:dstrike w:val="false"/>
                  <w:color w:val="000000"/>
                  <w:sz w:val="20"/>
                  <w:u w:val="none"/>
                  <w:effect w:val="none"/>
                </w:rPr>
                <w:t>Mine Safety Disclosures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34">
              <w:r>
                <w:rPr>
                  <w:rStyle w:val="InternetLink"/>
                  <w:rFonts w:ascii="Times New Roman;serif" w:hAnsi="Times New Roman;serif"/>
                  <w:b w:val="false"/>
                  <w:strike w:val="false"/>
                  <w:dstrike w:val="false"/>
                  <w:color w:val="000000"/>
                  <w:sz w:val="20"/>
                  <w:u w:val="none"/>
                  <w:effect w:val="none"/>
                </w:rPr>
                <w:t>54</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37">
              <w:r>
                <w:rPr>
                  <w:rStyle w:val="InternetLink"/>
                  <w:rFonts w:ascii="Times New Roman;serif" w:hAnsi="Times New Roman;serif"/>
                  <w:b w:val="false"/>
                  <w:strike w:val="false"/>
                  <w:dstrike w:val="false"/>
                  <w:color w:val="000000"/>
                  <w:sz w:val="20"/>
                  <w:u w:val="none"/>
                  <w:effect w:val="none"/>
                </w:rPr>
                <w:t>Item 5.</w:t>
              </w:r>
            </w:hyperlink>
          </w:p>
        </w:tc>
        <w:tc>
          <w:tcPr>
            <w:tcW w:w="8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37">
              <w:r>
                <w:rPr>
                  <w:rStyle w:val="InternetLink"/>
                  <w:rFonts w:ascii="Times New Roman;serif" w:hAnsi="Times New Roman;serif"/>
                  <w:b w:val="false"/>
                  <w:strike w:val="false"/>
                  <w:dstrike w:val="false"/>
                  <w:color w:val="000000"/>
                  <w:sz w:val="20"/>
                  <w:u w:val="none"/>
                  <w:effect w:val="none"/>
                </w:rPr>
                <w:t>Other Information</w:t>
              </w:r>
            </w:hyperlink>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37">
              <w:r>
                <w:rPr>
                  <w:rStyle w:val="InternetLink"/>
                  <w:rFonts w:ascii="Times New Roman;serif" w:hAnsi="Times New Roman;serif"/>
                  <w:b w:val="false"/>
                  <w:strike w:val="false"/>
                  <w:dstrike w:val="false"/>
                  <w:color w:val="000000"/>
                  <w:sz w:val="20"/>
                  <w:u w:val="none"/>
                  <w:effect w:val="none"/>
                </w:rPr>
                <w:t>54</w:t>
              </w:r>
            </w:hyperlink>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fe0b29f5792b4ecb8637b77bd02fdb6b_646">
              <w:r>
                <w:rPr>
                  <w:rStyle w:val="InternetLink"/>
                  <w:rFonts w:ascii="Times New Roman;serif" w:hAnsi="Times New Roman;serif"/>
                  <w:b w:val="false"/>
                  <w:strike w:val="false"/>
                  <w:dstrike w:val="false"/>
                  <w:color w:val="000000"/>
                  <w:sz w:val="20"/>
                  <w:u w:val="none"/>
                  <w:effect w:val="none"/>
                </w:rPr>
                <w:t>Item 6.</w:t>
              </w:r>
            </w:hyperlink>
          </w:p>
        </w:tc>
        <w:tc>
          <w:tcPr>
            <w:tcW w:w="8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646">
              <w:r>
                <w:rPr>
                  <w:rStyle w:val="InternetLink"/>
                  <w:rFonts w:ascii="Times New Roman;serif" w:hAnsi="Times New Roman;serif"/>
                  <w:b w:val="false"/>
                  <w:strike w:val="false"/>
                  <w:dstrike w:val="false"/>
                  <w:color w:val="000000"/>
                  <w:sz w:val="20"/>
                  <w:u w:val="none"/>
                  <w:effect w:val="none"/>
                </w:rPr>
                <w:t>Exhibits</w:t>
              </w:r>
            </w:hyperlink>
          </w:p>
        </w:tc>
        <w:tc>
          <w:tcPr>
            <w:tcW w:w="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646">
              <w:r>
                <w:rPr>
                  <w:rStyle w:val="InternetLink"/>
                  <w:rFonts w:ascii="Times New Roman;serif" w:hAnsi="Times New Roman;serif"/>
                  <w:b w:val="false"/>
                  <w:strike w:val="false"/>
                  <w:dstrike w:val="false"/>
                  <w:color w:val="000000"/>
                  <w:sz w:val="20"/>
                  <w:u w:val="none"/>
                  <w:effect w:val="none"/>
                </w:rPr>
                <w:t>55</w:t>
              </w:r>
            </w:hyperlink>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fe0b29f5792b4ecb8637b77bd02fdb6b_724">
              <w:r>
                <w:rPr>
                  <w:rStyle w:val="InternetLink"/>
                  <w:rFonts w:ascii="Times New Roman;serif" w:hAnsi="Times New Roman;serif"/>
                  <w:b w:val="false"/>
                  <w:strike w:val="false"/>
                  <w:dstrike w:val="false"/>
                  <w:color w:val="000000"/>
                  <w:sz w:val="20"/>
                  <w:u w:val="none"/>
                  <w:effect w:val="none"/>
                </w:rPr>
                <w:t>Signatures</w:t>
              </w:r>
            </w:hyperlink>
          </w:p>
        </w:tc>
        <w:tc>
          <w:tcPr>
            <w:tcW w:w="8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fe0b29f5792b4ecb8637b77bd02fdb6b_724">
              <w:r>
                <w:rPr>
                  <w:rStyle w:val="InternetLink"/>
                  <w:rFonts w:ascii="Times New Roman;serif" w:hAnsi="Times New Roman;serif"/>
                  <w:b w:val="false"/>
                  <w:strike w:val="false"/>
                  <w:dstrike w:val="false"/>
                  <w:color w:val="000000"/>
                  <w:sz w:val="20"/>
                  <w:u w:val="none"/>
                  <w:effect w:val="none"/>
                </w:rPr>
                <w:t>56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SKYWARD SPECIALTY INSURANCE GROUP, INC. AND SUBSIDIARIES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650"/>
        <w:gridCol w:w="2118"/>
        <w:gridCol w:w="2126"/>
        <w:gridCol w:w="109"/>
        <w:gridCol w:w="109"/>
        <w:gridCol w:w="109"/>
        <w:gridCol w:w="196"/>
        <w:gridCol w:w="886"/>
        <w:gridCol w:w="109"/>
        <w:gridCol w:w="109"/>
        <w:gridCol w:w="109"/>
        <w:gridCol w:w="109"/>
        <w:gridCol w:w="218"/>
        <w:gridCol w:w="970"/>
        <w:gridCol w:w="121"/>
        <w:gridCol w:w="157"/>
      </w:tblGrid>
      <w:tr>
        <w:trPr/>
        <w:tc>
          <w:tcPr>
            <w:tcW w:w="2650"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4"/>
            <w:tcBorders/>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 maturity securities, available-for-sale, at fair value (net of allowance for credit losses of $6,228 and $7,000, respectively) (amortized cost of $2,206,626 and $1,848,755,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2,192,183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1,856,303 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 maturity securities, held-to-maturity, at amortized cost (net of allowance for credit losses of $2,256 and $468,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loans,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392,634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2,738,388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2,300,515 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219,221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at Lloyd’s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commissions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978,409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544,217 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recoverables,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1,411,648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1,119,880 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Ceded 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337,180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238,948 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 and VOBA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471,185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6,781,139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4,791,852 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Reserves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3,070,598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2,318,894 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1,078,246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ceding commission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and premium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509,081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Funds held for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169,051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67,801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417,620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 net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5,513,602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3,782,287 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500,000,000 shares authorized, 44,827,499 shares issued and 44,396,493 shares outstanding at June 30, 2026; 40,511,222 shares issued and outstanding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431,006 and 0 shares,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927,690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365,917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267,148 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1,267,537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1,009,565 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6,781,139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4,791,852 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center"/>
        <w:tblInd w:w="0" w:type="dxa"/>
        <w:tblLayout w:type="fixed"/>
        <w:tblCellMar>
          <w:top w:w="28" w:type="dxa"/>
          <w:left w:w="28" w:type="dxa"/>
          <w:bottom w:w="28" w:type="dxa"/>
          <w:right w:w="28" w:type="dxa"/>
        </w:tblCellMar>
      </w:tblPr>
      <w:tblGrid>
        <w:gridCol w:w="1664"/>
        <w:gridCol w:w="1031"/>
        <w:gridCol w:w="1038"/>
        <w:gridCol w:w="109"/>
        <w:gridCol w:w="109"/>
        <w:gridCol w:w="109"/>
        <w:gridCol w:w="219"/>
        <w:gridCol w:w="877"/>
        <w:gridCol w:w="109"/>
        <w:gridCol w:w="109"/>
        <w:gridCol w:w="109"/>
        <w:gridCol w:w="109"/>
        <w:gridCol w:w="219"/>
        <w:gridCol w:w="862"/>
        <w:gridCol w:w="109"/>
        <w:gridCol w:w="109"/>
        <w:gridCol w:w="109"/>
        <w:gridCol w:w="109"/>
        <w:gridCol w:w="219"/>
        <w:gridCol w:w="877"/>
        <w:gridCol w:w="109"/>
        <w:gridCol w:w="109"/>
        <w:gridCol w:w="109"/>
        <w:gridCol w:w="109"/>
        <w:gridCol w:w="219"/>
        <w:gridCol w:w="862"/>
        <w:gridCol w:w="109"/>
        <w:gridCol w:w="109"/>
        <w:gridCol w:w="109"/>
        <w:gridCol w:w="156"/>
      </w:tblGrid>
      <w:tr>
        <w:trPr/>
        <w:tc>
          <w:tcPr>
            <w:tcW w:w="166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489,533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965,400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247,895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w:t>
              <w:noBreakHyphen/>
              <w:t>based service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425,976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and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10"/>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(losses) gains on investments,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10"/>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on securities no longer held,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48,073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44,521,162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44,492,608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45,692,641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41,871,496 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45,526,233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41,771,215 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133" w:type="dxa"/>
        <w:jc w:val="center"/>
        <w:tblInd w:w="0" w:type="dxa"/>
        <w:tblLayout w:type="fixed"/>
        <w:tblCellMar>
          <w:top w:w="28" w:type="dxa"/>
          <w:left w:w="28" w:type="dxa"/>
          <w:bottom w:w="28" w:type="dxa"/>
          <w:right w:w="28" w:type="dxa"/>
        </w:tblCellMar>
      </w:tblPr>
      <w:tblGrid>
        <w:gridCol w:w="1383"/>
        <w:gridCol w:w="1216"/>
        <w:gridCol w:w="1225"/>
        <w:gridCol w:w="109"/>
        <w:gridCol w:w="109"/>
        <w:gridCol w:w="109"/>
        <w:gridCol w:w="211"/>
        <w:gridCol w:w="991"/>
        <w:gridCol w:w="109"/>
        <w:gridCol w:w="109"/>
        <w:gridCol w:w="109"/>
        <w:gridCol w:w="109"/>
        <w:gridCol w:w="219"/>
        <w:gridCol w:w="862"/>
        <w:gridCol w:w="109"/>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44,543,065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44,396,493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40,486,656 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922,311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927,690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316,879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1,267,537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42" w:type="dxa"/>
        <w:jc w:val="center"/>
        <w:tblInd w:w="0" w:type="dxa"/>
        <w:tblLayout w:type="fixed"/>
        <w:tblCellMar>
          <w:top w:w="28" w:type="dxa"/>
          <w:left w:w="28" w:type="dxa"/>
          <w:bottom w:w="28" w:type="dxa"/>
          <w:right w:w="28" w:type="dxa"/>
        </w:tblCellMar>
      </w:tblPr>
      <w:tblGrid>
        <w:gridCol w:w="1383"/>
        <w:gridCol w:w="1216"/>
        <w:gridCol w:w="1225"/>
        <w:gridCol w:w="109"/>
        <w:gridCol w:w="109"/>
        <w:gridCol w:w="109"/>
        <w:gridCol w:w="211"/>
        <w:gridCol w:w="991"/>
        <w:gridCol w:w="109"/>
        <w:gridCol w:w="109"/>
        <w:gridCol w:w="109"/>
        <w:gridCol w:w="109"/>
        <w:gridCol w:w="219"/>
        <w:gridCol w:w="862"/>
        <w:gridCol w:w="109"/>
        <w:gridCol w:w="109"/>
        <w:gridCol w:w="154"/>
      </w:tblGrid>
      <w:tr>
        <w:trPr/>
        <w:tc>
          <w:tcPr>
            <w:tcW w:w="138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40,511,222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3,885,271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44,396,493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40,486,656 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730,555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927,690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Balance at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1,267,537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SKYWARD SPECIALTY INSURANCE GROUP, INC. AND SUBSIDIARIES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505"/>
        <w:gridCol w:w="2177"/>
        <w:gridCol w:w="2189"/>
        <w:gridCol w:w="109"/>
        <w:gridCol w:w="109"/>
        <w:gridCol w:w="109"/>
        <w:gridCol w:w="211"/>
        <w:gridCol w:w="841"/>
        <w:gridCol w:w="109"/>
        <w:gridCol w:w="109"/>
        <w:gridCol w:w="109"/>
        <w:gridCol w:w="109"/>
        <w:gridCol w:w="211"/>
        <w:gridCol w:w="826"/>
        <w:gridCol w:w="109"/>
        <w:gridCol w:w="109"/>
        <w:gridCol w:w="109"/>
        <w:gridCol w:w="155"/>
      </w:tblGrid>
      <w:tr>
        <w:trPr/>
        <w:tc>
          <w:tcPr>
            <w:tcW w:w="2505"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in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(480,843)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method investments and other 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direct and indirect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sales of 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transfers and paydowns of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and paydowns of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sales of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and distributions from equity method and other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receivable/payable for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provided by deposit accounting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(382,620)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 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 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301,862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and cash equivalents and restricted cash at beginning of period</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199,114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Cash and cash equivalents and restricted cash at end of period</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302,523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359"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The sum of cash and cash equivalents and restricted cash from the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1.    </w:t>
      </w:r>
      <w:r>
        <w:rPr>
          <w:rFonts w:ascii="Times New Roman;serif" w:hAnsi="Times New Roman;serif"/>
          <w:b/>
          <w:color w:val="000000"/>
          <w:sz w:val="20"/>
          <w:u w:val="single"/>
        </w:rPr>
        <w:t>Summary of Significant Accounting Policies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Basis of Presentation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2025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2025 was derived from the Company’s audited annual consolidated financial statements.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Updates to Significant Accounting Policies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accounting policies have been updated following the Apollo Group Holdings Limited (“Apollo”) acquisition on January 1, 2026.</w:t>
      </w:r>
    </w:p>
    <w:p>
      <w:pPr>
        <w:pStyle w:val="TextBody"/>
        <w:bidi w:val="0"/>
        <w:spacing w:lineRule="auto" w:line="288" w:before="0" w:after="120"/>
        <w:jc w:val="both"/>
        <w:rPr>
          <w:rFonts w:ascii="Times New Roman;serif" w:hAnsi="Times New Roman;serif"/>
          <w:b/>
          <w:color w:val="231F20"/>
          <w:sz w:val="20"/>
        </w:rPr>
      </w:pPr>
      <w:r>
        <w:rPr>
          <w:rFonts w:ascii="Times New Roman;serif" w:hAnsi="Times New Roman;serif"/>
          <w:b/>
          <w:color w:val="231F20"/>
          <w:sz w:val="20"/>
        </w:rPr>
        <w:t>Description of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Skyward Specialty Insurance Group, Inc., an insurance holding company, is a Delaware corporation that was organized in 2006. It is a specialty insurance company operating in two segments delivering commercial property and casualty products insurance coverages.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four wholly owned insurance company subsidiaries based in the United States: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Great Midwest Insurance Company (“GMIC”) underwrites insurance on an admitted basis and is a certified surety bond company listed with the U.S. Department of the Treasury.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Houston Specialty Insurance Company (“HSIC”), a subsidiary of GMIC, underwrites insurance on a non-admitted basis.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Imperium Insurance Company (“IIC”), a subsidiary of HSIC, underwrites insurance on an admitted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Oklahoma Specialty Insurance Company (“OSIC”), a subsidiary of IIC, underwrites insurance on a non-admitted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wholly owned captive reinsurance company subsidiary, Skyward Re, that is domiciled in the Cayman Islands.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three non-risk bearing wholly owned subsidiaries, (i) Skyward Underwriters Agency, Inc. (“SUA”), a managing general insurance agent and reinsurance broker for property and casualty risks in specialty niche markets, (ii) Skyward Service Company, an entity which provides various administrative services to the Company’s subsidiaries, and (iii) Skyward Specialty No. 1 Limited, a Lloyd’s corporate member authorized to invest in Lloyd’s syndicates.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1.    </w:t>
      </w:r>
      <w:r>
        <w:rPr>
          <w:rFonts w:ascii="Times New Roman;serif" w:hAnsi="Times New Roman;serif"/>
          <w:b/>
          <w:color w:val="000000"/>
          <w:sz w:val="20"/>
          <w:u w:val="single"/>
        </w:rPr>
        <w:t>Summary of Significant Accounting Policies</w:t>
      </w:r>
      <w:r>
        <w:rPr>
          <w:color w:val="000000"/>
        </w:rPr>
        <w:t xml:space="preserve"> </w:t>
      </w:r>
      <w:r>
        <w:rPr>
          <w:rFonts w:ascii="Times New Roman;serif" w:hAnsi="Times New Roman;serif"/>
          <w:b/>
          <w:color w:val="000000"/>
          <w:sz w:val="20"/>
        </w:rPr>
        <w:t>(continued)</w:t>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 2026, the Company completed its acquisition of Apollo Group Holdings Limited (“Apollo”), a Lloyd’s of London (“Lloyd’s”) specialist insurance and reinsurance group. Apollo includes a Lloyd’s of London Managing Agency, Apollo Syndicate Management Limited (“ASML”), which provides managing agency services to nine Lloyd’s syndicates. Syndicate 1969 underwrites a diversified specialty portfolio, Syndicate 1971 focuses on digital</w:t>
        <w:noBreakHyphen/>
        <w:t>economy and technology</w:t>
        <w:noBreakHyphen/>
        <w:t>enabled risks, and Syndicate 1972 provides reinsurance for Apollo managed syndicates and provides a quota share facility for Syndicates 1969 and 1971. Apollo participates in its wholly managed syndicates through its corporate member company, Apollo No. 16 Limited (“Apollo No. 16”) which has a quota share agreement in place with Apollo Bermuda Limited.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Commission and Fee Income and Underwriting Fee Income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Managing Agency Fees and Profit Commission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ASML earns a fee for providing managing agency services (such as underwriting oversight, operational administration and regulatory compliance) to the syndicates it manages. These managing agency fees are based on each syndicate’s annual capacity and are recognized over the period of services provided. ASML may also earn profit commission under contractual arrangements with the capital providers to each syndicate. Profit commissions are contingent on syndicate profitability and are accrued in accordance with the contractual terms and the subsequent development of underwriting results at the balance sheet date. Amounts are generally not payable until the underlying underwriting results have substantially matured (typically around 36 months after inception), unless interim profit distributions permit earlier payments on account. Intra</w:t>
        <w:noBreakHyphen/>
        <w:t>group managing agency fees and profit commission are eliminated on consolidation.</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Other Revenue From Management Services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also earns other services revenue for other administrative and operational services performed for the syndicates it manages, including those supported primarily by third</w:t>
        <w:noBreakHyphen/>
        <w:t>party capital providers. Such revenue is measured at the fair value of consideration received or receivable and includes service fees and consortium income. Consortium income represents fees charged to consortia members for whom ASML acts as consortium leader and is recognized at the point in time premiums are written; amounts related to underwriting services provided over multi</w:t>
        <w:noBreakHyphen/>
        <w:t>year periods are deferred accordingly.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transacts business in numerous currencies through business units located around the world. The functional currency for each business unit is determined by the local currency used for most economic activity in that area. Movements in exchange rates related to transactions in currencies other than a business unit’s functional currency for monetary assets and liabilities are remeasured through the consolidated statements of operations and comprehensive income (loss) in other income (expense), except for currency movements related to available for sale fixed maturities securities, which are excluded from net income (loss) and accumulated in stockholders’ equity, net of deferred taxes.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business units’ functional currency financial statements are translated to the Company’s reporting currency, U.S. dollars, using the exchange rates at the end of period for the balance sheets and the average exchange rates in effect for the reporting period for the statements of operations and comprehensive income. Gains and losses resulting from translating the foreign currency financial statements, net of deferred income taxes, are excluded from net income and accumulated as a separate component of accumulated other comprehensive income in stockholders’ equity.</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Reclassifications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current period, the Company reclassified amounts previously included in “Other assets” to separate line items on the balance sheet for “Funds at Lloyd’s” and “Options, at fair value” to better reflect the nature of these balances. Prior period amounts have been reclassified to conform to the current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2.    </w:t>
      </w:r>
      <w:r>
        <w:rPr>
          <w:rFonts w:ascii="Times New Roman;serif" w:hAnsi="Times New Roman;serif"/>
          <w:b/>
          <w:color w:val="000000"/>
          <w:sz w:val="20"/>
          <w:u w:val="single"/>
        </w:rPr>
        <w:t>Goodwill and Intangible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carrying amount and changes in the balance of goodwill by reporting unit at June 30, 2026 and 2025:</w:t>
      </w:r>
    </w:p>
    <w:tbl>
      <w:tblPr>
        <w:tblW w:w="10205" w:type="dxa"/>
        <w:jc w:val="left"/>
        <w:tblInd w:w="0" w:type="dxa"/>
        <w:tblLayout w:type="fixed"/>
        <w:tblCellMar>
          <w:top w:w="28" w:type="dxa"/>
          <w:left w:w="28" w:type="dxa"/>
          <w:bottom w:w="28" w:type="dxa"/>
          <w:right w:w="28" w:type="dxa"/>
        </w:tblCellMar>
      </w:tblPr>
      <w:tblGrid>
        <w:gridCol w:w="828"/>
        <w:gridCol w:w="465"/>
        <w:gridCol w:w="467"/>
        <w:gridCol w:w="109"/>
        <w:gridCol w:w="109"/>
        <w:gridCol w:w="109"/>
        <w:gridCol w:w="211"/>
        <w:gridCol w:w="736"/>
        <w:gridCol w:w="109"/>
        <w:gridCol w:w="109"/>
        <w:gridCol w:w="109"/>
        <w:gridCol w:w="109"/>
        <w:gridCol w:w="222"/>
        <w:gridCol w:w="664"/>
        <w:gridCol w:w="114"/>
        <w:gridCol w:w="109"/>
        <w:gridCol w:w="109"/>
        <w:gridCol w:w="109"/>
        <w:gridCol w:w="220"/>
        <w:gridCol w:w="771"/>
        <w:gridCol w:w="114"/>
        <w:gridCol w:w="109"/>
        <w:gridCol w:w="109"/>
        <w:gridCol w:w="109"/>
        <w:gridCol w:w="211"/>
        <w:gridCol w:w="841"/>
        <w:gridCol w:w="109"/>
        <w:gridCol w:w="109"/>
        <w:gridCol w:w="109"/>
        <w:gridCol w:w="109"/>
        <w:gridCol w:w="211"/>
        <w:gridCol w:w="631"/>
        <w:gridCol w:w="109"/>
        <w:gridCol w:w="109"/>
        <w:gridCol w:w="109"/>
        <w:gridCol w:w="109"/>
        <w:gridCol w:w="211"/>
        <w:gridCol w:w="841"/>
        <w:gridCol w:w="158"/>
      </w:tblGrid>
      <w:tr>
        <w:trPr/>
        <w:tc>
          <w:tcPr>
            <w:tcW w:w="8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Accident</w:t>
              <w:br/>
              <w:t>and Health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Credit &amp; Surety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Energy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Apollo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112,441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(46,707)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125,408</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6,781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191,142</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0"/>
        <w:gridCol w:w="938"/>
        <w:gridCol w:w="943"/>
        <w:gridCol w:w="109"/>
        <w:gridCol w:w="109"/>
        <w:gridCol w:w="109"/>
        <w:gridCol w:w="211"/>
        <w:gridCol w:w="721"/>
        <w:gridCol w:w="109"/>
        <w:gridCol w:w="109"/>
        <w:gridCol w:w="109"/>
        <w:gridCol w:w="109"/>
        <w:gridCol w:w="250"/>
        <w:gridCol w:w="732"/>
        <w:gridCol w:w="129"/>
        <w:gridCol w:w="109"/>
        <w:gridCol w:w="109"/>
        <w:gridCol w:w="109"/>
        <w:gridCol w:w="246"/>
        <w:gridCol w:w="843"/>
        <w:gridCol w:w="127"/>
        <w:gridCol w:w="109"/>
        <w:gridCol w:w="109"/>
        <w:gridCol w:w="109"/>
        <w:gridCol w:w="211"/>
        <w:gridCol w:w="616"/>
        <w:gridCol w:w="109"/>
        <w:gridCol w:w="109"/>
        <w:gridCol w:w="109"/>
        <w:gridCol w:w="109"/>
        <w:gridCol w:w="211"/>
        <w:gridCol w:w="826"/>
        <w:gridCol w:w="158"/>
      </w:tblGrid>
      <w:tr>
        <w:trPr/>
        <w:tc>
          <w:tcPr>
            <w:tcW w:w="119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Accident</w:t>
              <w:br/>
              <w:t>and Health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Credit &amp; Surety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Energy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65,734 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carrying amount and changes in the balance of other intangible assets at June 30, 2026 and 2025:</w:t>
      </w:r>
    </w:p>
    <w:tbl>
      <w:tblPr>
        <w:tblW w:w="10205" w:type="dxa"/>
        <w:jc w:val="left"/>
        <w:tblInd w:w="0" w:type="dxa"/>
        <w:tblLayout w:type="fixed"/>
        <w:tblCellMar>
          <w:top w:w="28" w:type="dxa"/>
          <w:left w:w="28" w:type="dxa"/>
          <w:bottom w:w="28" w:type="dxa"/>
          <w:right w:w="28" w:type="dxa"/>
        </w:tblCellMar>
      </w:tblPr>
      <w:tblGrid>
        <w:gridCol w:w="775"/>
        <w:gridCol w:w="393"/>
        <w:gridCol w:w="395"/>
        <w:gridCol w:w="109"/>
        <w:gridCol w:w="109"/>
        <w:gridCol w:w="109"/>
        <w:gridCol w:w="211"/>
        <w:gridCol w:w="736"/>
        <w:gridCol w:w="109"/>
        <w:gridCol w:w="109"/>
        <w:gridCol w:w="109"/>
        <w:gridCol w:w="109"/>
        <w:gridCol w:w="246"/>
        <w:gridCol w:w="737"/>
        <w:gridCol w:w="128"/>
        <w:gridCol w:w="109"/>
        <w:gridCol w:w="109"/>
        <w:gridCol w:w="109"/>
        <w:gridCol w:w="211"/>
        <w:gridCol w:w="736"/>
        <w:gridCol w:w="109"/>
        <w:gridCol w:w="109"/>
        <w:gridCol w:w="109"/>
        <w:gridCol w:w="109"/>
        <w:gridCol w:w="217"/>
        <w:gridCol w:w="864"/>
        <w:gridCol w:w="112"/>
        <w:gridCol w:w="109"/>
        <w:gridCol w:w="109"/>
        <w:gridCol w:w="109"/>
        <w:gridCol w:w="211"/>
        <w:gridCol w:w="736"/>
        <w:gridCol w:w="109"/>
        <w:gridCol w:w="109"/>
        <w:gridCol w:w="109"/>
        <w:gridCol w:w="109"/>
        <w:gridCol w:w="211"/>
        <w:gridCol w:w="841"/>
        <w:gridCol w:w="156"/>
      </w:tblGrid>
      <w:tr>
        <w:trPr/>
        <w:tc>
          <w:tcPr>
            <w:tcW w:w="77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Agent</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Non-competes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Syndicate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Licenses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200,000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262,000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1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200,000</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280,043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76"/>
        <w:gridCol w:w="1039"/>
        <w:gridCol w:w="1044"/>
        <w:gridCol w:w="109"/>
        <w:gridCol w:w="109"/>
        <w:gridCol w:w="109"/>
        <w:gridCol w:w="211"/>
        <w:gridCol w:w="721"/>
        <w:gridCol w:w="109"/>
        <w:gridCol w:w="109"/>
        <w:gridCol w:w="109"/>
        <w:gridCol w:w="109"/>
        <w:gridCol w:w="250"/>
        <w:gridCol w:w="731"/>
        <w:gridCol w:w="130"/>
        <w:gridCol w:w="109"/>
        <w:gridCol w:w="109"/>
        <w:gridCol w:w="109"/>
        <w:gridCol w:w="249"/>
        <w:gridCol w:w="551"/>
        <w:gridCol w:w="131"/>
        <w:gridCol w:w="109"/>
        <w:gridCol w:w="109"/>
        <w:gridCol w:w="109"/>
        <w:gridCol w:w="211"/>
        <w:gridCol w:w="721"/>
        <w:gridCol w:w="109"/>
        <w:gridCol w:w="109"/>
        <w:gridCol w:w="109"/>
        <w:gridCol w:w="109"/>
        <w:gridCol w:w="211"/>
        <w:gridCol w:w="721"/>
        <w:gridCol w:w="155"/>
      </w:tblGrid>
      <w:tr>
        <w:trPr/>
        <w:tc>
          <w:tcPr>
            <w:tcW w:w="127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Agent</w:t>
              <w:br/>
              <w:t>Relationships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Non-competes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Trademarks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Licenses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indefinite lived intangible assets relate to insurance licenses, trademarks and Lloyd’s syndicates capacity. Its finite lived intangible assets, which relate to policy renewals, agency relationships, within agent relationships, finite syndicates capacity relationships and non-compete/exclusivity agreements, within non-competes, have a weighted average useful life of approximately 9 years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2.    </w:t>
      </w:r>
      <w:r>
        <w:rPr>
          <w:rFonts w:ascii="Times New Roman;serif" w:hAnsi="Times New Roman;serif"/>
          <w:b/>
          <w:color w:val="000000"/>
          <w:sz w:val="20"/>
          <w:u w:val="single"/>
        </w:rPr>
        <w:t>Goodwill and Intangible Assets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Company recognized approximately $2.2 million and $4.3 million, respectively, of amortization expense, compared to $0.3 million and $0.6 million, respectively, for the same 2025 periods. The following table sets forth the estimated future net amortization expense of intangible assets:</w:t>
      </w:r>
    </w:p>
    <w:tbl>
      <w:tblPr>
        <w:tblW w:w="4083" w:type="dxa"/>
        <w:jc w:val="left"/>
        <w:tblInd w:w="0" w:type="dxa"/>
        <w:tblLayout w:type="fixed"/>
        <w:tblCellMar>
          <w:top w:w="28" w:type="dxa"/>
          <w:left w:w="28" w:type="dxa"/>
          <w:bottom w:w="28" w:type="dxa"/>
          <w:right w:w="28" w:type="dxa"/>
        </w:tblCellMar>
      </w:tblPr>
      <w:tblGrid>
        <w:gridCol w:w="999"/>
        <w:gridCol w:w="878"/>
        <w:gridCol w:w="883"/>
        <w:gridCol w:w="109"/>
        <w:gridCol w:w="109"/>
        <w:gridCol w:w="109"/>
        <w:gridCol w:w="211"/>
        <w:gridCol w:w="63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3.    </w:t>
      </w:r>
      <w:r>
        <w:rPr>
          <w:rFonts w:ascii="Times New Roman;serif" w:hAnsi="Times New Roman;serif"/>
          <w:b/>
          <w:color w:val="000000"/>
          <w:sz w:val="20"/>
          <w:u w:val="single"/>
        </w:rPr>
        <w:t>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amortized cost and the fair value by investment category at June 30, 2026 and December 31, 2025:</w:t>
      </w:r>
    </w:p>
    <w:tbl>
      <w:tblPr>
        <w:tblW w:w="10205" w:type="dxa"/>
        <w:jc w:val="left"/>
        <w:tblInd w:w="0" w:type="dxa"/>
        <w:tblLayout w:type="fixed"/>
        <w:tblCellMar>
          <w:top w:w="28" w:type="dxa"/>
          <w:left w:w="28" w:type="dxa"/>
          <w:bottom w:w="28" w:type="dxa"/>
          <w:right w:w="28" w:type="dxa"/>
        </w:tblCellMar>
      </w:tblPr>
      <w:tblGrid>
        <w:gridCol w:w="1154"/>
        <w:gridCol w:w="593"/>
        <w:gridCol w:w="596"/>
        <w:gridCol w:w="109"/>
        <w:gridCol w:w="109"/>
        <w:gridCol w:w="109"/>
        <w:gridCol w:w="211"/>
        <w:gridCol w:w="991"/>
        <w:gridCol w:w="109"/>
        <w:gridCol w:w="109"/>
        <w:gridCol w:w="109"/>
        <w:gridCol w:w="109"/>
        <w:gridCol w:w="211"/>
        <w:gridCol w:w="736"/>
        <w:gridCol w:w="109"/>
        <w:gridCol w:w="109"/>
        <w:gridCol w:w="109"/>
        <w:gridCol w:w="109"/>
        <w:gridCol w:w="211"/>
        <w:gridCol w:w="755"/>
        <w:gridCol w:w="109"/>
        <w:gridCol w:w="109"/>
        <w:gridCol w:w="109"/>
        <w:gridCol w:w="109"/>
        <w:gridCol w:w="302"/>
        <w:gridCol w:w="968"/>
        <w:gridCol w:w="156"/>
        <w:gridCol w:w="109"/>
        <w:gridCol w:w="109"/>
        <w:gridCol w:w="109"/>
        <w:gridCol w:w="211"/>
        <w:gridCol w:w="991"/>
        <w:gridCol w:w="157"/>
      </w:tblGrid>
      <w:tr>
        <w:trPr/>
        <w:tc>
          <w:tcPr>
            <w:tcW w:w="115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127,064</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796,092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790,807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92,213</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450,728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445,211</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84,624</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650,855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649,587</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2,206,626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(6,228)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2,192,183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34,716</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vAlign w:val="center"/>
          </w:tcPr>
          <w:p>
            <w:pPr>
              <w:pStyle w:val="TableContents"/>
              <w:bidi w:val="0"/>
              <w:spacing w:before="0" w:after="283"/>
              <w:jc w:val="left"/>
              <w:rPr>
                <w:sz w:val="4"/>
                <w:szCs w:val="4"/>
              </w:rPr>
            </w:pPr>
            <w:r>
              <w:rPr>
                <w:sz w:val="4"/>
                <w:szCs w:val="4"/>
              </w:rPr>
            </w:r>
          </w:p>
        </w:tc>
        <w:tc>
          <w:tcPr>
            <w:tcW w:w="7862" w:type="dxa"/>
            <w:gridSpan w:val="30"/>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159"/>
        <w:gridCol w:w="605"/>
        <w:gridCol w:w="608"/>
        <w:gridCol w:w="109"/>
        <w:gridCol w:w="109"/>
        <w:gridCol w:w="109"/>
        <w:gridCol w:w="211"/>
        <w:gridCol w:w="976"/>
        <w:gridCol w:w="109"/>
        <w:gridCol w:w="109"/>
        <w:gridCol w:w="109"/>
        <w:gridCol w:w="109"/>
        <w:gridCol w:w="211"/>
        <w:gridCol w:w="721"/>
        <w:gridCol w:w="109"/>
        <w:gridCol w:w="109"/>
        <w:gridCol w:w="109"/>
        <w:gridCol w:w="109"/>
        <w:gridCol w:w="211"/>
        <w:gridCol w:w="755"/>
        <w:gridCol w:w="109"/>
        <w:gridCol w:w="109"/>
        <w:gridCol w:w="109"/>
        <w:gridCol w:w="109"/>
        <w:gridCol w:w="305"/>
        <w:gridCol w:w="979"/>
        <w:gridCol w:w="158"/>
        <w:gridCol w:w="109"/>
        <w:gridCol w:w="109"/>
        <w:gridCol w:w="109"/>
        <w:gridCol w:w="211"/>
        <w:gridCol w:w="976"/>
        <w:gridCol w:w="157"/>
      </w:tblGrid>
      <w:tr>
        <w:trPr/>
        <w:tc>
          <w:tcPr>
            <w:tcW w:w="115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Gross </w:t>
              <w:br/>
              <w:t xml:space="preserve">Unrealized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2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amortized cost and fair value of available-for-sale fixed maturity securities by contractual maturity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55" w:type="dxa"/>
        <w:jc w:val="left"/>
        <w:tblInd w:w="0" w:type="dxa"/>
        <w:tblLayout w:type="fixed"/>
        <w:tblCellMar>
          <w:top w:w="28" w:type="dxa"/>
          <w:left w:w="28" w:type="dxa"/>
          <w:bottom w:w="28" w:type="dxa"/>
          <w:right w:w="28" w:type="dxa"/>
        </w:tblCellMar>
      </w:tblPr>
      <w:tblGrid>
        <w:gridCol w:w="1135"/>
        <w:gridCol w:w="997"/>
        <w:gridCol w:w="1002"/>
        <w:gridCol w:w="109"/>
        <w:gridCol w:w="109"/>
        <w:gridCol w:w="109"/>
        <w:gridCol w:w="211"/>
        <w:gridCol w:w="991"/>
        <w:gridCol w:w="109"/>
        <w:gridCol w:w="109"/>
        <w:gridCol w:w="109"/>
        <w:gridCol w:w="109"/>
        <w:gridCol w:w="211"/>
        <w:gridCol w:w="99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683" w:type="dxa"/>
            <w:gridSpan w:val="6"/>
            <w:tcBorders/>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613,572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295,763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297,152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529,835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649,587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2,206,626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2,192,183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fixed maturity securities, held-to-maturity, at June 30, 2026 consisted entirely of asset-backed securities that were not due at a single maturity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U.S. government agencies mortgage-backed fixed maturity securities, with a carrying value of approximately $65.8 million pledged as collateral for a loan (the “FHLB Loan”) from the Federal Home Loan Bank of Dallas (“FHLB”) pursuant to an Advances and Security Agreement between the Company and FHLB (the “Advances and Security Agreement”). In accordance with the terms of the FHLB Loan, the Company retains all rights regarding these pledged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assets with fair values of approximately $88.5 million pledged as collateral for performance obligations under reinsurance agreements. In accordance with the terms of the trust agreements, the Company retains all rights regarding these securities, of which $71.3 million are residential mortgage-backed securities, $15.0 million of cash and cash equivalents and other assets and $2.2 million of short-term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gross unrealized losses and the corresponding fair values of investments, aggregated by length of time that individual securities had been in a continuous unrealized loss position as of June 30, 2026 and 2025:</w:t>
      </w:r>
    </w:p>
    <w:tbl>
      <w:tblPr>
        <w:tblW w:w="10339" w:type="dxa"/>
        <w:jc w:val="left"/>
        <w:tblInd w:w="0" w:type="dxa"/>
        <w:tblLayout w:type="fixed"/>
        <w:tblCellMar>
          <w:top w:w="28" w:type="dxa"/>
          <w:left w:w="28" w:type="dxa"/>
          <w:bottom w:w="28" w:type="dxa"/>
          <w:right w:w="28" w:type="dxa"/>
        </w:tblCellMar>
      </w:tblPr>
      <w:tblGrid>
        <w:gridCol w:w="1004"/>
        <w:gridCol w:w="263"/>
        <w:gridCol w:w="264"/>
        <w:gridCol w:w="109"/>
        <w:gridCol w:w="109"/>
        <w:gridCol w:w="109"/>
        <w:gridCol w:w="211"/>
        <w:gridCol w:w="841"/>
        <w:gridCol w:w="109"/>
        <w:gridCol w:w="109"/>
        <w:gridCol w:w="109"/>
        <w:gridCol w:w="109"/>
        <w:gridCol w:w="211"/>
        <w:gridCol w:w="736"/>
        <w:gridCol w:w="109"/>
        <w:gridCol w:w="109"/>
        <w:gridCol w:w="109"/>
        <w:gridCol w:w="109"/>
        <w:gridCol w:w="211"/>
        <w:gridCol w:w="841"/>
        <w:gridCol w:w="109"/>
        <w:gridCol w:w="109"/>
        <w:gridCol w:w="109"/>
        <w:gridCol w:w="109"/>
        <w:gridCol w:w="211"/>
        <w:gridCol w:w="736"/>
        <w:gridCol w:w="109"/>
        <w:gridCol w:w="109"/>
        <w:gridCol w:w="109"/>
        <w:gridCol w:w="109"/>
        <w:gridCol w:w="211"/>
        <w:gridCol w:w="991"/>
        <w:gridCol w:w="109"/>
        <w:gridCol w:w="109"/>
        <w:gridCol w:w="109"/>
        <w:gridCol w:w="109"/>
        <w:gridCol w:w="211"/>
        <w:gridCol w:w="736"/>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387,579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21,859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151,044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940,202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1,075,192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
        <w:gridCol w:w="298"/>
        <w:gridCol w:w="299"/>
        <w:gridCol w:w="109"/>
        <w:gridCol w:w="109"/>
        <w:gridCol w:w="109"/>
        <w:gridCol w:w="211"/>
        <w:gridCol w:w="826"/>
        <w:gridCol w:w="109"/>
        <w:gridCol w:w="109"/>
        <w:gridCol w:w="109"/>
        <w:gridCol w:w="109"/>
        <w:gridCol w:w="216"/>
        <w:gridCol w:w="651"/>
        <w:gridCol w:w="111"/>
        <w:gridCol w:w="109"/>
        <w:gridCol w:w="109"/>
        <w:gridCol w:w="109"/>
        <w:gridCol w:w="211"/>
        <w:gridCol w:w="826"/>
        <w:gridCol w:w="109"/>
        <w:gridCol w:w="109"/>
        <w:gridCol w:w="109"/>
        <w:gridCol w:w="109"/>
        <w:gridCol w:w="215"/>
        <w:gridCol w:w="754"/>
        <w:gridCol w:w="111"/>
        <w:gridCol w:w="109"/>
        <w:gridCol w:w="109"/>
        <w:gridCol w:w="109"/>
        <w:gridCol w:w="211"/>
        <w:gridCol w:w="826"/>
        <w:gridCol w:w="109"/>
        <w:gridCol w:w="109"/>
        <w:gridCol w:w="109"/>
        <w:gridCol w:w="109"/>
        <w:gridCol w:w="215"/>
        <w:gridCol w:w="753"/>
        <w:gridCol w:w="162"/>
      </w:tblGrid>
      <w:tr>
        <w:trPr/>
        <w:tc>
          <w:tcPr>
            <w:tcW w:w="10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Gross Unrealized Losses</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(15,394)</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987 lots of fixed maturity securities in an unrealized loss position. The Company does not have an intent to sell these securities and it is not more likely than not that the Company will be required to sell these securities before maturity or recovery of its cost basis. The Company reviewed its investments at June 30, 2026 and determined that for two available-for-sale securities in the “corporate securities and miscellaneous” category, credit impairments existed, based on new recovery analysis that showed deteriorating conditions raising credit concerns. Other than the securities discussed previously, the Company determined that no other credit impairment existed in the gross unrealized holding losses, due to the reasons discussed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U.S. government securities and municipal securities</w:t>
      </w:r>
      <w:r>
        <w:rPr>
          <w:rFonts w:ascii="Times New Roman;serif" w:hAnsi="Times New Roman;serif"/>
          <w:b w:val="false"/>
          <w:color w:val="000000"/>
          <w:sz w:val="20"/>
        </w:rPr>
        <w:t>: These securities were issued by the U.S. Treasury Department, Federal government-sponsored entities or by state and local governments.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Corporate securities and miscellaneous</w:t>
      </w:r>
      <w:r>
        <w:rPr>
          <w:rFonts w:ascii="Times New Roman;serif" w:hAnsi="Times New Roman;serif"/>
          <w:b w:val="false"/>
          <w:color w:val="000000"/>
          <w:sz w:val="20"/>
        </w:rPr>
        <w:t xml:space="preserve">: Corporations in various industries issued these securities. The decline in fair values was attributable to changes in interest rates and not credit quality. The Company reviewed the issuers of these securities to identify any significant adverse change in financial condition, a change in the quality of credit enhancement (if any), a ratings decrease, or negative outlook assignment from a major credit rating agency, and any failure to make interest or principal payments. After these reviews, the Company determined that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Residential mortgage-backed securities, commercial mortgage-backed securities, and other asset-backed securities</w:t>
      </w:r>
      <w:r>
        <w:rPr>
          <w:rFonts w:ascii="Times New Roman;serif" w:hAnsi="Times New Roman;serif"/>
          <w:b w:val="false"/>
          <w:color w:val="000000"/>
          <w:sz w:val="20"/>
        </w:rPr>
        <w:t>: The decline in fair values was attributable to changes in interest rates and not credit quality. The Company does not intend to sell these securities and it is likely that it will not do so before their anticipated recovery. Therefore, the Company does not consider these impaired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allowance for credit losses on available-for-sale securities and held-to-maturity securities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1182"/>
        <w:gridCol w:w="1004"/>
        <w:gridCol w:w="1009"/>
        <w:gridCol w:w="109"/>
        <w:gridCol w:w="109"/>
        <w:gridCol w:w="109"/>
        <w:gridCol w:w="711"/>
        <w:gridCol w:w="2128"/>
        <w:gridCol w:w="367"/>
        <w:gridCol w:w="109"/>
        <w:gridCol w:w="109"/>
        <w:gridCol w:w="109"/>
        <w:gridCol w:w="666"/>
        <w:gridCol w:w="1992"/>
        <w:gridCol w:w="492"/>
      </w:tblGrid>
      <w:tr>
        <w:trPr/>
        <w:tc>
          <w:tcPr>
            <w:tcW w:w="118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7,000</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amounts previously written 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6,500</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w:t>
            </w: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1,955</w:t>
            </w:r>
            <w:r>
              <w:rPr>
                <w:color w:val="000000"/>
              </w:rPr>
              <w:t> </w:t>
            </w:r>
          </w:p>
        </w:tc>
        <w:tc>
          <w:tcPr>
            <w:tcW w:w="49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amounts previously written 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6,228</w:t>
            </w:r>
            <w:r>
              <w:rPr>
                <w:color w:val="000000"/>
              </w:rPr>
              <w:t>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9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2,256</w:t>
            </w:r>
            <w:r>
              <w:rPr>
                <w:color w:val="000000"/>
              </w:rPr>
              <w:t> </w:t>
            </w:r>
          </w:p>
        </w:tc>
        <w:tc>
          <w:tcPr>
            <w:tcW w:w="4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0"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7"/>
        <w:gridCol w:w="955"/>
        <w:gridCol w:w="961"/>
        <w:gridCol w:w="109"/>
        <w:gridCol w:w="109"/>
        <w:gridCol w:w="109"/>
        <w:gridCol w:w="744"/>
        <w:gridCol w:w="2174"/>
        <w:gridCol w:w="387"/>
        <w:gridCol w:w="109"/>
        <w:gridCol w:w="109"/>
        <w:gridCol w:w="109"/>
        <w:gridCol w:w="820"/>
        <w:gridCol w:w="1814"/>
        <w:gridCol w:w="609"/>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3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43" w:type="dxa"/>
            <w:gridSpan w:val="3"/>
            <w:tcBorders/>
            <w:vAlign w:val="center"/>
          </w:tcPr>
          <w:p>
            <w:pPr>
              <w:pStyle w:val="TableContents"/>
              <w:bidi w:val="0"/>
              <w:spacing w:before="0" w:after="283"/>
              <w:jc w:val="left"/>
              <w:rPr>
                <w:sz w:val="4"/>
                <w:szCs w:val="4"/>
              </w:rPr>
            </w:pPr>
            <w:r>
              <w:rPr>
                <w:sz w:val="4"/>
                <w:szCs w:val="4"/>
              </w:rPr>
            </w:r>
          </w:p>
        </w:tc>
      </w:tr>
      <w:tr>
        <w:trPr/>
        <w:tc>
          <w:tcPr>
            <w:tcW w:w="30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(losses) gains for the three and six months ended June 30, 2026 and 2025:</w:t>
      </w:r>
    </w:p>
    <w:tbl>
      <w:tblPr>
        <w:tblW w:w="9505" w:type="dxa"/>
        <w:jc w:val="center"/>
        <w:tblInd w:w="0" w:type="dxa"/>
        <w:tblLayout w:type="fixed"/>
        <w:tblCellMar>
          <w:top w:w="28" w:type="dxa"/>
          <w:left w:w="28" w:type="dxa"/>
          <w:bottom w:w="28" w:type="dxa"/>
          <w:right w:w="28" w:type="dxa"/>
        </w:tblCellMar>
      </w:tblPr>
      <w:tblGrid>
        <w:gridCol w:w="1341"/>
        <w:gridCol w:w="1180"/>
        <w:gridCol w:w="1184"/>
        <w:gridCol w:w="109"/>
        <w:gridCol w:w="109"/>
        <w:gridCol w:w="109"/>
        <w:gridCol w:w="244"/>
        <w:gridCol w:w="731"/>
        <w:gridCol w:w="126"/>
        <w:gridCol w:w="126"/>
        <w:gridCol w:w="126"/>
        <w:gridCol w:w="126"/>
        <w:gridCol w:w="244"/>
        <w:gridCol w:w="713"/>
        <w:gridCol w:w="126"/>
        <w:gridCol w:w="109"/>
        <w:gridCol w:w="109"/>
        <w:gridCol w:w="109"/>
        <w:gridCol w:w="221"/>
        <w:gridCol w:w="662"/>
        <w:gridCol w:w="114"/>
        <w:gridCol w:w="114"/>
        <w:gridCol w:w="114"/>
        <w:gridCol w:w="114"/>
        <w:gridCol w:w="221"/>
        <w:gridCol w:w="647"/>
        <w:gridCol w:w="114"/>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(1,964)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1,927</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proceeds from sales of available-for-sale fixed maturity securities and equity securities for the six months ended June 30, 2026 and 2025: </w:t>
      </w:r>
    </w:p>
    <w:tbl>
      <w:tblPr>
        <w:tblW w:w="6749"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211"/>
        <w:gridCol w:w="841"/>
        <w:gridCol w:w="109"/>
        <w:gridCol w:w="109"/>
        <w:gridCol w:w="109"/>
        <w:gridCol w:w="109"/>
        <w:gridCol w:w="211"/>
        <w:gridCol w:w="721"/>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for the three and six months ended June 30, 2026 and 2025:</w:t>
      </w:r>
    </w:p>
    <w:tbl>
      <w:tblPr>
        <w:tblW w:w="9534" w:type="dxa"/>
        <w:jc w:val="center"/>
        <w:tblInd w:w="0" w:type="dxa"/>
        <w:tblLayout w:type="fixed"/>
        <w:tblCellMar>
          <w:top w:w="28" w:type="dxa"/>
          <w:left w:w="28" w:type="dxa"/>
          <w:bottom w:w="28" w:type="dxa"/>
          <w:right w:w="28" w:type="dxa"/>
        </w:tblCellMar>
      </w:tblPr>
      <w:tblGrid>
        <w:gridCol w:w="1314"/>
        <w:gridCol w:w="1155"/>
        <w:gridCol w:w="1161"/>
        <w:gridCol w:w="109"/>
        <w:gridCol w:w="109"/>
        <w:gridCol w:w="109"/>
        <w:gridCol w:w="223"/>
        <w:gridCol w:w="779"/>
        <w:gridCol w:w="115"/>
        <w:gridCol w:w="115"/>
        <w:gridCol w:w="115"/>
        <w:gridCol w:w="115"/>
        <w:gridCol w:w="223"/>
        <w:gridCol w:w="763"/>
        <w:gridCol w:w="115"/>
        <w:gridCol w:w="109"/>
        <w:gridCol w:w="109"/>
        <w:gridCol w:w="109"/>
        <w:gridCol w:w="211"/>
        <w:gridCol w:w="736"/>
        <w:gridCol w:w="109"/>
        <w:gridCol w:w="109"/>
        <w:gridCol w:w="109"/>
        <w:gridCol w:w="109"/>
        <w:gridCol w:w="211"/>
        <w:gridCol w:w="721"/>
        <w:gridCol w:w="109"/>
        <w:gridCol w:w="109"/>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25,879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Indirect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and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6,719</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30,405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3.     </w:t>
      </w:r>
      <w:r>
        <w:rPr>
          <w:rFonts w:ascii="Times New Roman;serif" w:hAnsi="Times New Roman;serif"/>
          <w:b/>
          <w:color w:val="000000"/>
          <w:sz w:val="20"/>
          <w:u w:val="single"/>
        </w:rPr>
        <w:t>Investments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change in net unrealized gains (losses) on the Company’s investment portfolio, net of deferred income taxes, included in other comprehensive loss for the three and six months ended June 30, 2026 and 2025: </w:t>
      </w:r>
    </w:p>
    <w:tbl>
      <w:tblPr>
        <w:tblW w:w="8091" w:type="dxa"/>
        <w:jc w:val="left"/>
        <w:tblInd w:w="0" w:type="dxa"/>
        <w:tblLayout w:type="fixed"/>
        <w:tblCellMar>
          <w:top w:w="28" w:type="dxa"/>
          <w:left w:w="28" w:type="dxa"/>
          <w:bottom w:w="28" w:type="dxa"/>
          <w:right w:w="28" w:type="dxa"/>
        </w:tblCellMar>
      </w:tblPr>
      <w:tblGrid>
        <w:gridCol w:w="771"/>
        <w:gridCol w:w="678"/>
        <w:gridCol w:w="681"/>
        <w:gridCol w:w="109"/>
        <w:gridCol w:w="109"/>
        <w:gridCol w:w="109"/>
        <w:gridCol w:w="238"/>
        <w:gridCol w:w="779"/>
        <w:gridCol w:w="122"/>
        <w:gridCol w:w="122"/>
        <w:gridCol w:w="122"/>
        <w:gridCol w:w="122"/>
        <w:gridCol w:w="238"/>
        <w:gridCol w:w="695"/>
        <w:gridCol w:w="122"/>
        <w:gridCol w:w="109"/>
        <w:gridCol w:w="109"/>
        <w:gridCol w:w="109"/>
        <w:gridCol w:w="211"/>
        <w:gridCol w:w="796"/>
        <w:gridCol w:w="109"/>
        <w:gridCol w:w="109"/>
        <w:gridCol w:w="109"/>
        <w:gridCol w:w="109"/>
        <w:gridCol w:w="211"/>
        <w:gridCol w:w="721"/>
        <w:gridCol w:w="109"/>
        <w:gridCol w:w="109"/>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(22,762)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financial instruments into the following three-level hierarchy: </w:t>
      </w:r>
    </w:p>
    <w:p>
      <w:pPr>
        <w:pStyle w:val="TextBody"/>
        <w:bidi w:val="0"/>
        <w:spacing w:lineRule="auto" w:line="288" w:before="0" w:after="12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Level 1    -    Inputs are unadjusted, quoted prices for identical assets or liabilities in active markets at the measurement date.</w:t>
      </w:r>
    </w:p>
    <w:p>
      <w:pPr>
        <w:pStyle w:val="TextBody"/>
        <w:bidi w:val="0"/>
        <w:spacing w:lineRule="auto" w:line="288" w:before="0" w:after="12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Level 2    -    Inputs are other than quoted prices included in Level 1 that are observable for the asset or liability through corroboration with market data at the measurement date.</w:t>
      </w:r>
    </w:p>
    <w:p>
      <w:pPr>
        <w:pStyle w:val="TextBody"/>
        <w:bidi w:val="0"/>
        <w:spacing w:lineRule="auto" w:line="288" w:before="0" w:after="12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Level 3    -    Unobservable inputs that reflect management’s best estimate of what market participants would use in pricing the asset or liability at the measurement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in estimating the fair value disclosures for financial instruments in the accompanying consolidated financial statements and in these notes:</w:t>
      </w:r>
    </w:p>
    <w:p>
      <w:pPr>
        <w:pStyle w:val="TextBody"/>
        <w:bidi w:val="0"/>
        <w:spacing w:lineRule="auto" w:line="288" w:before="0" w:after="120"/>
        <w:jc w:val="both"/>
        <w:rPr/>
      </w:pPr>
      <w:r>
        <w:rPr>
          <w:rFonts w:ascii="Times New Roman;serif" w:hAnsi="Times New Roman;serif"/>
          <w:b w:val="false"/>
          <w:i/>
          <w:color w:val="000000"/>
          <w:sz w:val="20"/>
        </w:rPr>
        <w:t>U.S. government securities, mutual funds and common stock</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unadjusted quoted prices for identical instruments in an active exchange to measure fair value which represent Level 1 inputs. </w:t>
      </w:r>
    </w:p>
    <w:p>
      <w:pPr>
        <w:pStyle w:val="TextBody"/>
        <w:bidi w:val="0"/>
        <w:spacing w:lineRule="auto" w:line="288" w:before="0" w:after="120"/>
        <w:jc w:val="both"/>
        <w:rPr/>
      </w:pPr>
      <w:r>
        <w:rPr>
          <w:rFonts w:ascii="Times New Roman;serif" w:hAnsi="Times New Roman;serif"/>
          <w:b w:val="false"/>
          <w:i/>
          <w:color w:val="000000"/>
          <w:sz w:val="20"/>
        </w:rPr>
        <w:t>Preferred stocks, municipal securities, corporate securities and miscellaneous</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 </w:t>
      </w:r>
    </w:p>
    <w:p>
      <w:pPr>
        <w:pStyle w:val="TextBody"/>
        <w:bidi w:val="0"/>
        <w:spacing w:lineRule="auto" w:line="288" w:before="0" w:after="120"/>
        <w:jc w:val="both"/>
        <w:rPr/>
      </w:pPr>
      <w:r>
        <w:rPr>
          <w:rFonts w:ascii="Times New Roman;serif" w:hAnsi="Times New Roman;serif"/>
          <w:b w:val="false"/>
          <w:i/>
          <w:color w:val="000000"/>
          <w:sz w:val="20"/>
        </w:rPr>
        <w:t>Commercial mortgage-backed securities, residential mortgage-backed securities and other asset-backed securities</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Fixed maturity securities, available for sale classified as Level 3</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corporate securities and miscellaneous, other asset-backed securities that are managed by an independent asset manager and priced by an independent pricing provider. The provider estimates the value of the securities using the discount net present value of cash flows method using an unobservable discount rate. The discount rate spread represents the risk associated with future cash flows, including inflation, opportunity cost and the time value of money. This rate represents Level 3 fair value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range of the discount rate as of June 30, 2026 and December 31, 2025:</w:t>
      </w:r>
    </w:p>
    <w:tbl>
      <w:tblPr>
        <w:tblW w:w="5340" w:type="dxa"/>
        <w:jc w:val="center"/>
        <w:tblInd w:w="0" w:type="dxa"/>
        <w:tblLayout w:type="fixed"/>
        <w:tblCellMar>
          <w:top w:w="28" w:type="dxa"/>
          <w:left w:w="28" w:type="dxa"/>
          <w:bottom w:w="28" w:type="dxa"/>
          <w:right w:w="28" w:type="dxa"/>
        </w:tblCellMar>
      </w:tblPr>
      <w:tblGrid>
        <w:gridCol w:w="573"/>
        <w:gridCol w:w="503"/>
        <w:gridCol w:w="514"/>
        <w:gridCol w:w="109"/>
        <w:gridCol w:w="109"/>
        <w:gridCol w:w="109"/>
        <w:gridCol w:w="315"/>
        <w:gridCol w:w="316"/>
        <w:gridCol w:w="740"/>
        <w:gridCol w:w="109"/>
        <w:gridCol w:w="109"/>
        <w:gridCol w:w="109"/>
        <w:gridCol w:w="352"/>
        <w:gridCol w:w="352"/>
        <w:gridCol w:w="1021"/>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w:t>
            </w:r>
            <w:r>
              <w:rPr>
                <w:color w:val="000000"/>
              </w:rPr>
              <w:t>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w:t>
            </w: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w:t>
            </w: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Mortgage loans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judgment and uncertainty.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range and weighted average, weighted by relative fair value, of the spread as of June 30, 2026 and December 31, 2025:</w:t>
      </w:r>
    </w:p>
    <w:tbl>
      <w:tblPr>
        <w:tblW w:w="5243" w:type="dxa"/>
        <w:jc w:val="left"/>
        <w:tblInd w:w="0" w:type="dxa"/>
        <w:tblLayout w:type="fixed"/>
        <w:tblCellMar>
          <w:top w:w="28" w:type="dxa"/>
          <w:left w:w="28" w:type="dxa"/>
          <w:bottom w:w="28" w:type="dxa"/>
          <w:right w:w="28" w:type="dxa"/>
        </w:tblCellMar>
      </w:tblPr>
      <w:tblGrid>
        <w:gridCol w:w="573"/>
        <w:gridCol w:w="503"/>
        <w:gridCol w:w="514"/>
        <w:gridCol w:w="109"/>
        <w:gridCol w:w="109"/>
        <w:gridCol w:w="109"/>
        <w:gridCol w:w="267"/>
        <w:gridCol w:w="267"/>
        <w:gridCol w:w="740"/>
        <w:gridCol w:w="109"/>
        <w:gridCol w:w="109"/>
        <w:gridCol w:w="109"/>
        <w:gridCol w:w="352"/>
        <w:gridCol w:w="352"/>
        <w:gridCol w:w="1021"/>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8.09</w:t>
            </w:r>
            <w:r>
              <w:rPr>
                <w:color w:val="000000"/>
              </w:rPr>
              <w:t>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w:t>
            </w:r>
            <w:r>
              <w:rPr>
                <w:color w:val="000000"/>
              </w:rPr>
              <w:t>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7.65</w:t>
            </w:r>
            <w:r>
              <w:rPr>
                <w:color w:val="000000"/>
              </w:rPr>
              <w:t>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other assets are derivatives which consist of certain exchange traded options contracts entered into by the Company. The fair values of these options are measured using quoted prices in active markets on the relevant exchange, specifically utilizing either the volume-weighted average price of trades in similar contracts during a specified time window, or the last trade settlement price when no trades occur within that period. This method represents Level 1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Company’s investments and derivatives within the fair value hierarchy at June 30, 2026 and December 31, 2025:</w:t>
      </w:r>
    </w:p>
    <w:tbl>
      <w:tblPr>
        <w:tblW w:w="10205" w:type="dxa"/>
        <w:jc w:val="left"/>
        <w:tblInd w:w="0" w:type="dxa"/>
        <w:tblLayout w:type="fixed"/>
        <w:tblCellMar>
          <w:top w:w="28" w:type="dxa"/>
          <w:left w:w="28" w:type="dxa"/>
          <w:bottom w:w="28" w:type="dxa"/>
          <w:right w:w="28" w:type="dxa"/>
        </w:tblCellMar>
      </w:tblPr>
      <w:tblGrid>
        <w:gridCol w:w="1442"/>
        <w:gridCol w:w="1229"/>
        <w:gridCol w:w="1236"/>
        <w:gridCol w:w="109"/>
        <w:gridCol w:w="109"/>
        <w:gridCol w:w="109"/>
        <w:gridCol w:w="211"/>
        <w:gridCol w:w="841"/>
        <w:gridCol w:w="109"/>
        <w:gridCol w:w="109"/>
        <w:gridCol w:w="109"/>
        <w:gridCol w:w="109"/>
        <w:gridCol w:w="211"/>
        <w:gridCol w:w="991"/>
        <w:gridCol w:w="109"/>
        <w:gridCol w:w="109"/>
        <w:gridCol w:w="109"/>
        <w:gridCol w:w="109"/>
        <w:gridCol w:w="211"/>
        <w:gridCol w:w="841"/>
        <w:gridCol w:w="109"/>
        <w:gridCol w:w="109"/>
        <w:gridCol w:w="109"/>
        <w:gridCol w:w="109"/>
        <w:gridCol w:w="211"/>
        <w:gridCol w:w="991"/>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3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127,064</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650,362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140,445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790,807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92,213</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445,211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84,624</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632,209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649,587</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1,907,296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157,823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2,192,183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34,716</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392,634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392,634</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40,535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560,233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1,908,437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2,670,427</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453"/>
        <w:gridCol w:w="1253"/>
        <w:gridCol w:w="1260"/>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56"/>
      </w:tblGrid>
      <w:tr>
        <w:trPr/>
        <w:tc>
          <w:tcPr>
            <w:tcW w:w="14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held-to-maturity: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2,200,138 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changes in the fair value of instruments carried at fair value with a Level 3 measurement during the six months ended June 30, 2026 and 2025:</w:t>
      </w:r>
    </w:p>
    <w:tbl>
      <w:tblPr>
        <w:tblW w:w="10205" w:type="dxa"/>
        <w:jc w:val="left"/>
        <w:tblInd w:w="0" w:type="dxa"/>
        <w:tblLayout w:type="fixed"/>
        <w:tblCellMar>
          <w:top w:w="28" w:type="dxa"/>
          <w:left w:w="28" w:type="dxa"/>
          <w:bottom w:w="28" w:type="dxa"/>
          <w:right w:w="28" w:type="dxa"/>
        </w:tblCellMar>
      </w:tblPr>
      <w:tblGrid>
        <w:gridCol w:w="2071"/>
        <w:gridCol w:w="1650"/>
        <w:gridCol w:w="1658"/>
        <w:gridCol w:w="109"/>
        <w:gridCol w:w="109"/>
        <w:gridCol w:w="109"/>
        <w:gridCol w:w="460"/>
        <w:gridCol w:w="1836"/>
        <w:gridCol w:w="237"/>
        <w:gridCol w:w="109"/>
        <w:gridCol w:w="109"/>
        <w:gridCol w:w="109"/>
        <w:gridCol w:w="109"/>
        <w:gridCol w:w="109"/>
        <w:gridCol w:w="256"/>
        <w:gridCol w:w="766"/>
        <w:gridCol w:w="132"/>
        <w:gridCol w:w="109"/>
        <w:gridCol w:w="158"/>
      </w:tblGrid>
      <w:tr>
        <w:trPr/>
        <w:tc>
          <w:tcPr>
            <w:tcW w:w="207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150,917</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9,902</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for the period recognized in net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11,266</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losses for the period recognized in accumulated 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159,450</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9,088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gains for the period recognized in net investment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(161)</w:t>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into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w:t>
            </w: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3,458</w:t>
            </w: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gains for the period recognized in accumulated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157,823</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05"/>
        <w:gridCol w:w="1837"/>
        <w:gridCol w:w="1846"/>
        <w:gridCol w:w="109"/>
        <w:gridCol w:w="109"/>
        <w:gridCol w:w="109"/>
        <w:gridCol w:w="396"/>
        <w:gridCol w:w="1354"/>
        <w:gridCol w:w="204"/>
        <w:gridCol w:w="109"/>
        <w:gridCol w:w="109"/>
        <w:gridCol w:w="109"/>
        <w:gridCol w:w="109"/>
        <w:gridCol w:w="109"/>
        <w:gridCol w:w="229"/>
        <w:gridCol w:w="785"/>
        <w:gridCol w:w="118"/>
        <w:gridCol w:w="159"/>
      </w:tblGrid>
      <w:tr>
        <w:trPr/>
        <w:tc>
          <w:tcPr>
            <w:tcW w:w="2405"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Fixed Maturity Securities, Available-For-Sale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Mortgage Loans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for the period recognized in net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gains for the period recognized in accumulated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for the period recognized in net investment gains attributable to the change in unrealized gains or losses relating to assets held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gains for the period recognized in net investment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into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gains for the period recognized in accumulated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for the period recognized in net investment gains (losses) attributable to the change in unrealized gains or losses relating to assets held as of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transfers into Level 3 during the three and six months ended June 30, 2026 were the result of securities that began receiving valuations from asset managers that utilized unobservable inputs at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4.    </w:t>
      </w:r>
      <w:r>
        <w:rPr>
          <w:rFonts w:ascii="Times New Roman;serif" w:hAnsi="Times New Roman;serif"/>
          <w:b/>
          <w:color w:val="000000"/>
          <w:sz w:val="20"/>
          <w:u w:val="single"/>
        </w:rPr>
        <w:t>Fair Value Measurements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measures certain assets, including investments in indirect loans and loan collateral, equity method investments and other invested assets, at fair value on a nonrecurring basis only when they are deemed to be impaired.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methods and assumptions were used in estimating the fair value disclosures of other financial instruments: </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Fixed maturity securities, held-to-maturity:</w:t>
      </w:r>
      <w:r>
        <w:rPr>
          <w:color w:val="000000"/>
        </w:rPr>
        <w:t xml:space="preserve"> </w:t>
      </w:r>
      <w:r>
        <w:rPr>
          <w:rFonts w:ascii="Times New Roman;serif" w:hAnsi="Times New Roman;serif"/>
          <w:b w:val="false"/>
          <w:color w:val="000000"/>
          <w:sz w:val="20"/>
        </w:rPr>
        <w:t>Fixed maturity securities, held-to-maturity consists of senior and junior notes with target rates of return. As of June 30, 2026, the Company determined the fair value of these instruments using the income approach utilizing inputs that are unobservable (Level 3).</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Investment in RedBird Capital Partners: </w:t>
      </w:r>
      <w:r>
        <w:rPr>
          <w:rFonts w:ascii="Times New Roman;serif" w:hAnsi="Times New Roman;serif"/>
          <w:b w:val="false"/>
          <w:color w:val="000000"/>
          <w:sz w:val="20"/>
        </w:rPr>
        <w:t>Included in other long-term investments is an investment in a limited partnership with RedBird Capital Partners, which invests in Bishop Street Underwriters, LLC (“Bishop Street”), a managing general agent (MGA). The investment had a fair value of $49.1 million at June 30, 2026, which was determined using the net asset value. The Company employs procedures to assess the reasonableness of the fair value of the investment including obtaining and reviewing the audited financial statements. The unfunded commitment related to the investment was $18.3 million at June 30, 2026. The Company may sell its interest in the investment with the appropriate prior written notice and approval by the general partner. In accordance with Accounting Standard Codification 820-10, this investment is measured at fair value using the net asset value per share practical expedient and has not been classified in the fair value hierarchy.</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The carrying value approximates the estimated fair value for notes payable as the notes payable accrue interest at current market rates plus a spread. The Company determines fair value using the income approach utilizing inputs that are observable (Level 2).</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Subordinated debt: </w:t>
      </w:r>
      <w:r>
        <w:rPr>
          <w:rFonts w:ascii="Times New Roman;serif" w:hAnsi="Times New Roman;serif"/>
          <w:b w:val="false"/>
          <w:color w:val="000000"/>
          <w:sz w:val="20"/>
        </w:rPr>
        <w:t>Subordinated debt consists of the Unsecured Subordinated Notes, due May 24, 2039 and have a fixed interest rate. The Company determines the fair value of these instruments using the income approach utilizing inputs that are observable (Level 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carrying and fair values of notes payable and subordinated debt as of June 30, 2026 and December 31, 2025: </w:t>
      </w:r>
    </w:p>
    <w:tbl>
      <w:tblPr>
        <w:tblW w:w="9792" w:type="dxa"/>
        <w:jc w:val="left"/>
        <w:tblInd w:w="0" w:type="dxa"/>
        <w:tblLayout w:type="fixed"/>
        <w:tblCellMar>
          <w:top w:w="28" w:type="dxa"/>
          <w:left w:w="28" w:type="dxa"/>
          <w:bottom w:w="28" w:type="dxa"/>
          <w:right w:w="28" w:type="dxa"/>
        </w:tblCellMar>
      </w:tblPr>
      <w:tblGrid>
        <w:gridCol w:w="1384"/>
        <w:gridCol w:w="1217"/>
        <w:gridCol w:w="1224"/>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138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Fair </w:t>
              <w:br/>
              <w:t>Value</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246,073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417,310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Subordinated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debt,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financial instruments qualify as insurance-related products and are specifically exempted from fair value disclosure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120"/>
        <w:ind w:left="0" w:right="0" w:hanging="360"/>
        <w:jc w:val="left"/>
        <w:rPr/>
      </w:pPr>
      <w:r>
        <w:rPr/>
      </w:r>
    </w:p>
    <w:p>
      <w:pPr>
        <w:pStyle w:val="TextBody"/>
        <w:bidi w:val="0"/>
        <w:spacing w:lineRule="auto" w:line="288" w:before="0" w:after="120"/>
        <w:ind w:left="0" w:right="0" w:hanging="360"/>
        <w:jc w:val="left"/>
        <w:rPr/>
      </w:pPr>
      <w:r>
        <w:rPr>
          <w:rFonts w:ascii="Times New Roman;serif" w:hAnsi="Times New Roman;serif"/>
          <w:b/>
          <w:color w:val="000000"/>
          <w:sz w:val="20"/>
        </w:rPr>
        <w:t>5.    </w:t>
      </w:r>
      <w:r>
        <w:rPr>
          <w:rFonts w:ascii="Times New Roman;serif" w:hAnsi="Times New Roman;serif"/>
          <w:b/>
          <w:color w:val="000000"/>
          <w:sz w:val="20"/>
          <w:u w:val="single"/>
        </w:rPr>
        <w:t>Mortgage Loans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invested in Separately Managed Accounts (“SMA1” and “SMA2”). As of June 30, 2026 and December 31, 2025, the Company held direct investments in mortgage loans from various creditors through SMA1 and SMA2.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mortgage loan portfolios are primarily senior loans on real estate across the U.S. The loans earn interest at a fixed spread above a prime rate and mature in approximately 2 to 4 years from loan origination. The principal amounts of the loans are approximately 64% of the property’s appraised value at the time the loans were made.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carrying value of the Company’s mortgage loans as of June 30, 2026 and 2025: </w:t>
      </w:r>
    </w:p>
    <w:tbl>
      <w:tblPr>
        <w:tblW w:w="4913" w:type="dxa"/>
        <w:jc w:val="left"/>
        <w:tblInd w:w="0" w:type="dxa"/>
        <w:tblLayout w:type="fixed"/>
        <w:tblCellMar>
          <w:top w:w="28" w:type="dxa"/>
          <w:left w:w="28" w:type="dxa"/>
          <w:bottom w:w="28" w:type="dxa"/>
          <w:right w:w="28" w:type="dxa"/>
        </w:tblCellMar>
      </w:tblPr>
      <w:tblGrid>
        <w:gridCol w:w="456"/>
        <w:gridCol w:w="401"/>
        <w:gridCol w:w="403"/>
        <w:gridCol w:w="109"/>
        <w:gridCol w:w="109"/>
        <w:gridCol w:w="109"/>
        <w:gridCol w:w="283"/>
        <w:gridCol w:w="846"/>
        <w:gridCol w:w="146"/>
        <w:gridCol w:w="109"/>
        <w:gridCol w:w="109"/>
        <w:gridCol w:w="109"/>
        <w:gridCol w:w="371"/>
        <w:gridCol w:w="1083"/>
        <w:gridCol w:w="270"/>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2,598</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6,620</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9,218</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gross investment income for mortgage loans for the three and six months ended June 30, 2026 and 2025: </w:t>
      </w:r>
    </w:p>
    <w:tbl>
      <w:tblPr>
        <w:tblW w:w="7279" w:type="dxa"/>
        <w:jc w:val="left"/>
        <w:tblInd w:w="0" w:type="dxa"/>
        <w:tblLayout w:type="fixed"/>
        <w:tblCellMar>
          <w:top w:w="28" w:type="dxa"/>
          <w:left w:w="28" w:type="dxa"/>
          <w:bottom w:w="28" w:type="dxa"/>
          <w:right w:w="28" w:type="dxa"/>
        </w:tblCellMar>
      </w:tblPr>
      <w:tblGrid>
        <w:gridCol w:w="456"/>
        <w:gridCol w:w="401"/>
        <w:gridCol w:w="403"/>
        <w:gridCol w:w="109"/>
        <w:gridCol w:w="109"/>
        <w:gridCol w:w="109"/>
        <w:gridCol w:w="282"/>
        <w:gridCol w:w="644"/>
        <w:gridCol w:w="146"/>
        <w:gridCol w:w="146"/>
        <w:gridCol w:w="146"/>
        <w:gridCol w:w="146"/>
        <w:gridCol w:w="282"/>
        <w:gridCol w:w="624"/>
        <w:gridCol w:w="146"/>
        <w:gridCol w:w="109"/>
        <w:gridCol w:w="109"/>
        <w:gridCol w:w="109"/>
        <w:gridCol w:w="248"/>
        <w:gridCol w:w="637"/>
        <w:gridCol w:w="128"/>
        <w:gridCol w:w="128"/>
        <w:gridCol w:w="128"/>
        <w:gridCol w:w="128"/>
        <w:gridCol w:w="248"/>
        <w:gridCol w:w="549"/>
        <w:gridCol w:w="128"/>
        <w:gridCol w:w="109"/>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Hospitality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and six months ended June 30, 2026 and 2025, respectively.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as of December 31, 2025, $2.6 million mortgage loans were in the process of foreclosure and there was 1 mortgage loan that was not producing income for the previous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6.    </w:t>
      </w:r>
      <w:r>
        <w:rPr>
          <w:rFonts w:ascii="Times New Roman;serif" w:hAnsi="Times New Roman;serif"/>
          <w:b/>
          <w:color w:val="000000"/>
          <w:sz w:val="20"/>
          <w:u w:val="single"/>
        </w:rPr>
        <w:t>Equity Method Investments and Other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carrying value and ownership percentage of the Company’s equity method investments as of June 30, 2026 and 2025: </w:t>
      </w:r>
    </w:p>
    <w:tbl>
      <w:tblPr>
        <w:tblW w:w="10107" w:type="dxa"/>
        <w:jc w:val="left"/>
        <w:tblInd w:w="0" w:type="dxa"/>
        <w:tblLayout w:type="fixed"/>
        <w:tblCellMar>
          <w:top w:w="28" w:type="dxa"/>
          <w:left w:w="28" w:type="dxa"/>
          <w:bottom w:w="28" w:type="dxa"/>
          <w:right w:w="28" w:type="dxa"/>
        </w:tblCellMar>
      </w:tblPr>
      <w:tblGrid>
        <w:gridCol w:w="1319"/>
        <w:gridCol w:w="1160"/>
        <w:gridCol w:w="1166"/>
        <w:gridCol w:w="109"/>
        <w:gridCol w:w="109"/>
        <w:gridCol w:w="109"/>
        <w:gridCol w:w="269"/>
        <w:gridCol w:w="941"/>
        <w:gridCol w:w="139"/>
        <w:gridCol w:w="109"/>
        <w:gridCol w:w="109"/>
        <w:gridCol w:w="109"/>
        <w:gridCol w:w="263"/>
        <w:gridCol w:w="263"/>
        <w:gridCol w:w="690"/>
        <w:gridCol w:w="109"/>
        <w:gridCol w:w="109"/>
        <w:gridCol w:w="109"/>
        <w:gridCol w:w="273"/>
        <w:gridCol w:w="935"/>
        <w:gridCol w:w="141"/>
        <w:gridCol w:w="109"/>
        <w:gridCol w:w="109"/>
        <w:gridCol w:w="109"/>
        <w:gridCol w:w="255"/>
        <w:gridCol w:w="256"/>
        <w:gridCol w:w="729"/>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Ownership %</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Special Opportunities Fund,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22,399</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JVM Funds LLC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Ventures Fund 2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5,397</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RISCOM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2,952</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Brewer Lane Ventures Fund II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2,662</w:t>
            </w: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w:t>
            </w: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SOP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w:t>
            </w:r>
            <w:r>
              <w:rPr>
                <w:color w:val="000000"/>
              </w:rPr>
              <w:t>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46,572</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6.    </w:t>
      </w:r>
      <w:r>
        <w:rPr>
          <w:rFonts w:ascii="Times New Roman;serif" w:hAnsi="Times New Roman;serif"/>
          <w:b/>
          <w:color w:val="000000"/>
          <w:sz w:val="20"/>
          <w:u w:val="single"/>
        </w:rPr>
        <w:t>Equity Method Investments and Other</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net investment income (loss) from equity method investments for the three and six months ended June 30, 2026 and 2025: </w:t>
      </w:r>
    </w:p>
    <w:tbl>
      <w:tblPr>
        <w:tblW w:w="9471" w:type="dxa"/>
        <w:jc w:val="left"/>
        <w:tblInd w:w="0" w:type="dxa"/>
        <w:tblLayout w:type="fixed"/>
        <w:tblCellMar>
          <w:top w:w="28" w:type="dxa"/>
          <w:left w:w="28" w:type="dxa"/>
          <w:bottom w:w="28" w:type="dxa"/>
          <w:right w:w="28" w:type="dxa"/>
        </w:tblCellMar>
      </w:tblPr>
      <w:tblGrid>
        <w:gridCol w:w="1319"/>
        <w:gridCol w:w="1160"/>
        <w:gridCol w:w="1166"/>
        <w:gridCol w:w="109"/>
        <w:gridCol w:w="109"/>
        <w:gridCol w:w="109"/>
        <w:gridCol w:w="238"/>
        <w:gridCol w:w="779"/>
        <w:gridCol w:w="122"/>
        <w:gridCol w:w="122"/>
        <w:gridCol w:w="122"/>
        <w:gridCol w:w="122"/>
        <w:gridCol w:w="238"/>
        <w:gridCol w:w="695"/>
        <w:gridCol w:w="122"/>
        <w:gridCol w:w="109"/>
        <w:gridCol w:w="109"/>
        <w:gridCol w:w="109"/>
        <w:gridCol w:w="211"/>
        <w:gridCol w:w="691"/>
        <w:gridCol w:w="109"/>
        <w:gridCol w:w="109"/>
        <w:gridCol w:w="109"/>
        <w:gridCol w:w="109"/>
        <w:gridCol w:w="211"/>
        <w:gridCol w:w="691"/>
        <w:gridCol w:w="109"/>
        <w:gridCol w:w="109"/>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RISCOM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Ventures Fund II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Brewer Lane Ventures Fund II LP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JVM Funds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SOP LP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Arena Special Opportunities Fund,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(1,057)</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unfunded commitment of equity method investments as of June 30, 2026 and December 31, 2025: </w:t>
      </w:r>
    </w:p>
    <w:tbl>
      <w:tblPr>
        <w:tblW w:w="6908" w:type="dxa"/>
        <w:jc w:val="left"/>
        <w:tblInd w:w="0" w:type="dxa"/>
        <w:tblLayout w:type="fixed"/>
        <w:tblCellMar>
          <w:top w:w="28" w:type="dxa"/>
          <w:left w:w="28" w:type="dxa"/>
          <w:bottom w:w="28" w:type="dxa"/>
          <w:right w:w="28" w:type="dxa"/>
        </w:tblCellMar>
      </w:tblPr>
      <w:tblGrid>
        <w:gridCol w:w="1178"/>
        <w:gridCol w:w="1036"/>
        <w:gridCol w:w="1041"/>
        <w:gridCol w:w="109"/>
        <w:gridCol w:w="109"/>
        <w:gridCol w:w="109"/>
        <w:gridCol w:w="283"/>
        <w:gridCol w:w="846"/>
        <w:gridCol w:w="146"/>
        <w:gridCol w:w="109"/>
        <w:gridCol w:w="109"/>
        <w:gridCol w:w="109"/>
        <w:gridCol w:w="371"/>
        <w:gridCol w:w="1083"/>
        <w:gridCol w:w="270"/>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Brewer Lane Ventures Fund II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2,368</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Dowling Capital Partners LP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Hudson Ventures Fund 2 LP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2,919</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recorded investment in RISCOM compared to its share of underlying equity as of June 30, 2026 and December 31, 2025: </w:t>
      </w:r>
    </w:p>
    <w:tbl>
      <w:tblPr>
        <w:tblW w:w="6173"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283"/>
        <w:gridCol w:w="846"/>
        <w:gridCol w:w="146"/>
        <w:gridCol w:w="109"/>
        <w:gridCol w:w="109"/>
        <w:gridCol w:w="109"/>
        <w:gridCol w:w="371"/>
        <w:gridCol w:w="1083"/>
        <w:gridCol w:w="27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RISCOM: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2,059</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893</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investment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2,952</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recorded investment in JVM Funds LLC compared to its share of underlying equity as of June 30, 2026 and December 31, 2025:</w:t>
      </w:r>
    </w:p>
    <w:tbl>
      <w:tblPr>
        <w:tblW w:w="6337" w:type="dxa"/>
        <w:jc w:val="left"/>
        <w:tblInd w:w="0" w:type="dxa"/>
        <w:tblLayout w:type="fixed"/>
        <w:tblCellMar>
          <w:top w:w="28" w:type="dxa"/>
          <w:left w:w="28" w:type="dxa"/>
          <w:bottom w:w="28" w:type="dxa"/>
          <w:right w:w="28" w:type="dxa"/>
        </w:tblCellMar>
      </w:tblPr>
      <w:tblGrid>
        <w:gridCol w:w="972"/>
        <w:gridCol w:w="854"/>
        <w:gridCol w:w="859"/>
        <w:gridCol w:w="109"/>
        <w:gridCol w:w="109"/>
        <w:gridCol w:w="109"/>
        <w:gridCol w:w="254"/>
        <w:gridCol w:w="889"/>
        <w:gridCol w:w="131"/>
        <w:gridCol w:w="109"/>
        <w:gridCol w:w="109"/>
        <w:gridCol w:w="109"/>
        <w:gridCol w:w="335"/>
        <w:gridCol w:w="1145"/>
        <w:gridCol w:w="24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JVM Funds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Underlying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12,477</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w:t>
            </w: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Recorded investment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Times New Roman;serif" w:hAnsi="Times New Roman;serif"/>
          <w:b w:val="false"/>
          <w:i/>
          <w:color w:val="000000"/>
          <w:sz w:val="20"/>
        </w:rPr>
        <w:t>Investment in Indirect Loans and Loan Collateral</w:t>
      </w:r>
      <w:r>
        <w:rPr>
          <w:color w:val="000000"/>
        </w:rPr>
        <w:t xml:space="preserv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held indirect investments in collateralized loans and loan collateral through SMA1 and SMA2.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6.    </w:t>
      </w:r>
      <w:r>
        <w:rPr>
          <w:rFonts w:ascii="Times New Roman;serif" w:hAnsi="Times New Roman;serif"/>
          <w:b/>
          <w:color w:val="000000"/>
          <w:sz w:val="20"/>
          <w:u w:val="single"/>
        </w:rPr>
        <w:t>Equity Method Investments and Other</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the SMA1 and SMA2 as of June 30, 2026 and December 31, 2025 were as follows:</w:t>
      </w:r>
    </w:p>
    <w:tbl>
      <w:tblPr>
        <w:tblW w:w="8034" w:type="dxa"/>
        <w:jc w:val="left"/>
        <w:tblInd w:w="0" w:type="dxa"/>
        <w:tblLayout w:type="fixed"/>
        <w:tblCellMar>
          <w:top w:w="28" w:type="dxa"/>
          <w:left w:w="28" w:type="dxa"/>
          <w:bottom w:w="28" w:type="dxa"/>
          <w:right w:w="28" w:type="dxa"/>
        </w:tblCellMar>
      </w:tblPr>
      <w:tblGrid>
        <w:gridCol w:w="1428"/>
        <w:gridCol w:w="1255"/>
        <w:gridCol w:w="1262"/>
        <w:gridCol w:w="109"/>
        <w:gridCol w:w="109"/>
        <w:gridCol w:w="109"/>
        <w:gridCol w:w="254"/>
        <w:gridCol w:w="889"/>
        <w:gridCol w:w="131"/>
        <w:gridCol w:w="109"/>
        <w:gridCol w:w="109"/>
        <w:gridCol w:w="109"/>
        <w:gridCol w:w="109"/>
        <w:gridCol w:w="109"/>
        <w:gridCol w:w="340"/>
        <w:gridCol w:w="1164"/>
        <w:gridCol w:w="176"/>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10,045</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6,108</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indirect loans and loan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16,153</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4089" w:type="dxa"/>
            <w:gridSpan w:val="1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7.     </w:t>
      </w:r>
      <w:r>
        <w:rPr>
          <w:rFonts w:ascii="Times New Roman;serif" w:hAnsi="Times New Roman;serif"/>
          <w:b/>
          <w:color w:val="000000"/>
          <w:sz w:val="20"/>
          <w:u w:val="single"/>
        </w:rPr>
        <w:t>Variable Interest Entity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GAAP consolidation guidance, Skyward consolidates Separate Account HSIC-01 (“HSIC-01”), established by Mangrove Risk Solutions Bermuda Ltd. (“Mangrove”). HSIC-01 is a variable interest entity (“VIE”) for which the Company is the primary beneficiary. The purpose of the VIE is to hedge price volatility risks of certain insurance products by investing in dairy and livestock commodities. The Company directly manages the business; therefore, it considers itself the primary beneficiary. The Company does not provide performance guarantees and has no other financial obligation to provide funding to HSIC-01, other than its own capital commitments. The assets of consolidated variable interest entities may only be used to settle obligations of these entities. In addition, there is no recourse to the assets of HSIC-01 other than to satisfy associated liabilities.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assets of HSIC-01, included in the condensed consolidated balance sheet as of June 30, 2026. The assets presented below only include third-party net assets and exclude any intercompany balances, which were eliminated in consolidation.</w:t>
      </w:r>
    </w:p>
    <w:tbl>
      <w:tblPr>
        <w:tblW w:w="3912" w:type="dxa"/>
        <w:jc w:val="left"/>
        <w:tblInd w:w="0" w:type="dxa"/>
        <w:tblLayout w:type="fixed"/>
        <w:tblCellMar>
          <w:top w:w="28" w:type="dxa"/>
          <w:left w:w="28" w:type="dxa"/>
          <w:bottom w:w="28" w:type="dxa"/>
          <w:right w:w="28" w:type="dxa"/>
        </w:tblCellMar>
      </w:tblPr>
      <w:tblGrid>
        <w:gridCol w:w="820"/>
        <w:gridCol w:w="721"/>
        <w:gridCol w:w="724"/>
        <w:gridCol w:w="109"/>
        <w:gridCol w:w="109"/>
        <w:gridCol w:w="109"/>
        <w:gridCol w:w="253"/>
        <w:gridCol w:w="883"/>
        <w:gridCol w:w="18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10,564</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40,534</w:t>
            </w: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51,098</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8</w:t>
      </w:r>
      <w:r>
        <w:rPr>
          <w:rFonts w:ascii="Times New Roman;serif" w:hAnsi="Times New Roman;serif"/>
          <w:b w:val="false"/>
          <w:color w:val="000000"/>
          <w:sz w:val="20"/>
        </w:rPr>
        <w:t>.     </w:t>
      </w:r>
      <w:r>
        <w:rPr>
          <w:rFonts w:ascii="Times New Roman;serif" w:hAnsi="Times New Roman;serif"/>
          <w:b/>
          <w:color w:val="000000"/>
          <w:sz w:val="20"/>
          <w:u w:val="single"/>
        </w:rPr>
        <w:t>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derivatives as part of its financial risk management programs to mitigate price risk related to certain insurance contracts exposed to commodity price risk due to fluctuations in relevant market prices, including cattle and milk. To mitigate revenue volatility and support financial stability, the Company employs a hedging strategy that utilizes derivatives, specifically put options, as part of its risk management framework. The primary objective of holding these derivative instruments is to manage exposure to adverse price movements. The activity in these instruments generally reflects current market conditions and shifts in risk exposures throughout the year. The notional value of derivative contracts held and the degree of hedged exposure are actively managed and may vary depending on the prevailing pricing environment in cattle, hogs, and milk markets. The Company does not use derivatives for speculative or trading purposes. All derivative positions are intended to support the overall risk transfer objectives of the business. The Company has not elected hedge accounting for these 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amounts and fair value of derivative assets in the condensed consolidated balance sheets at June 30, 2026:</w:t>
      </w:r>
    </w:p>
    <w:tbl>
      <w:tblPr>
        <w:tblW w:w="5607" w:type="dxa"/>
        <w:jc w:val="left"/>
        <w:tblInd w:w="0" w:type="dxa"/>
        <w:tblLayout w:type="fixed"/>
        <w:tblCellMar>
          <w:top w:w="28" w:type="dxa"/>
          <w:left w:w="28" w:type="dxa"/>
          <w:bottom w:w="28" w:type="dxa"/>
          <w:right w:w="28" w:type="dxa"/>
        </w:tblCellMar>
      </w:tblPr>
      <w:tblGrid>
        <w:gridCol w:w="564"/>
        <w:gridCol w:w="496"/>
        <w:gridCol w:w="499"/>
        <w:gridCol w:w="109"/>
        <w:gridCol w:w="109"/>
        <w:gridCol w:w="109"/>
        <w:gridCol w:w="278"/>
        <w:gridCol w:w="1109"/>
        <w:gridCol w:w="143"/>
        <w:gridCol w:w="109"/>
        <w:gridCol w:w="109"/>
        <w:gridCol w:w="109"/>
        <w:gridCol w:w="211"/>
        <w:gridCol w:w="736"/>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4" w:type="dxa"/>
            <w:gridSpan w:val="10"/>
            <w:tcBorders/>
          </w:tcPr>
          <w:p>
            <w:pPr>
              <w:pStyle w:val="TableContents"/>
              <w:bidi w:val="0"/>
              <w:spacing w:before="0" w:after="283"/>
              <w:jc w:val="left"/>
              <w:rPr>
                <w:sz w:val="4"/>
                <w:szCs w:val="4"/>
              </w:rPr>
            </w:pPr>
            <w:r>
              <w:rPr>
                <w:sz w:val="4"/>
                <w:szCs w:val="4"/>
              </w:rPr>
            </w:r>
          </w:p>
        </w:tc>
      </w:tr>
      <w:tr>
        <w:trPr/>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Economic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197,991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presents the net gain (loss) recognized on derivative instruments in economic hedging relationships in “losses and loss adjustment expenses” on the condensed consolidated statements of operations. For the three and six months ended June 30, 2026, the Company recognized a pre-tax gain of $9.6 million and a pre-tax loss of $21.7 million, respectively, in losses and loss adjustment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120"/>
        <w:jc w:val="both"/>
        <w:rPr/>
      </w:pPr>
      <w:r>
        <w:rPr/>
      </w:r>
    </w:p>
    <w:p>
      <w:pPr>
        <w:pStyle w:val="TextBody"/>
        <w:bidi w:val="0"/>
        <w:spacing w:lineRule="auto" w:line="288" w:before="0" w:after="120"/>
        <w:ind w:left="0" w:right="0" w:hanging="360"/>
        <w:jc w:val="left"/>
        <w:rPr/>
      </w:pPr>
      <w:r>
        <w:rPr>
          <w:rFonts w:ascii="Times New Roman;serif" w:hAnsi="Times New Roman;serif"/>
          <w:b/>
          <w:color w:val="000000"/>
          <w:sz w:val="20"/>
        </w:rPr>
        <w:t>9.    </w:t>
      </w:r>
      <w:r>
        <w:rPr>
          <w:rFonts w:ascii="Times New Roman;serif" w:hAnsi="Times New Roman;serif"/>
          <w:b/>
          <w:color w:val="000000"/>
          <w:sz w:val="20"/>
          <w:u w:val="single"/>
        </w:rPr>
        <w:t>Notes Payable &amp; Subordinated Debt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FHLB Loan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the Company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The Company used the proceeds to fund redemptions of the draws on its prior credit facility.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was used by the Company to fund a portion of the consideration of the Company’s acquisition of Apollo Group Holdings Limited (“Apollo”) and related transaction fees and expenses. Amounts drawn under the Term Loan Facility bear interest at either term SOFR plus a margin, which ranges from 150 basis points to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then-current prime lending rate, (ii) the Federal Funds Rate plus 0.50%, (iii) SOFR plus 1.00% and (iv) zero percent (0%). In addition, the Company pays a fee ranging from 0.20% to 0.35% on average daily undrawn amounts under the Facility, depending on the Company’s debt to capitalization ratio. The Tranche A DDTL matures on January 1, 2028 and the Tranche B DDTL matures on July 2, 2029. On December 30, 2025, the Company drew $150.0 million of the Tranche A DDTL and $150.0 million of the Tranche B DDTL for the acquisition of Apollo on January 1, 2026. On June 26, 2026, the Company repaid $50.0 million of outstanding principal under the Tranche A DDTL.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includes customary covenants, including certain limitations on the incurrence by the Company of additional indebtedness exceeding $10.0 million and on the Company’s ability to make distributions to its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June 30, 2026, the Company was in compliance with all covenants.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is unsecured. In connection with the Revolving Credit Facility (defined below), during the fourth quarter of 2025, the Company and the subsidiary guarantors party thereto, entered into a guaranty agreement, pursuant to which the Company’s obligations under the Term Loan Facility are guaranteed by the Company and its existing wholly-owned subsidiaries and subsequently acquired or organized subsidiaries, excluding insurance company subsidiaries and subject to certain other exceptions.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reports debt related to the Term Loan Facility in its June 30, 2026 condensed consolidated balance sheet, net of debt issuance costs of approximately $3.9 million. These deferred financing costs are presented as a direct deduction from the carrying amount of the debt.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the Company entered into a Credit Agreement (the “Revolving Credit Facility”) with a syndicate of participating banks. The Revolving Credit Facility is unsecured and provided the Company with up to an initial maximum principal amount of $150.0 million which was increased to $250.0 million on the closing date of the Company’s acquisition of Apollo.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initially drew $43.0 million, which was used to redeem the Company’s prior revolving credit facility (described below). On December 30, 2025, the company drew an additional $71.5 million which was used for the consideration paid for the acquisition of Apollo. The proceeds were used for the acquisition of Apollo on January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9.    </w:t>
      </w:r>
      <w:r>
        <w:rPr>
          <w:rFonts w:ascii="Times New Roman;serif" w:hAnsi="Times New Roman;serif"/>
          <w:b/>
          <w:color w:val="000000"/>
          <w:sz w:val="20"/>
          <w:u w:val="single"/>
        </w:rPr>
        <w:t>Notes Payable &amp; Subordinated Debt</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on the Revolving Credit Facility is payable quarterly. Amounts drawn under the Facility bear interest at either term SOFR plus a margin, which ranges from 150 and 190 basis points, or the base rate plus a margin, which ranges from 50 basis points to 90 basis points, each depending on the Company’s debt to capitalization ratio. SOFR is calculated using a SOFR floor of 0.00% and a credit spread adjustment of 0.10%. The base rate is the highest of (i) the Agent’s then current prime lending rate, (ii) the Federal Funds Rate plus 0.50%, (iii) SOFR plus 1.00% and (iv) zero percent (0%). In addition, the Company pays a fee ranging from 0.20% to 0.35% on average daily undrawn amounts under the Facility, depending on the Company’s debt to capitalization ratio. The availability period under the Facility will terminate on November 12, 2030.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covenants on the Revolving Credit Facility based on minimum net worth, maximum debt to capital ratio, minimum A.M. Best Rating and minimum liquidity, as well as customary events of default. As of June 30, 2026, the Company was in compliance with all covenants.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Debentures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2019, the Company entered into an agreement to issue unsecured subordinated notes (the “Notes”) with an aggregate principal amount of $20.0 million. Interest on the Notes is fixed at 7.25% for the first 8 years and fixed at 8.25% thereafter. Early retirement of the debt ahead of 8 year commitment requires all interest payments to be paid in full as well as the return of outstanding principal. Principal is due at maturity on May 24, 2039 and interest is payable quarterly. The Notes have junior priority to all previously issued debt. The Company reports debt related to the Notes in its June 30, 2026 Condensed Consolidated Balance Sheet and its December 31, 2025 Consolidated Balance Sheet, net of debt issuance costs of approximately $0.4 million. These deferred financing costs are presented as a direct deduction from the carrying amount of the subordinated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10.     </w:t>
      </w:r>
      <w:r>
        <w:rPr>
          <w:rFonts w:ascii="Times New Roman;serif" w:hAnsi="Times New Roman;serif"/>
          <w:b/>
          <w:color w:val="000000"/>
          <w:sz w:val="20"/>
          <w:u w:val="single"/>
        </w:rPr>
        <w:t>Stockholders' Equity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Company’s Board of Directors (the “Board”) approved a share repurchase program authorizing the repurchase of up to $50.0 million of the Company’s common stock. On July 15, 2026, the Board authorized an increase to the share repurchase program authorizing the repurchase of up to an additional $50.0 million of the Company's common stock. As a result, the total amount authorized under the share repurchase program increased to $100.0 million.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the Company’s discretion. The share repurchase program does not require the Company to repurchase any specific number of shares, and may be modified, suspended or terminated at any time. During the three and six months ended June 30, 2026, the Company repurchased 222,635 shares for approximately $9.7 million under this plan. These shares represent the total repurchased under the plan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11.     </w:t>
      </w:r>
      <w:r>
        <w:rPr>
          <w:rFonts w:ascii="Times New Roman;serif" w:hAnsi="Times New Roman;serif"/>
          <w:b/>
          <w:color w:val="000000"/>
          <w:sz w:val="20"/>
          <w:u w:val="single"/>
        </w:rPr>
        <w:t>Segments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the Skyward Specialty segment and the Apollo segment, through which it offers a broad array of commercial property and casualty products and reinsurance solutions on a non-admitted (or E&amp;S) and admitted basis, predominantly in the United States. The Company defines its segment on the basis of the way in which internally reported financial information is regularly reviewed by the Chief Operating Decision Maker (“CODM”) to analyze financial performance, make decisions and allocate resources. The Company’s CODM is the chief executive officer. The accounting policies of the segments are the same as those used for the preparation of the Company’s consolidated financial statements. Intersegment business is allocated to the segment accountable for the underwriting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Skyward Specialty segment is made up of nine distinct underwriting divisions, or “continuing business,” and has dedicated underwriting leadership supported by high-quality technical staff with deep experience in their respective niches. The Apollo segment consists of the operations of Apollo, a Lloyd’s</w:t>
        <w:noBreakHyphen/>
        <w:t>based specialty insurance platform acquired by the Company on January 1, 2026, structured around two core divisions that collectively support its underwriting, specialty</w:t>
        <w:noBreakHyphen/>
        <w:t>risk, and managing</w:t>
        <w:noBreakHyphen/>
        <w:t>agency activities. Apollo operates within the Lloyd’s of London market, leveraging Lloyd’s global licensing, centralized underwriting infrastructure, and long</w:t>
        <w:noBreakHyphen/>
        <w:t>standing distribution networks to access niche and emerging specialty classes across international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11.     </w:t>
      </w:r>
      <w:r>
        <w:rPr>
          <w:rFonts w:ascii="Times New Roman;serif" w:hAnsi="Times New Roman;serif"/>
          <w:b/>
          <w:color w:val="000000"/>
          <w:sz w:val="20"/>
          <w:u w:val="single"/>
        </w:rPr>
        <w:t>Segments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segments are the same as those described in Note 1 “Summary of Significant Accounting Policies” of the Company’s Annual Report on Form 10-K for the year ended December 31, 2025. The CODM assesses performance for the segments and allocates resources based primarily on gross written premiums, managed premiums and underwriting contribution. The Company does not manage assets by segment, with the exception of goodwill and intangible assets. Investment results, interest expense, amortization expense, corporate expenses and other income and expenses are not allocated to the underwriting segments.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Gross written premiums by underwriting division, managed premiums and underwriting contribution are used to monitor budget versus actual results. The CODM also uses underwriting contribution in competitive analysis by benchmarking to the Company’s competitors. The competitive analysis along with the monitoring of budgeted versus actual results are used in assessing performance of the segments and in establishing management’s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gross written premiums by underwriting division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433"/>
        <w:gridCol w:w="1139"/>
        <w:gridCol w:w="1146"/>
        <w:gridCol w:w="109"/>
        <w:gridCol w:w="109"/>
        <w:gridCol w:w="109"/>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09"/>
        <w:gridCol w:w="109"/>
        <w:gridCol w:w="156"/>
      </w:tblGrid>
      <w:tr>
        <w:trPr/>
        <w:tc>
          <w:tcPr>
            <w:tcW w:w="14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Skyward Specialty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&amp; Surety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Agriculture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111,441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206,208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Transactional E&amp;S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continuing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1,248,810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Exited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Skyward Specialty Segment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667,773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1,249,577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Apollo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Apollo Segment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158,681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740,554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1,408,258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Apollo segment’s managed premiums for the three and six months ended June 30, 2026: </w:t>
      </w:r>
    </w:p>
    <w:tbl>
      <w:tblPr>
        <w:tblW w:w="8770" w:type="dxa"/>
        <w:jc w:val="left"/>
        <w:tblInd w:w="0" w:type="dxa"/>
        <w:tblLayout w:type="fixed"/>
        <w:tblCellMar>
          <w:top w:w="28" w:type="dxa"/>
          <w:left w:w="28" w:type="dxa"/>
          <w:bottom w:w="28" w:type="dxa"/>
          <w:right w:w="28" w:type="dxa"/>
        </w:tblCellMar>
      </w:tblPr>
      <w:tblGrid>
        <w:gridCol w:w="836"/>
        <w:gridCol w:w="735"/>
        <w:gridCol w:w="739"/>
        <w:gridCol w:w="109"/>
        <w:gridCol w:w="109"/>
        <w:gridCol w:w="109"/>
        <w:gridCol w:w="1259"/>
        <w:gridCol w:w="651"/>
        <w:gridCol w:w="654"/>
        <w:gridCol w:w="109"/>
        <w:gridCol w:w="109"/>
        <w:gridCol w:w="109"/>
        <w:gridCol w:w="1142"/>
        <w:gridCol w:w="590"/>
        <w:gridCol w:w="593"/>
        <w:gridCol w:w="109"/>
        <w:gridCol w:w="109"/>
        <w:gridCol w:w="109"/>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917" w:type="dxa"/>
            <w:gridSpan w:val="8"/>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Aligned Syndicates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427,745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Syndicates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190,381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managed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618,126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about reported segment net underwriting income, significant segment expenses and a reconciliation of net underwriting income to net income for the three and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11.     </w:t>
      </w:r>
      <w:r>
        <w:rPr>
          <w:rFonts w:ascii="Times New Roman;serif" w:hAnsi="Times New Roman;serif"/>
          <w:b/>
          <w:color w:val="000000"/>
          <w:sz w:val="20"/>
          <w:u w:val="single"/>
        </w:rPr>
        <w:t>Segments</w:t>
      </w:r>
      <w:r>
        <w:rPr>
          <w:color w:val="000000"/>
        </w:rPr>
        <w:t xml:space="preserve"> </w:t>
      </w: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027"/>
        <w:gridCol w:w="694"/>
        <w:gridCol w:w="700"/>
        <w:gridCol w:w="262"/>
        <w:gridCol w:w="1046"/>
        <w:gridCol w:w="135"/>
        <w:gridCol w:w="109"/>
        <w:gridCol w:w="109"/>
        <w:gridCol w:w="109"/>
        <w:gridCol w:w="211"/>
        <w:gridCol w:w="736"/>
        <w:gridCol w:w="109"/>
        <w:gridCol w:w="109"/>
        <w:gridCol w:w="109"/>
        <w:gridCol w:w="109"/>
        <w:gridCol w:w="211"/>
        <w:gridCol w:w="841"/>
        <w:gridCol w:w="109"/>
        <w:gridCol w:w="109"/>
        <w:gridCol w:w="109"/>
        <w:gridCol w:w="109"/>
        <w:gridCol w:w="258"/>
        <w:gridCol w:w="1012"/>
        <w:gridCol w:w="133"/>
        <w:gridCol w:w="109"/>
        <w:gridCol w:w="109"/>
        <w:gridCol w:w="109"/>
        <w:gridCol w:w="109"/>
        <w:gridCol w:w="109"/>
        <w:gridCol w:w="211"/>
        <w:gridCol w:w="826"/>
        <w:gridCol w:w="158"/>
      </w:tblGrid>
      <w:tr>
        <w:trPr/>
        <w:tc>
          <w:tcPr>
            <w:tcW w:w="102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w:t>
            </w:r>
          </w:p>
        </w:tc>
        <w:tc>
          <w:tcPr>
            <w:tcW w:w="431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04" w:type="dxa"/>
            <w:gridSpan w:val="4"/>
            <w:tcBorders/>
          </w:tcPr>
          <w:p>
            <w:pPr>
              <w:pStyle w:val="TableContents"/>
              <w:bidi w:val="0"/>
              <w:spacing w:before="0" w:after="283"/>
              <w:jc w:val="left"/>
              <w:rPr>
                <w:sz w:val="4"/>
                <w:szCs w:val="4"/>
              </w:rPr>
            </w:pPr>
            <w:r>
              <w:rPr>
                <w:sz w:val="4"/>
                <w:szCs w:val="4"/>
              </w:rPr>
            </w:r>
          </w:p>
        </w:tc>
      </w:tr>
      <w:tr>
        <w:trPr/>
        <w:tc>
          <w:tcPr>
            <w:tcW w:w="2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Skyward Specialty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Apollo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Skyward Specialty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Underwriting income</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378,346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444,472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revenues</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380,680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78,714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459,394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298,102 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236,967</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276,741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52,927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41,204</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w:t>
              <w:noBreakHyphen/>
              <w:t>based service expenses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expenses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331,098</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income</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49,582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underwriting income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income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11.     </w:t>
      </w:r>
      <w:r>
        <w:rPr>
          <w:rFonts w:ascii="Times New Roman;serif" w:hAnsi="Times New Roman;serif"/>
          <w:b/>
          <w:color w:val="000000"/>
          <w:sz w:val="20"/>
          <w:u w:val="single"/>
        </w:rPr>
        <w:t>Segments</w:t>
      </w:r>
      <w:r>
        <w:rPr>
          <w:color w:val="000000"/>
        </w:rPr>
        <w:t xml:space="preserve"> </w:t>
      </w:r>
      <w:r>
        <w:rPr>
          <w:rFonts w:ascii="Times New Roman;serif" w:hAnsi="Times New Roman;serif"/>
          <w:b/>
          <w:color w:val="000000"/>
          <w:sz w:val="20"/>
        </w:rPr>
        <w:t>(continued)</w:t>
      </w:r>
    </w:p>
    <w:tbl>
      <w:tblPr>
        <w:tblW w:w="10205" w:type="dxa"/>
        <w:jc w:val="left"/>
        <w:tblInd w:w="0" w:type="dxa"/>
        <w:tblLayout w:type="fixed"/>
        <w:tblCellMar>
          <w:top w:w="28" w:type="dxa"/>
          <w:left w:w="28" w:type="dxa"/>
          <w:bottom w:w="28" w:type="dxa"/>
          <w:right w:w="28" w:type="dxa"/>
        </w:tblCellMar>
      </w:tblPr>
      <w:tblGrid>
        <w:gridCol w:w="1013"/>
        <w:gridCol w:w="666"/>
        <w:gridCol w:w="671"/>
        <w:gridCol w:w="259"/>
        <w:gridCol w:w="1033"/>
        <w:gridCol w:w="133"/>
        <w:gridCol w:w="109"/>
        <w:gridCol w:w="109"/>
        <w:gridCol w:w="109"/>
        <w:gridCol w:w="211"/>
        <w:gridCol w:w="841"/>
        <w:gridCol w:w="109"/>
        <w:gridCol w:w="109"/>
        <w:gridCol w:w="109"/>
        <w:gridCol w:w="109"/>
        <w:gridCol w:w="211"/>
        <w:gridCol w:w="841"/>
        <w:gridCol w:w="109"/>
        <w:gridCol w:w="109"/>
        <w:gridCol w:w="109"/>
        <w:gridCol w:w="109"/>
        <w:gridCol w:w="255"/>
        <w:gridCol w:w="1001"/>
        <w:gridCol w:w="132"/>
        <w:gridCol w:w="109"/>
        <w:gridCol w:w="109"/>
        <w:gridCol w:w="109"/>
        <w:gridCol w:w="109"/>
        <w:gridCol w:w="109"/>
        <w:gridCol w:w="211"/>
        <w:gridCol w:w="826"/>
        <w:gridCol w:w="157"/>
      </w:tblGrid>
      <w:tr>
        <w:trPr/>
        <w:tc>
          <w:tcPr>
            <w:tcW w:w="101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w:t>
            </w:r>
          </w:p>
        </w:tc>
        <w:tc>
          <w:tcPr>
            <w:tcW w:w="440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03" w:type="dxa"/>
            <w:gridSpan w:val="4"/>
            <w:tcBorders/>
          </w:tcPr>
          <w:p>
            <w:pPr>
              <w:pStyle w:val="TableContents"/>
              <w:bidi w:val="0"/>
              <w:spacing w:before="0" w:after="283"/>
              <w:jc w:val="left"/>
              <w:rPr>
                <w:sz w:val="4"/>
                <w:szCs w:val="4"/>
              </w:rPr>
            </w:pPr>
            <w:r>
              <w:rPr>
                <w:sz w:val="4"/>
                <w:szCs w:val="4"/>
              </w:rPr>
            </w:r>
          </w:p>
        </w:tc>
      </w:tr>
      <w:tr>
        <w:trPr/>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Skyward Specialty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Apollo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Skyward Specialty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Underwriting income</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742,289</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878,479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3,861</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revenues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746,150</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158,856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905,006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600,444 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465,198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541,964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103,986</w:t>
            </w: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87,108</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w:t>
              <w:noBreakHyphen/>
              <w:t>based service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656,292</w:t>
            </w: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798,591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533,575 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income</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89,858</w:t>
            </w: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Reconciliation of underwriting income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income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106,415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gains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125,633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12.    </w:t>
      </w:r>
      <w:r>
        <w:rPr>
          <w:rFonts w:ascii="Times New Roman;serif" w:hAnsi="Times New Roman;serif"/>
          <w:b/>
          <w:color w:val="000000"/>
          <w:sz w:val="20"/>
          <w:u w:val="single"/>
        </w:rPr>
        <w:t>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income tax expense and effective tax rates for the three and six months ended June 30, 2026 and 2025:</w:t>
      </w:r>
    </w:p>
    <w:tbl>
      <w:tblPr>
        <w:tblW w:w="7980" w:type="dxa"/>
        <w:jc w:val="left"/>
        <w:tblInd w:w="0" w:type="dxa"/>
        <w:tblLayout w:type="fixed"/>
        <w:tblCellMar>
          <w:top w:w="28" w:type="dxa"/>
          <w:left w:w="28" w:type="dxa"/>
          <w:bottom w:w="28" w:type="dxa"/>
          <w:right w:w="28" w:type="dxa"/>
        </w:tblCellMar>
      </w:tblPr>
      <w:tblGrid>
        <w:gridCol w:w="624"/>
        <w:gridCol w:w="549"/>
        <w:gridCol w:w="552"/>
        <w:gridCol w:w="109"/>
        <w:gridCol w:w="109"/>
        <w:gridCol w:w="109"/>
        <w:gridCol w:w="211"/>
        <w:gridCol w:w="736"/>
        <w:gridCol w:w="301"/>
        <w:gridCol w:w="109"/>
        <w:gridCol w:w="109"/>
        <w:gridCol w:w="109"/>
        <w:gridCol w:w="211"/>
        <w:gridCol w:w="721"/>
        <w:gridCol w:w="271"/>
        <w:gridCol w:w="109"/>
        <w:gridCol w:w="109"/>
        <w:gridCol w:w="109"/>
        <w:gridCol w:w="211"/>
        <w:gridCol w:w="736"/>
        <w:gridCol w:w="301"/>
        <w:gridCol w:w="109"/>
        <w:gridCol w:w="109"/>
        <w:gridCol w:w="109"/>
        <w:gridCol w:w="211"/>
        <w:gridCol w:w="721"/>
        <w:gridCol w:w="31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14,519</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26,864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will differ from the statutory rate of 21 percent due to tax charges associated with the effect of foreign operations, permanent differences for disallowed expenses for tax and beneficial adjustments for tax-exempt income, dividends-received deduction, and discrete items. The effect of foreign operations is primarily related to income of our foreign operations taxed at statutory tax rates of 15% in Bermuda and 25% in UK. The increase in the effective tax rate for the three months ended June 30, 2026, was primarily driven by state taxes. The increase in the effective tax rate for the six months ended June 30, 2026 was primarily attributable to foreign taxes associated with the Apollo acquisition, partially offset by discrete tax benefits, primarily from stock-based compensation.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paid income taxes of $27.4 million and $30.3 million during the three and six months ended June 30, 2026, respectively, and paid $20.3 million during the three and six months ended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13.    </w:t>
      </w:r>
      <w:r>
        <w:rPr>
          <w:rFonts w:ascii="Times New Roman;serif" w:hAnsi="Times New Roman;serif"/>
          <w:b/>
          <w:color w:val="000000"/>
          <w:sz w:val="20"/>
          <w:u w:val="single"/>
        </w:rPr>
        <w:t>Losses and Loss Adjustment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reconciliation of unpaid losses and loss adjustment expenses (“LAE”) as reported in the condensed consolidated balance sheets as of and for the six months ended June 30, 2026 and 2025: </w:t>
      </w:r>
    </w:p>
    <w:tbl>
      <w:tblPr>
        <w:tblW w:w="9178" w:type="dxa"/>
        <w:jc w:val="left"/>
        <w:tblInd w:w="0" w:type="dxa"/>
        <w:tblLayout w:type="fixed"/>
        <w:tblCellMar>
          <w:top w:w="28" w:type="dxa"/>
          <w:left w:w="28" w:type="dxa"/>
          <w:bottom w:w="28" w:type="dxa"/>
          <w:right w:w="28" w:type="dxa"/>
        </w:tblCellMar>
      </w:tblPr>
      <w:tblGrid>
        <w:gridCol w:w="2046"/>
        <w:gridCol w:w="1800"/>
        <w:gridCol w:w="1808"/>
        <w:gridCol w:w="109"/>
        <w:gridCol w:w="109"/>
        <w:gridCol w:w="109"/>
        <w:gridCol w:w="211"/>
        <w:gridCol w:w="991"/>
        <w:gridCol w:w="109"/>
        <w:gridCol w:w="109"/>
        <w:gridCol w:w="109"/>
        <w:gridCol w:w="109"/>
        <w:gridCol w:w="211"/>
        <w:gridCol w:w="976"/>
        <w:gridCol w:w="109"/>
        <w:gridCol w:w="109"/>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LAE,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2,796,491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reinsurance recoverable on unpaid claims,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(1,067,551)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LAE, beginning of period,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1,728,940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520,304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net of reinsurance, related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284,591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341,130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reserves for losses and LAE,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1,908,114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reinsurance recoverable on unpaid claims,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1,162,484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LAE,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3,070,598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14.    </w:t>
      </w:r>
      <w:r>
        <w:rPr>
          <w:rFonts w:ascii="Times New Roman;serif" w:hAnsi="Times New Roman;serif"/>
          <w:b/>
          <w:color w:val="000000"/>
          <w:sz w:val="20"/>
          <w:u w:val="single"/>
        </w:rPr>
        <w:t>Commission and Fee Income and Underwriting Fee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disaggregated revenues from contracts with customers for the three and six months ended June 30, 2026 and 2025:</w:t>
      </w:r>
    </w:p>
    <w:tbl>
      <w:tblPr>
        <w:tblW w:w="8694" w:type="dxa"/>
        <w:jc w:val="left"/>
        <w:tblInd w:w="0" w:type="dxa"/>
        <w:tblLayout w:type="fixed"/>
        <w:tblCellMar>
          <w:top w:w="28" w:type="dxa"/>
          <w:left w:w="28" w:type="dxa"/>
          <w:bottom w:w="28" w:type="dxa"/>
          <w:right w:w="28" w:type="dxa"/>
        </w:tblCellMar>
      </w:tblPr>
      <w:tblGrid>
        <w:gridCol w:w="1048"/>
        <w:gridCol w:w="921"/>
        <w:gridCol w:w="925"/>
        <w:gridCol w:w="109"/>
        <w:gridCol w:w="109"/>
        <w:gridCol w:w="109"/>
        <w:gridCol w:w="244"/>
        <w:gridCol w:w="731"/>
        <w:gridCol w:w="126"/>
        <w:gridCol w:w="126"/>
        <w:gridCol w:w="126"/>
        <w:gridCol w:w="126"/>
        <w:gridCol w:w="244"/>
        <w:gridCol w:w="713"/>
        <w:gridCol w:w="126"/>
        <w:gridCol w:w="109"/>
        <w:gridCol w:w="109"/>
        <w:gridCol w:w="109"/>
        <w:gridCol w:w="221"/>
        <w:gridCol w:w="662"/>
        <w:gridCol w:w="114"/>
        <w:gridCol w:w="114"/>
        <w:gridCol w:w="114"/>
        <w:gridCol w:w="114"/>
        <w:gridCol w:w="221"/>
        <w:gridCol w:w="647"/>
        <w:gridCol w:w="114"/>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SUA commission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2,778</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SUA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1,461</w:t>
            </w: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commission and fee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4,581</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3,861</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from commission and fee income as of June 30, 2026 and December 31, 2025 were $1.0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its Apollo subsidiary ASML, the Company earns revenue for services performed in its capacity as managing agent to both its wholly owned and third</w:t>
        <w:noBreakHyphen/>
        <w:t>party capitalized Lloyd’s syndicates. These revenues primarily consist of managing agency fees, which compensate the Company for underwriting oversight, operational administration, and regulatory and compliance support, as well as profit commissions, which is contingent upon the underwriting and investment performance of certain syndicates. ASML receives (i) managing agency fees from managed syndicates, including 1969, 1971 and 1972 (collectively the “Managed Syndicates”) at a rate of 0.9% of the managed stamp capacity and for SPA1925 at 1.0%, which is fully recognized over the period the services are rendered, (ii) profit commissions from certain syndicates, subject to a two-year deficit clause, and (iii) a share of the leader’s fee for managing consortium arrangements. Managing agency fees and services revenue are recognized over time as services are rendered, while profit commission is recognized only when it becomes probable that no significant reversal will occur. This revenue is disclosed in underwriting fee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Apollo’s revenues from contracts with customers for the three and six months ended June 30, 2026: </w:t>
      </w:r>
    </w:p>
    <w:tbl>
      <w:tblPr>
        <w:tblW w:w="10205" w:type="dxa"/>
        <w:jc w:val="left"/>
        <w:tblInd w:w="0" w:type="dxa"/>
        <w:tblLayout w:type="fixed"/>
        <w:tblCellMar>
          <w:top w:w="28" w:type="dxa"/>
          <w:left w:w="28" w:type="dxa"/>
          <w:bottom w:w="28" w:type="dxa"/>
          <w:right w:w="28" w:type="dxa"/>
        </w:tblCellMar>
      </w:tblPr>
      <w:tblGrid>
        <w:gridCol w:w="1650"/>
        <w:gridCol w:w="1298"/>
        <w:gridCol w:w="1296"/>
        <w:gridCol w:w="109"/>
        <w:gridCol w:w="109"/>
        <w:gridCol w:w="109"/>
        <w:gridCol w:w="393"/>
        <w:gridCol w:w="1372"/>
        <w:gridCol w:w="202"/>
        <w:gridCol w:w="109"/>
        <w:gridCol w:w="1691"/>
        <w:gridCol w:w="109"/>
        <w:gridCol w:w="109"/>
        <w:gridCol w:w="109"/>
        <w:gridCol w:w="211"/>
        <w:gridCol w:w="736"/>
        <w:gridCol w:w="109"/>
        <w:gridCol w:w="109"/>
        <w:gridCol w:w="109"/>
        <w:gridCol w:w="109"/>
        <w:gridCol w:w="157"/>
      </w:tblGrid>
      <w:tr>
        <w:trPr/>
        <w:tc>
          <w:tcPr>
            <w:tcW w:w="165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4" w:type="dxa"/>
            <w:gridSpan w:val="4"/>
            <w:tcBorders/>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agents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3,508</w:t>
            </w: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 &amp; consortium overrider charged to Managed Syndicates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8,072</w:t>
            </w: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Miscellaneous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1,008</w:t>
            </w: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12,588</w:t>
            </w:r>
            <w:r>
              <w:rPr>
                <w:color w:val="000000"/>
              </w:rPr>
              <w:t>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15.    </w:t>
      </w:r>
      <w:r>
        <w:rPr>
          <w:rFonts w:ascii="Times New Roman;serif" w:hAnsi="Times New Roman;serif"/>
          <w:b/>
          <w:color w:val="000000"/>
          <w:sz w:val="20"/>
          <w:u w:val="single"/>
        </w:rPr>
        <w:t>Underwriting, Acquisition and Insurance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underwriting, acquisition and insurance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487"/>
        <w:gridCol w:w="1306"/>
        <w:gridCol w:w="1302"/>
        <w:gridCol w:w="109"/>
        <w:gridCol w:w="109"/>
        <w:gridCol w:w="109"/>
        <w:gridCol w:w="213"/>
        <w:gridCol w:w="851"/>
        <w:gridCol w:w="109"/>
        <w:gridCol w:w="109"/>
        <w:gridCol w:w="109"/>
        <w:gridCol w:w="109"/>
        <w:gridCol w:w="213"/>
        <w:gridCol w:w="729"/>
        <w:gridCol w:w="109"/>
        <w:gridCol w:w="109"/>
        <w:gridCol w:w="109"/>
        <w:gridCol w:w="109"/>
        <w:gridCol w:w="211"/>
        <w:gridCol w:w="841"/>
        <w:gridCol w:w="109"/>
        <w:gridCol w:w="109"/>
        <w:gridCol w:w="109"/>
        <w:gridCol w:w="109"/>
        <w:gridCol w:w="211"/>
        <w:gridCol w:w="826"/>
        <w:gridCol w:w="109"/>
        <w:gridCol w:w="109"/>
        <w:gridCol w:w="162"/>
      </w:tblGrid>
      <w:tr>
        <w:trPr/>
        <w:tc>
          <w:tcPr>
            <w:tcW w:w="148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acquisition and insurance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247,895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16.    </w:t>
      </w:r>
      <w:r>
        <w:rPr>
          <w:rFonts w:ascii="Times New Roman;serif" w:hAnsi="Times New Roman;serif"/>
          <w:b/>
          <w:color w:val="000000"/>
          <w:sz w:val="20"/>
          <w:u w:val="single"/>
        </w:rPr>
        <w:t>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premiums and benefits are assumed from and ceded to other insurance companies under various reinsurance agreements. The reinsurance agreements provide the Company with increased capacity to write larger risks and maintain its exposure to loss within its risk tolerance. The Company remains obligated for amounts ceded in the event that the reinsurers do not meet their obligations.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effects of reinsurance on written and earned premiums and losses and loss adjustment expenses for the three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22" w:type="dxa"/>
        <w:jc w:val="left"/>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Earned</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529,263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182,179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485,616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444,472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losses and LAE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183,466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138,438 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358" w:type="dxa"/>
        <w:jc w:val="left"/>
        <w:tblInd w:w="0" w:type="dxa"/>
        <w:tblLayout w:type="fixed"/>
        <w:tblCellMar>
          <w:top w:w="28" w:type="dxa"/>
          <w:left w:w="28" w:type="dxa"/>
          <w:bottom w:w="28" w:type="dxa"/>
          <w:right w:w="28" w:type="dxa"/>
        </w:tblCellMar>
      </w:tblPr>
      <w:tblGrid>
        <w:gridCol w:w="960"/>
        <w:gridCol w:w="846"/>
        <w:gridCol w:w="849"/>
        <w:gridCol w:w="109"/>
        <w:gridCol w:w="109"/>
        <w:gridCol w:w="109"/>
        <w:gridCol w:w="211"/>
        <w:gridCol w:w="991"/>
        <w:gridCol w:w="109"/>
        <w:gridCol w:w="109"/>
        <w:gridCol w:w="109"/>
        <w:gridCol w:w="109"/>
        <w:gridCol w:w="211"/>
        <w:gridCol w:w="991"/>
        <w:gridCol w:w="109"/>
        <w:gridCol w:w="109"/>
        <w:gridCol w:w="109"/>
        <w:gridCol w:w="109"/>
        <w:gridCol w:w="211"/>
        <w:gridCol w:w="826"/>
        <w:gridCol w:w="109"/>
        <w:gridCol w:w="109"/>
        <w:gridCol w:w="109"/>
        <w:gridCol w:w="109"/>
        <w:gridCol w:w="211"/>
        <w:gridCol w:w="826"/>
        <w:gridCol w:w="109"/>
        <w:gridCol w:w="109"/>
        <w:gridCol w:w="109"/>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Written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1,065,509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1,044,752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342,749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294,293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(460,566)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878,479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losses and LAE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336,039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reinsurance recoverables and ceded unearned premium as of June 30, 2026 and December 31, 2025:</w:t>
      </w:r>
    </w:p>
    <w:tbl>
      <w:tblPr>
        <w:tblW w:w="6239" w:type="dxa"/>
        <w:jc w:val="left"/>
        <w:tblInd w:w="0" w:type="dxa"/>
        <w:tblLayout w:type="fixed"/>
        <w:tblCellMar>
          <w:top w:w="28" w:type="dxa"/>
          <w:left w:w="28" w:type="dxa"/>
          <w:bottom w:w="28" w:type="dxa"/>
          <w:right w:w="28" w:type="dxa"/>
        </w:tblCellMar>
      </w:tblPr>
      <w:tblGrid>
        <w:gridCol w:w="923"/>
        <w:gridCol w:w="811"/>
        <w:gridCol w:w="815"/>
        <w:gridCol w:w="109"/>
        <w:gridCol w:w="109"/>
        <w:gridCol w:w="109"/>
        <w:gridCol w:w="211"/>
        <w:gridCol w:w="991"/>
        <w:gridCol w:w="109"/>
        <w:gridCol w:w="109"/>
        <w:gridCol w:w="109"/>
        <w:gridCol w:w="109"/>
        <w:gridCol w:w="271"/>
        <w:gridCol w:w="1256"/>
        <w:gridCol w:w="19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unpaid 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1,162,484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921,165 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paid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251,459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1,411,648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1,119,880 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337,180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238,948 </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 xml:space="preserve">16.     </w:t>
      </w:r>
      <w:r>
        <w:rPr>
          <w:rFonts w:ascii="Times New Roman;serif" w:hAnsi="Times New Roman;serif"/>
          <w:b/>
          <w:color w:val="000000"/>
          <w:sz w:val="20"/>
          <w:u w:val="single"/>
        </w:rPr>
        <w:t>Reinsurance</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June 30, 2026, the market value of these accounts was approximately $224.0 million. The trust amount will be adjusted periodically, by mutual agreement, based on claim payments and loss reserve recoverables.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ceded reinsurance contracts that transfer only significant timing risk and do not transfer sufficient underwriting risk are accounted for using the deposit method of accounting. The Company’s deposit asset at June 30, 2026 and December 31, 2025 was $30.7 million and $22.7 million, respectively, and was included in other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17.    </w:t>
      </w:r>
      <w:r>
        <w:rPr>
          <w:rFonts w:ascii="Times New Roman;serif" w:hAnsi="Times New Roman;serif"/>
          <w:b/>
          <w:color w:val="000000"/>
          <w:sz w:val="20"/>
          <w:u w:val="single"/>
        </w:rPr>
        <w:t>Earnings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earnings per share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575"/>
        <w:gridCol w:w="1360"/>
        <w:gridCol w:w="1370"/>
        <w:gridCol w:w="109"/>
        <w:gridCol w:w="109"/>
        <w:gridCol w:w="109"/>
        <w:gridCol w:w="222"/>
        <w:gridCol w:w="777"/>
        <w:gridCol w:w="114"/>
        <w:gridCol w:w="114"/>
        <w:gridCol w:w="114"/>
        <w:gridCol w:w="114"/>
        <w:gridCol w:w="222"/>
        <w:gridCol w:w="761"/>
        <w:gridCol w:w="114"/>
        <w:gridCol w:w="109"/>
        <w:gridCol w:w="109"/>
        <w:gridCol w:w="109"/>
        <w:gridCol w:w="211"/>
        <w:gridCol w:w="736"/>
        <w:gridCol w:w="109"/>
        <w:gridCol w:w="109"/>
        <w:gridCol w:w="109"/>
        <w:gridCol w:w="109"/>
        <w:gridCol w:w="211"/>
        <w:gridCol w:w="721"/>
        <w:gridCol w:w="109"/>
        <w:gridCol w:w="109"/>
        <w:gridCol w:w="161"/>
      </w:tblGrid>
      <w:tr>
        <w:trPr/>
        <w:tc>
          <w:tcPr>
            <w:tcW w:w="157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44,521,162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40,445,391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44,492,608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40,322,051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687,512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555,233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940,951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483,967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478,392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508,213</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45,692,641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41,871,496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45,526,233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41,771,215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anti-dilutive instruments that were excluded from the calculation of diluted weighted-average common share equivalents during the three and six months ended June 30, 2026 and 2025:</w:t>
      </w:r>
    </w:p>
    <w:tbl>
      <w:tblPr>
        <w:tblW w:w="7088" w:type="dxa"/>
        <w:jc w:val="left"/>
        <w:tblInd w:w="0" w:type="dxa"/>
        <w:tblLayout w:type="fixed"/>
        <w:tblCellMar>
          <w:top w:w="28" w:type="dxa"/>
          <w:left w:w="28" w:type="dxa"/>
          <w:bottom w:w="28" w:type="dxa"/>
          <w:right w:w="28" w:type="dxa"/>
        </w:tblCellMar>
      </w:tblPr>
      <w:tblGrid>
        <w:gridCol w:w="374"/>
        <w:gridCol w:w="328"/>
        <w:gridCol w:w="332"/>
        <w:gridCol w:w="109"/>
        <w:gridCol w:w="109"/>
        <w:gridCol w:w="109"/>
        <w:gridCol w:w="285"/>
        <w:gridCol w:w="285"/>
        <w:gridCol w:w="285"/>
        <w:gridCol w:w="285"/>
        <w:gridCol w:w="285"/>
        <w:gridCol w:w="285"/>
        <w:gridCol w:w="285"/>
        <w:gridCol w:w="285"/>
        <w:gridCol w:w="285"/>
        <w:gridCol w:w="109"/>
        <w:gridCol w:w="109"/>
        <w:gridCol w:w="109"/>
        <w:gridCol w:w="383"/>
        <w:gridCol w:w="258"/>
        <w:gridCol w:w="258"/>
        <w:gridCol w:w="258"/>
        <w:gridCol w:w="258"/>
        <w:gridCol w:w="258"/>
        <w:gridCol w:w="383"/>
        <w:gridCol w:w="258"/>
        <w:gridCol w:w="258"/>
        <w:gridCol w:w="109"/>
        <w:gridCol w:w="154"/>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348,788</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344,753</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18.    </w:t>
      </w:r>
      <w:r>
        <w:rPr>
          <w:rFonts w:ascii="Times New Roman;serif" w:hAnsi="Times New Roman;serif"/>
          <w:b/>
          <w:color w:val="000000"/>
          <w:sz w:val="20"/>
          <w:u w:val="single"/>
        </w:rPr>
        <w:t>Related Party Transactions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RISCOM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RISCOM provides the Company with wholesale brokerage services. RISCOM and the Company also have a managing general agency agreement. The Company holds a 20% ownership interest in RISCOM.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earned premium and gross commission expense related to these agreements for the three and six months ended June 30, 2026 and 2025 were as follows:</w:t>
      </w:r>
    </w:p>
    <w:tbl>
      <w:tblPr>
        <w:tblW w:w="7658" w:type="dxa"/>
        <w:jc w:val="left"/>
        <w:tblInd w:w="0" w:type="dxa"/>
        <w:tblLayout w:type="fixed"/>
        <w:tblCellMar>
          <w:top w:w="28" w:type="dxa"/>
          <w:left w:w="28" w:type="dxa"/>
          <w:bottom w:w="28" w:type="dxa"/>
          <w:right w:w="28" w:type="dxa"/>
        </w:tblCellMar>
      </w:tblPr>
      <w:tblGrid>
        <w:gridCol w:w="635"/>
        <w:gridCol w:w="558"/>
        <w:gridCol w:w="561"/>
        <w:gridCol w:w="109"/>
        <w:gridCol w:w="109"/>
        <w:gridCol w:w="109"/>
        <w:gridCol w:w="223"/>
        <w:gridCol w:w="779"/>
        <w:gridCol w:w="115"/>
        <w:gridCol w:w="115"/>
        <w:gridCol w:w="115"/>
        <w:gridCol w:w="115"/>
        <w:gridCol w:w="223"/>
        <w:gridCol w:w="763"/>
        <w:gridCol w:w="115"/>
        <w:gridCol w:w="109"/>
        <w:gridCol w:w="109"/>
        <w:gridCol w:w="109"/>
        <w:gridCol w:w="211"/>
        <w:gridCol w:w="736"/>
        <w:gridCol w:w="109"/>
        <w:gridCol w:w="109"/>
        <w:gridCol w:w="109"/>
        <w:gridCol w:w="109"/>
        <w:gridCol w:w="211"/>
        <w:gridCol w:w="72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32,525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Premiums receivable as of June 30, 2026 and December 31, 2025 were $17.2 million and $13.9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18.    </w:t>
      </w:r>
      <w:r>
        <w:rPr>
          <w:rFonts w:ascii="Times New Roman;serif" w:hAnsi="Times New Roman;serif"/>
          <w:b/>
          <w:color w:val="000000"/>
          <w:sz w:val="20"/>
          <w:u w:val="single"/>
        </w:rPr>
        <w:t xml:space="preserve">Related Party Transactions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See Note 6 for investments involving affiliated companies and additional related party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19.    </w:t>
      </w:r>
      <w:r>
        <w:rPr>
          <w:rFonts w:ascii="Times New Roman;serif" w:hAnsi="Times New Roman;serif"/>
          <w:b/>
          <w:color w:val="000000"/>
          <w:sz w:val="20"/>
          <w:u w:val="single"/>
        </w:rPr>
        <w:t>Acquisitions</w:t>
      </w:r>
    </w:p>
    <w:p>
      <w:pPr>
        <w:pStyle w:val="TextBody"/>
        <w:bidi w:val="0"/>
        <w:spacing w:lineRule="auto" w:line="276"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1, 2026 (the “Acquisition Date”), the Company completed the acquisition of Apollo Group Holdings Limited (“Apollo”) pursuant to the Apollo share purchase agreements and acquired 100% of the issued and outstanding share capital of Apollo. Apollo is a U.K.-based specialty underwriting platform operating at Lloyd’s of London. Apollo underwrites a multi-class specialty insurance portfolio and offers products across Property, Casualty, Marine, Energy &amp; Transportation, Specialty and Reinsurance, as well as digital and embedded risk programs. The Company acquired Apollo to broaden its specialty insurance platform, expand into additional specialty niches, enhance its innovation and technology capabilities, and strengthen its market position.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consideration transferred, or the purchase price, is approximately $559.1 million. This amount is based on (i) the issuance of 3,679,332 shares of common stock of the Company, using the closing price of Skyward common stock of $51.11 per share on December 31, 2025, the last trading day prior to the Acquisition Date, and (ii) $371.1 million in cash (the “Cash Consideration”). The table below presents the components of the fair value of consideration transferred:</w:t>
      </w:r>
    </w:p>
    <w:tbl>
      <w:tblPr>
        <w:tblW w:w="10082" w:type="dxa"/>
        <w:jc w:val="left"/>
        <w:tblInd w:w="0" w:type="dxa"/>
        <w:tblLayout w:type="fixed"/>
        <w:tblCellMar>
          <w:top w:w="28" w:type="dxa"/>
          <w:left w:w="28" w:type="dxa"/>
          <w:bottom w:w="28" w:type="dxa"/>
          <w:right w:w="28" w:type="dxa"/>
        </w:tblCellMar>
      </w:tblPr>
      <w:tblGrid>
        <w:gridCol w:w="3092"/>
        <w:gridCol w:w="2718"/>
        <w:gridCol w:w="2739"/>
        <w:gridCol w:w="109"/>
        <w:gridCol w:w="109"/>
        <w:gridCol w:w="109"/>
        <w:gridCol w:w="211"/>
        <w:gridCol w:w="841"/>
        <w:gridCol w:w="154"/>
      </w:tblGrid>
      <w:tr>
        <w:trPr/>
        <w:tc>
          <w:tcPr>
            <w:tcW w:w="3092"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for share and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Skyward Specialty Insurance Group, Inc. common stock issued to existing Apollo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Skyward Specialty Insurance Group, Inc. closing stock price on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 of Skyward Specialty Insurance Group, Inc. issued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559,140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as a business combination under ASC 805, Business Combinations (“ASC 805”). The purchase price has been preliminarily allocated to the assets acquired and liabilities assumed based on their estimated fair values as of the Acquisition Date. The Company is considered the accounting acquirer in the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19.    </w:t>
      </w:r>
      <w:r>
        <w:rPr>
          <w:rFonts w:ascii="Times New Roman;serif" w:hAnsi="Times New Roman;serif"/>
          <w:b/>
          <w:color w:val="000000"/>
          <w:sz w:val="20"/>
          <w:u w:val="single"/>
        </w:rPr>
        <w:t>Acquisitions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purchase price allocation as of the Acquisition Date:</w:t>
      </w:r>
    </w:p>
    <w:tbl>
      <w:tblPr>
        <w:tblW w:w="6535" w:type="dxa"/>
        <w:jc w:val="left"/>
        <w:tblInd w:w="0" w:type="dxa"/>
        <w:tblLayout w:type="fixed"/>
        <w:tblCellMar>
          <w:top w:w="28" w:type="dxa"/>
          <w:left w:w="28" w:type="dxa"/>
          <w:bottom w:w="28" w:type="dxa"/>
          <w:right w:w="28" w:type="dxa"/>
        </w:tblCellMar>
      </w:tblPr>
      <w:tblGrid>
        <w:gridCol w:w="1693"/>
        <w:gridCol w:w="1489"/>
        <w:gridCol w:w="1497"/>
        <w:gridCol w:w="109"/>
        <w:gridCol w:w="109"/>
        <w:gridCol w:w="109"/>
        <w:gridCol w:w="271"/>
        <w:gridCol w:w="1061"/>
        <w:gridCol w:w="197"/>
      </w:tblGrid>
      <w:tr>
        <w:trPr/>
        <w:tc>
          <w:tcPr>
            <w:tcW w:w="1693"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1, 2026</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 excluding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at Lloyd's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165,540 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unearned premium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and VOBA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excluding goodwill,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 excluding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1,449,392 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losses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477,596 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and premium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 for 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1,015,660 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net assets acquired, excluding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433,732 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559,140 </w:t>
            </w:r>
          </w:p>
        </w:tc>
        <w:tc>
          <w:tcPr>
            <w:tcW w:w="1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Preliminary allocation to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125,408 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Apollo acquisition was accounted for as a business combination using the acquisition method of accounting in accordance with ASC 805. The purchase price was allocated to assets acquired and liabilities assumed based on the estimated fair values at the Acquisition Date. Goodwill recognized in the transaction represents the excess of consideration transferred over the fair value of identifiable net assets acquired and will not be deductible for tax purposes and is fully allocated to the U.K. segment. Goodwill primarily represents the expected future economic benefits arising from the acquisition, including anticipated synergies from the integration of operations, Apollo’s established specialty underwriting platform, and access to its distribution network and Lloyd’s market presence.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identifiable intangible assets primarily relate to syndicate capacity, cover holder relationships, strategic partner syndicates and trade names. The amounts, based on preliminary valuations and subject to final adjustment, allocated to intangible assets are as follows:</w:t>
      </w:r>
    </w:p>
    <w:tbl>
      <w:tblPr>
        <w:tblW w:w="10205" w:type="dxa"/>
        <w:jc w:val="left"/>
        <w:tblInd w:w="0" w:type="dxa"/>
        <w:tblLayout w:type="fixed"/>
        <w:tblCellMar>
          <w:top w:w="28" w:type="dxa"/>
          <w:left w:w="28" w:type="dxa"/>
          <w:bottom w:w="28" w:type="dxa"/>
          <w:right w:w="28" w:type="dxa"/>
        </w:tblCellMar>
      </w:tblPr>
      <w:tblGrid>
        <w:gridCol w:w="947"/>
        <w:gridCol w:w="738"/>
        <w:gridCol w:w="741"/>
        <w:gridCol w:w="297"/>
        <w:gridCol w:w="1164"/>
        <w:gridCol w:w="153"/>
        <w:gridCol w:w="109"/>
        <w:gridCol w:w="109"/>
        <w:gridCol w:w="109"/>
        <w:gridCol w:w="875"/>
        <w:gridCol w:w="875"/>
        <w:gridCol w:w="878"/>
        <w:gridCol w:w="109"/>
        <w:gridCol w:w="109"/>
        <w:gridCol w:w="109"/>
        <w:gridCol w:w="617"/>
        <w:gridCol w:w="1805"/>
        <w:gridCol w:w="461"/>
      </w:tblGrid>
      <w:tr>
        <w:trPr/>
        <w:tc>
          <w:tcPr>
            <w:tcW w:w="94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Annual Amortization Expense</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 capacity - with fees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indefinite lived asset</w:t>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 capacity - with fees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indefinite lived asset</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holder relationships</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partner syndicates</w:t>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7,471 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33" w:before="0" w:after="120"/>
        <w:jc w:val="left"/>
        <w:rPr/>
      </w:pPr>
      <w:hyperlink w:anchor="ife0b29f5792b4ecb8637b77bd02fdb6b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SKYWARD SPECIALTY INSURANCE GROUP, INC. AND SUBSIDIARIES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288" w:before="0" w:after="120"/>
        <w:ind w:left="0" w:right="0" w:hanging="360"/>
        <w:jc w:val="left"/>
        <w:rPr/>
      </w:pPr>
      <w:r>
        <w:rPr>
          <w:rFonts w:ascii="Times New Roman;serif" w:hAnsi="Times New Roman;serif"/>
          <w:b/>
          <w:color w:val="000000"/>
          <w:sz w:val="20"/>
        </w:rPr>
        <w:t>19.    </w:t>
      </w:r>
      <w:r>
        <w:rPr>
          <w:rFonts w:ascii="Times New Roman;serif" w:hAnsi="Times New Roman;serif"/>
          <w:b/>
          <w:color w:val="000000"/>
          <w:sz w:val="20"/>
          <w:u w:val="single"/>
        </w:rPr>
        <w:t>Acquisitions</w:t>
      </w:r>
      <w:r>
        <w:rPr>
          <w:color w:val="000000"/>
        </w:rPr>
        <w:t xml:space="preserve"> </w:t>
      </w:r>
      <w:r>
        <w:rPr>
          <w:rFonts w:ascii="Times New Roman;serif" w:hAnsi="Times New Roman;serif"/>
          <w:b/>
          <w:color w:val="000000"/>
          <w:sz w:val="20"/>
        </w:rPr>
        <w:t>(continued)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recognized value of business acquired (“VOBA”), which represents the estimated fair value of the deferred acquisition costs of acquired in</w:t>
        <w:noBreakHyphen/>
        <w:t>force insurance contracts. VOBA is amortized over one year, reflecting the expected runoff of the acquired in</w:t>
        <w:noBreakHyphen/>
        <w:t>force contracts. VOBA is aggregated with deferred policy acquisition costs and included within deferred policy acquisition costs and VOBA on the consolidated balance sheets. For the three and six months ended June 30, 2026 the Company recognized $7.3 million and $14.6 million, respectively, in underwriting, acquisition and insurance expenses, and $6.7 million and $13.4 million, respectively, in amortization expense on the consolidated statements of operations related to the amortization of VOBA.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Estimated fair values of assets acquired and liabilities assumed from Apollo are subject to change as additional information is obtained, and will be updated and finalized within the measurement period that will not extend beyond 12 months from the Acquisition Date. Any measurement period adjustments will be recorded in the period in which the adjustments are identified, as if they had been recognized as of the acquisition date.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Apollo of $78.7 million and $158.9 million of revenue for the three and six months ended June 30, 2026, respectively, and $15.4 million and $37.6 million of net income for the three and six months ended June 30, 2026, respectively, have been included within the accompanying consolidated statements of operations and comprehensive loss. All transaction expenses incurred by the Company were expensed as incurred and reflected in the Company’s results of operations for the period ended December 31, 2025 in accordance with ASC 805. No material transaction expenses were incurred for the period ended June 30, 2026. The Company has not presented the unaudited supplemental pro forma financial information required by ASC 805-10-50-2(h) as it is impractical to do so, as Apollo did not historically prepare quarterly financial statements and its historical financial information was prepared under U.K. GAAP rather than U.S.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left"/>
        <w:rPr/>
      </w:pPr>
      <w:r>
        <w:rPr>
          <w:rFonts w:ascii="Times New Roman;serif" w:hAnsi="Times New Roman;serif"/>
          <w:b/>
          <w:color w:val="000000"/>
          <w:sz w:val="20"/>
        </w:rPr>
        <w:t>20.    </w:t>
      </w:r>
      <w:r>
        <w:rPr>
          <w:rFonts w:ascii="Times New Roman;serif" w:hAnsi="Times New Roman;serif"/>
          <w:b/>
          <w:color w:val="000000"/>
          <w:sz w:val="20"/>
          <w:u w:val="single"/>
        </w:rPr>
        <w:t>Commitments and Contingencies</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Litigation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named as a party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 </w:t>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Indemnification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sale of business assets and subsidiaries, the Company has provided indemnifications to certain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term “Skyward Group” as used below refers to the unified holding company brand for Skyward Specialty and Apollo and the terms “our Company,” “we,” “us,” and “our” as used below refer to Skyward Specialty Insurance Group and its consolidated subsidiaries. The term “second quarter” as used below refers to the three and six months ended June 30,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Group are defined in the sections entitled “Select Insurance and Financial Terms” and “Key Operating and Financial Metrics” included in our 2025 Form 10-K for the year ended December 31, 2025 (the “2025 Form 10-K”). Following the Apollo Acquisition, select insurance, accounting, operating and financial terms’ definitions have been updated in the “Updates to Key Operating and Financial Metrics” section below in this Form 10-Q.</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discussion and analysis below include certain forward-looking statements that are subject to risks, uncertainties and other factors described in “Risk Factors” in our 2025 Form 10-K. Our actual results could differ materially from those anticipated in these forward-looking statements as a result of many factors.</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results of operations for the three and six months ended June 30, 2026 are not necessarily indicative of the results that may be expected for the full year ended December 31, 2026,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2025 Form 10-K.</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accompanying condensed consolidated financial statements and related notes have been prepared in accordance with United States (“U.S.”) generally accepted accounting principles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Founded in 2006, Skyward Group is the holding company brand for its U.S. and U.K. businesses, Skyward Specialty Insurance Group, Inc. and Apollo, respectively, delivering a comprehensive suite of specialized insurance and reinsurance solutions across global specialty property and casualty markets.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January 1, 2026, the acquisition with Apollo closed. We subsequently announced the introduction of Skyward Group as the unified holding company brand for Skyward Specialty and Apollo, following the successful completion of the transaction. The consideration for the entire issued share capital of Apollo under the Apollo SPAs was $559.1 million, which included (i) $371.1 million in cash (the “Cash Consideration”) and (ii) the issuance of 3,679,332 shares of the Company’s common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is an integrated specialty insurance and reinsurance group operating within the Lloyd’s of London market, leveraging Lloyd’s global licensing, centralized underwriting infrastructure, and long</w:t>
        <w:noBreakHyphen/>
        <w:t>standing distribution networks to access innovative specialty classes across international markets. Apollo’s model incorporates technology enabled underwriting, innovative risk assessment tools, and data driven portfolio management frameworks that are closely aligned with our strategic priorities. Apollo’s operations also include the management of a dedicated syndicate focused on emerging digital economy, autonomy, and platform</w:t>
        <w:noBreakHyphen/>
        <w:t>based risks, reflecting a long standing emphasis on innovation and forward</w:t>
        <w:noBreakHyphen/>
        <w:t>looking underwriting practices.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Skyward Specialty and Apollo continue to operate as distinct, market facing brands under the newly introduced Skyward Group brand. This brand architecture preserves the equity and reputational strength of both organizations while supporting a unified strategic direction and enhanced collaboration across the combined enterprise.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Skyward Specialty’s U.S. insurance companies are rated ‘A’ (Excellent) by AM Best, while Apollo’s underwriting operations continue within the highly rated Lloyd’s market, which carries an ‘A+' (Superior) rating by AM Best and 'AA-' (Very Strong) ratings by S&amp;P Global and Fitch Ratings.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Updates to Key Operating and Financial Metrics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certain key metrics which provide useful information about our business and the operational factors underlying our financial performance. These metrics are generally standard among insurance companies and help to provide comparability with our peers. For a glossary of terms for Skyward Specialty Insurance Group, Inc. and its subsidiaries and affiliates and a glossary of selected insurance and accounting terms, see the section entitled “Key Operating and Financial Metrics” included in the 2025 Form 10-K. The following terms have been updated after the Apollo acquisition.</w:t>
      </w:r>
    </w:p>
    <w:p>
      <w:pPr>
        <w:pStyle w:val="TextBody"/>
        <w:bidi w:val="0"/>
        <w:spacing w:lineRule="auto" w:line="288" w:before="0" w:after="120"/>
        <w:ind w:left="0" w:right="0" w:firstLine="360"/>
        <w:jc w:val="both"/>
        <w:rPr/>
      </w:pPr>
      <w:r>
        <w:rPr>
          <w:rFonts w:ascii="Times New Roman;serif" w:hAnsi="Times New Roman;serif"/>
          <w:b/>
          <w:i/>
          <w:color w:val="000000"/>
          <w:sz w:val="20"/>
        </w:rPr>
        <w:t>Operating income (loss)</w:t>
      </w:r>
      <w:r>
        <w:rPr>
          <w:color w:val="000000"/>
        </w:rPr>
        <w:t> </w:t>
      </w:r>
      <w:r>
        <w:rPr>
          <w:rFonts w:ascii="Times New Roman;serif" w:hAnsi="Times New Roman;serif"/>
          <w:b w:val="false"/>
          <w:color w:val="000000"/>
          <w:sz w:val="20"/>
        </w:rPr>
        <w:t>is a non-GAAP financial measure defined as net income excluding net investment gains and losses, amortization expense, goodwill impairment charges and other income and expenses. See “Reconciliation of Non-GAAP Financial Measures” for a reconciliation of operating income (loss) to net income (loss), which is the most directly comparable financial metric prepared in accordance with GAAP.</w:t>
      </w:r>
    </w:p>
    <w:p>
      <w:pPr>
        <w:pStyle w:val="TextBody"/>
        <w:bidi w:val="0"/>
        <w:spacing w:lineRule="auto" w:line="288" w:before="0" w:after="120"/>
        <w:ind w:left="0" w:right="0" w:firstLine="360"/>
        <w:jc w:val="both"/>
        <w:rPr/>
      </w:pPr>
      <w:r>
        <w:rPr>
          <w:rFonts w:ascii="Times New Roman;serif" w:hAnsi="Times New Roman;serif"/>
          <w:b/>
          <w:i/>
          <w:color w:val="000000"/>
          <w:sz w:val="20"/>
        </w:rPr>
        <w:t>Underwriting income (loss)</w:t>
      </w:r>
      <w:r>
        <w:rPr>
          <w:color w:val="000000"/>
        </w:rPr>
        <w:t> </w:t>
      </w:r>
      <w:r>
        <w:rPr>
          <w:rFonts w:ascii="Times New Roman;serif" w:hAnsi="Times New Roman;serif"/>
          <w:b w:val="false"/>
          <w:color w:val="000000"/>
          <w:sz w:val="20"/>
        </w:rPr>
        <w:t>is a non-GAAP financial measure defined as income (loss) before income taxes excluding net investment income, net investment gains and losses, impairment charges, interest expense, amortization expense and other income and expenses. See “Reconciliation of Non-GAAP Financial Measures” for a reconciliation of underwriting income (loss) to net income, which is the most directly comparable financial metric prepared in accordance with GAAP.</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Adjusted pro forma gross written premiums </w:t>
      </w:r>
      <w:r>
        <w:rPr>
          <w:rFonts w:ascii="Times New Roman;serif" w:hAnsi="Times New Roman;serif"/>
          <w:b w:val="false"/>
          <w:color w:val="000000"/>
          <w:sz w:val="20"/>
        </w:rPr>
        <w:t>is a non-GAAP financial measure defined as pro forma gross written premiums adjusted for the impact of changes in Apollo syndicate participation to evaluate premium growth trends on a consistent participation basis across periods.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Adjusted pro forma fee generating gross written premiums </w:t>
      </w:r>
      <w:r>
        <w:rPr>
          <w:rFonts w:ascii="Times New Roman;serif" w:hAnsi="Times New Roman;serif"/>
          <w:b w:val="false"/>
          <w:color w:val="000000"/>
          <w:sz w:val="20"/>
        </w:rPr>
        <w:t>is a non-GAAP financial measure defined as pro forma fee generating gross written premiums adjusted for the impact of changes in Apollo syndicate participation percentages that provide a more meaningful comparison of fee generating business on a consistent participation basis across periods.</w:t>
      </w:r>
    </w:p>
    <w:p>
      <w:pPr>
        <w:pStyle w:val="TextBody"/>
        <w:bidi w:val="0"/>
        <w:spacing w:lineRule="auto" w:line="288" w:before="0" w:after="120"/>
        <w:ind w:left="0" w:right="0" w:firstLine="360"/>
        <w:jc w:val="both"/>
        <w:rPr/>
      </w:pPr>
      <w:r>
        <w:rPr>
          <w:rFonts w:ascii="Times New Roman;serif" w:hAnsi="Times New Roman;serif"/>
          <w:b/>
          <w:i/>
          <w:color w:val="000000"/>
          <w:sz w:val="20"/>
        </w:rPr>
        <w:t>Tangible stockholders’ equity</w:t>
      </w:r>
      <w:r>
        <w:rPr>
          <w:color w:val="000000"/>
        </w:rPr>
        <w:t> </w:t>
      </w:r>
      <w:r>
        <w:rPr>
          <w:rFonts w:ascii="Times New Roman;serif" w:hAnsi="Times New Roman;serif"/>
          <w:b w:val="false"/>
          <w:color w:val="000000"/>
          <w:sz w:val="20"/>
        </w:rPr>
        <w:t>is a non-GAAP financial measure defined as stockholders’ equity excluding goodwill and intangible assets and the related deferred tax impact. See “Reconciliation of Non-GAAP Financial Measures” for a reconciliation of tangible stockholders’ equity to stockholders’ equity, which is the most directly comparable financial metric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consolidated results for the three and six months ended June 30, 2026 and 2025: </w:t>
      </w:r>
    </w:p>
    <w:tbl>
      <w:tblPr>
        <w:tblW w:w="10205" w:type="dxa"/>
        <w:jc w:val="center"/>
        <w:tblInd w:w="0" w:type="dxa"/>
        <w:tblLayout w:type="fixed"/>
        <w:tblCellMar>
          <w:top w:w="28" w:type="dxa"/>
          <w:left w:w="28" w:type="dxa"/>
          <w:bottom w:w="28" w:type="dxa"/>
          <w:right w:w="28" w:type="dxa"/>
        </w:tblCellMar>
      </w:tblPr>
      <w:tblGrid>
        <w:gridCol w:w="1297"/>
        <w:gridCol w:w="1041"/>
        <w:gridCol w:w="1045"/>
        <w:gridCol w:w="109"/>
        <w:gridCol w:w="109"/>
        <w:gridCol w:w="109"/>
        <w:gridCol w:w="211"/>
        <w:gridCol w:w="841"/>
        <w:gridCol w:w="301"/>
        <w:gridCol w:w="109"/>
        <w:gridCol w:w="109"/>
        <w:gridCol w:w="109"/>
        <w:gridCol w:w="211"/>
        <w:gridCol w:w="826"/>
        <w:gridCol w:w="271"/>
        <w:gridCol w:w="109"/>
        <w:gridCol w:w="109"/>
        <w:gridCol w:w="109"/>
        <w:gridCol w:w="307"/>
        <w:gridCol w:w="247"/>
        <w:gridCol w:w="684"/>
        <w:gridCol w:w="149"/>
        <w:gridCol w:w="149"/>
        <w:gridCol w:w="149"/>
        <w:gridCol w:w="298"/>
        <w:gridCol w:w="267"/>
        <w:gridCol w:w="664"/>
        <w:gridCol w:w="109"/>
        <w:gridCol w:w="157"/>
      </w:tblGrid>
      <w:tr>
        <w:trPr/>
        <w:tc>
          <w:tcPr>
            <w:tcW w:w="129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740,554</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1,408,258</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1,120,240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(254,938)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(489,759)</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(437,756)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485,616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918,499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682,484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444,472</w:t>
            </w:r>
            <w:r>
              <w:rPr>
                <w:color w:val="000000"/>
              </w:rPr>
              <w:t>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878,479</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fee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12,588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22,666</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1"/>
              <w:jc w:val="both"/>
              <w:rPr>
                <w:rFonts w:ascii="Times New Roman;serif" w:hAnsi="Times New Roman;serif"/>
                <w:b w:val="false"/>
                <w:color w:val="000000"/>
                <w:sz w:val="20"/>
              </w:rPr>
            </w:pPr>
            <w:r>
              <w:rPr>
                <w:rFonts w:ascii="Times New Roman;serif" w:hAnsi="Times New Roman;serif"/>
                <w:b w:val="false"/>
                <w:color w:val="000000"/>
                <w:sz w:val="20"/>
              </w:rPr>
              <w:t>Non-cat loss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268,141</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525,579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358,071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Cat loss and LAE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16,385</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276,741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541,964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71,154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130,770</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47,755</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107,844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Corporate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9,281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123,281</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247,895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172,147</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Fee</w:t>
              <w:noBreakHyphen/>
              <w:t>based service expenses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4,562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8,732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income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54,810</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106,415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30,727</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57,782</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16,531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17,686</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63,557</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125,633</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98,769</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income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59,198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116,091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1"/>
              <w:jc w:val="both"/>
              <w:rPr>
                <w:rFonts w:ascii="Times New Roman;serif" w:hAnsi="Times New Roman;serif"/>
                <w:b w:val="false"/>
                <w:color w:val="000000"/>
                <w:sz w:val="20"/>
              </w:rPr>
            </w:pPr>
            <w:r>
              <w:rPr>
                <w:rFonts w:ascii="Times New Roman;serif" w:hAnsi="Times New Roman;serif"/>
                <w:b w:val="false"/>
                <w:color w:val="000000"/>
                <w:sz w:val="20"/>
              </w:rPr>
              <w:t>Non-cat loss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59.8</w:t>
            </w: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0"/>
              </w:rPr>
              <w:t>Cat loss and LAE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61.7</w:t>
            </w:r>
            <w:r>
              <w:rPr>
                <w:color w:val="000000"/>
              </w:rPr>
              <w:t>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Net policy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w:t>
            </w: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Commission and 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(0.4)</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Corporate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expense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w:t>
            </w:r>
            <w:r>
              <w:rPr>
                <w:color w:val="000000"/>
              </w:rPr>
              <w:t> </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89.5</w:t>
            </w:r>
            <w:r>
              <w:rPr>
                <w:color w:val="000000"/>
              </w:rPr>
              <w:t>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return on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6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return on tangible equity</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operating return on equity</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Annualized operating return on tangible equity</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w:t>
            </w:r>
            <w:r>
              <w:rPr>
                <w:color w:val="000000"/>
              </w:rPr>
              <w:t> </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(1)</w:t>
            </w:r>
            <w:r>
              <w:rPr>
                <w:color w:val="000000"/>
              </w:rPr>
              <w:t xml:space="preserve"> </w:t>
            </w:r>
            <w:r>
              <w:rPr>
                <w:rFonts w:ascii="Times New Roman;serif" w:hAnsi="Times New Roman;serif"/>
                <w:b w:val="false"/>
                <w:i/>
                <w:color w:val="000000"/>
                <w:sz w:val="16"/>
              </w:rPr>
              <w:t>Not included in the 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939"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 xml:space="preserve">(2) </w:t>
            </w:r>
            <w:r>
              <w:rPr>
                <w:rFonts w:ascii="Times New Roman;serif" w:hAnsi="Times New Roman;serif"/>
                <w:b w:val="false"/>
                <w:i/>
                <w:color w:val="000000"/>
                <w:sz w:val="16"/>
              </w:rPr>
              <w:t>Current accident year</w:t>
            </w:r>
          </w:p>
        </w:tc>
        <w:tc>
          <w:tcPr>
            <w:tcW w:w="266" w:type="dxa"/>
            <w:gridSpan w:val="2"/>
            <w:tcBorders/>
          </w:tcPr>
          <w:p>
            <w:pPr>
              <w:pStyle w:val="TableContents"/>
              <w:bidi w:val="0"/>
              <w:spacing w:before="0" w:after="283"/>
              <w:jc w:val="left"/>
              <w:rPr>
                <w:sz w:val="4"/>
                <w:szCs w:val="4"/>
              </w:rPr>
            </w:pPr>
            <w:r>
              <w:rPr>
                <w:sz w:val="4"/>
                <w:szCs w:val="4"/>
              </w:rPr>
            </w:r>
          </w:p>
        </w:tc>
      </w:tr>
      <w:tr>
        <w:trPr/>
        <w:tc>
          <w:tcPr>
            <w:tcW w:w="9939"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(3)</w:t>
            </w:r>
            <w:r>
              <w:rPr>
                <w:color w:val="000000"/>
              </w:rPr>
              <w:t xml:space="preserve"> </w:t>
            </w:r>
            <w:r>
              <w:rPr>
                <w:rFonts w:ascii="Times New Roman;serif" w:hAnsi="Times New Roman;serif"/>
                <w:b w:val="false"/>
                <w:i/>
                <w:color w:val="000000"/>
                <w:sz w:val="16"/>
              </w:rPr>
              <w:t>See “Reconciliation of Non-GAAP Financial Measures” in this Item 2</w:t>
            </w:r>
          </w:p>
        </w:tc>
        <w:tc>
          <w:tcPr>
            <w:tcW w:w="266" w:type="dxa"/>
            <w:gridSpan w:val="2"/>
            <w:tcBorders/>
          </w:tcPr>
          <w:p>
            <w:pPr>
              <w:pStyle w:val="TableContents"/>
              <w:bidi w:val="0"/>
              <w:spacing w:before="0" w:after="283"/>
              <w:jc w:val="left"/>
              <w:rPr>
                <w:sz w:val="4"/>
                <w:szCs w:val="4"/>
              </w:rPr>
            </w:pPr>
            <w:r>
              <w:rPr>
                <w:sz w:val="4"/>
                <w:szCs w:val="4"/>
              </w:rPr>
            </w:r>
          </w:p>
        </w:tc>
      </w:tr>
      <w:tr>
        <w:trPr/>
        <w:tc>
          <w:tcPr>
            <w:tcW w:w="993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(4)</w:t>
            </w:r>
            <w:r>
              <w:rPr>
                <w:color w:val="000000"/>
              </w:rPr>
              <w:t xml:space="preserve"> </w:t>
            </w:r>
            <w:r>
              <w:rPr>
                <w:rFonts w:ascii="Times New Roman;serif" w:hAnsi="Times New Roman;serif"/>
                <w:b w:val="false"/>
                <w:i/>
                <w:color w:val="000000"/>
                <w:sz w:val="16"/>
              </w:rPr>
              <w:t>The underwriting, acquisition and insurance expense ratio includes corporate expenses not allocated to underwriting segments.</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83" w:type="dxa"/>
            <w:gridSpan w:val="3"/>
            <w:tcBorders/>
            <w:vAlign w:val="center"/>
          </w:tcPr>
          <w:p>
            <w:pPr>
              <w:pStyle w:val="TableContents"/>
              <w:bidi w:val="0"/>
              <w:spacing w:before="0" w:after="283"/>
              <w:jc w:val="left"/>
              <w:rPr>
                <w:sz w:val="4"/>
                <w:szCs w:val="4"/>
              </w:rPr>
            </w:pPr>
            <w:r>
              <w:rPr>
                <w:sz w:val="4"/>
                <w:szCs w:val="4"/>
              </w:rPr>
            </w:r>
          </w:p>
        </w:tc>
        <w:tc>
          <w:tcPr>
            <w:tcW w:w="6822" w:type="dxa"/>
            <w:gridSpan w:val="2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operating income to net income for the three and six months ended June 30, 2026 and 2025:</w:t>
      </w:r>
    </w:p>
    <w:tbl>
      <w:tblPr>
        <w:tblW w:w="12565" w:type="dxa"/>
        <w:jc w:val="center"/>
        <w:tblInd w:w="0" w:type="dxa"/>
        <w:tblLayout w:type="fixed"/>
        <w:tblCellMar>
          <w:top w:w="28" w:type="dxa"/>
          <w:left w:w="28" w:type="dxa"/>
          <w:bottom w:w="28" w:type="dxa"/>
          <w:right w:w="28" w:type="dxa"/>
        </w:tblCellMar>
      </w:tblPr>
      <w:tblGrid>
        <w:gridCol w:w="674"/>
        <w:gridCol w:w="263"/>
        <w:gridCol w:w="264"/>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09"/>
        <w:gridCol w:w="109"/>
        <w:gridCol w:w="109"/>
        <w:gridCol w:w="109"/>
        <w:gridCol w:w="211"/>
        <w:gridCol w:w="841"/>
        <w:gridCol w:w="109"/>
        <w:gridCol w:w="109"/>
        <w:gridCol w:w="109"/>
        <w:gridCol w:w="109"/>
        <w:gridCol w:w="211"/>
        <w:gridCol w:w="826"/>
        <w:gridCol w:w="109"/>
        <w:gridCol w:w="109"/>
        <w:gridCol w:w="109"/>
        <w:gridCol w:w="109"/>
        <w:gridCol w:w="211"/>
        <w:gridCol w:w="721"/>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After-tax</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125,633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Underwriting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underwriting income to income before federal income tax expense for the three and six months ended June 30, 2026 and 2025:</w:t>
      </w:r>
    </w:p>
    <w:tbl>
      <w:tblPr>
        <w:tblW w:w="8983" w:type="dxa"/>
        <w:jc w:val="center"/>
        <w:tblInd w:w="0" w:type="dxa"/>
        <w:tblLayout w:type="fixed"/>
        <w:tblCellMar>
          <w:top w:w="28" w:type="dxa"/>
          <w:left w:w="28" w:type="dxa"/>
          <w:bottom w:w="28" w:type="dxa"/>
          <w:right w:w="28" w:type="dxa"/>
        </w:tblCellMar>
      </w:tblPr>
      <w:tblGrid>
        <w:gridCol w:w="895"/>
        <w:gridCol w:w="787"/>
        <w:gridCol w:w="792"/>
        <w:gridCol w:w="109"/>
        <w:gridCol w:w="109"/>
        <w:gridCol w:w="109"/>
        <w:gridCol w:w="223"/>
        <w:gridCol w:w="779"/>
        <w:gridCol w:w="115"/>
        <w:gridCol w:w="115"/>
        <w:gridCol w:w="115"/>
        <w:gridCol w:w="115"/>
        <w:gridCol w:w="223"/>
        <w:gridCol w:w="763"/>
        <w:gridCol w:w="115"/>
        <w:gridCol w:w="109"/>
        <w:gridCol w:w="109"/>
        <w:gridCol w:w="109"/>
        <w:gridCol w:w="414"/>
        <w:gridCol w:w="390"/>
        <w:gridCol w:w="391"/>
        <w:gridCol w:w="213"/>
        <w:gridCol w:w="213"/>
        <w:gridCol w:w="213"/>
        <w:gridCol w:w="414"/>
        <w:gridCol w:w="390"/>
        <w:gridCol w:w="391"/>
        <w:gridCol w:w="109"/>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63,557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125,633</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8,812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16,531</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8,843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17,686</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6,959</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30,727</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57,782</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2,584</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Underwriting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54,810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106,415</w:t>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Adjusted pro forma gross written premiums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represent pro forma gross written premiums adjusted for the impact of changes in Apollo syndicate participation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1156"/>
        <w:gridCol w:w="898"/>
        <w:gridCol w:w="900"/>
        <w:gridCol w:w="109"/>
        <w:gridCol w:w="109"/>
        <w:gridCol w:w="109"/>
        <w:gridCol w:w="258"/>
        <w:gridCol w:w="884"/>
        <w:gridCol w:w="133"/>
        <w:gridCol w:w="109"/>
        <w:gridCol w:w="109"/>
        <w:gridCol w:w="109"/>
        <w:gridCol w:w="258"/>
        <w:gridCol w:w="884"/>
        <w:gridCol w:w="133"/>
        <w:gridCol w:w="109"/>
        <w:gridCol w:w="109"/>
        <w:gridCol w:w="109"/>
        <w:gridCol w:w="334"/>
        <w:gridCol w:w="1142"/>
        <w:gridCol w:w="172"/>
        <w:gridCol w:w="109"/>
        <w:gridCol w:w="109"/>
        <w:gridCol w:w="109"/>
        <w:gridCol w:w="307"/>
        <w:gridCol w:w="1205"/>
        <w:gridCol w:w="233"/>
      </w:tblGrid>
      <w:tr>
        <w:trPr/>
        <w:tc>
          <w:tcPr>
            <w:tcW w:w="115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Syndicate 1969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Syndicate 1971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Apollo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Skyward Group</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661,105 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pro forma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653,861 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38"/>
        <w:gridCol w:w="874"/>
        <w:gridCol w:w="876"/>
        <w:gridCol w:w="109"/>
        <w:gridCol w:w="109"/>
        <w:gridCol w:w="109"/>
        <w:gridCol w:w="240"/>
        <w:gridCol w:w="941"/>
        <w:gridCol w:w="123"/>
        <w:gridCol w:w="109"/>
        <w:gridCol w:w="109"/>
        <w:gridCol w:w="109"/>
        <w:gridCol w:w="256"/>
        <w:gridCol w:w="878"/>
        <w:gridCol w:w="132"/>
        <w:gridCol w:w="109"/>
        <w:gridCol w:w="109"/>
        <w:gridCol w:w="109"/>
        <w:gridCol w:w="306"/>
        <w:gridCol w:w="1198"/>
        <w:gridCol w:w="157"/>
        <w:gridCol w:w="109"/>
        <w:gridCol w:w="109"/>
        <w:gridCol w:w="109"/>
        <w:gridCol w:w="278"/>
        <w:gridCol w:w="1289"/>
        <w:gridCol w:w="211"/>
      </w:tblGrid>
      <w:tr>
        <w:trPr/>
        <w:tc>
          <w:tcPr>
            <w:tcW w:w="113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Syndicate 1969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Syndicate 1971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Apollo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Skyward Group</w:t>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119,303 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1,268,821 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pro forma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Adjusted pro forma fee generating gross written premiums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represent pro forma fee generating gross written premiums adjusted for the impact of changes in Apollo syndicate participation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1728"/>
        <w:gridCol w:w="1496"/>
        <w:gridCol w:w="1496"/>
        <w:gridCol w:w="109"/>
        <w:gridCol w:w="109"/>
        <w:gridCol w:w="109"/>
        <w:gridCol w:w="305"/>
        <w:gridCol w:w="1197"/>
        <w:gridCol w:w="157"/>
        <w:gridCol w:w="109"/>
        <w:gridCol w:w="109"/>
        <w:gridCol w:w="109"/>
        <w:gridCol w:w="334"/>
        <w:gridCol w:w="1144"/>
        <w:gridCol w:w="172"/>
        <w:gridCol w:w="109"/>
        <w:gridCol w:w="109"/>
        <w:gridCol w:w="109"/>
        <w:gridCol w:w="211"/>
        <w:gridCol w:w="826"/>
        <w:gridCol w:w="158"/>
      </w:tblGrid>
      <w:tr>
        <w:trPr/>
        <w:tc>
          <w:tcPr>
            <w:tcW w:w="172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Aligned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Total </w:t>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239,744 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pro forma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25"/>
        <w:gridCol w:w="1494"/>
        <w:gridCol w:w="1493"/>
        <w:gridCol w:w="109"/>
        <w:gridCol w:w="109"/>
        <w:gridCol w:w="109"/>
        <w:gridCol w:w="305"/>
        <w:gridCol w:w="1196"/>
        <w:gridCol w:w="157"/>
        <w:gridCol w:w="109"/>
        <w:gridCol w:w="109"/>
        <w:gridCol w:w="109"/>
        <w:gridCol w:w="305"/>
        <w:gridCol w:w="1196"/>
        <w:gridCol w:w="157"/>
        <w:gridCol w:w="109"/>
        <w:gridCol w:w="109"/>
        <w:gridCol w:w="109"/>
        <w:gridCol w:w="211"/>
        <w:gridCol w:w="826"/>
        <w:gridCol w:w="159"/>
      </w:tblGrid>
      <w:tr>
        <w:trPr/>
        <w:tc>
          <w:tcPr>
            <w:tcW w:w="1725"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Aligned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Partner Syndicates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change in participation(s)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pro forma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347629721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Tangible Stockholders’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tangible stockholders’ equity to stockholders’ equity for the periods ended June 30, 2026 and 2025:</w:t>
      </w:r>
    </w:p>
    <w:tbl>
      <w:tblPr>
        <w:tblW w:w="7835" w:type="dxa"/>
        <w:jc w:val="center"/>
        <w:tblInd w:w="0" w:type="dxa"/>
        <w:tblLayout w:type="fixed"/>
        <w:tblCellMar>
          <w:top w:w="28" w:type="dxa"/>
          <w:left w:w="28" w:type="dxa"/>
          <w:bottom w:w="28" w:type="dxa"/>
          <w:right w:w="28" w:type="dxa"/>
        </w:tblCellMar>
      </w:tblPr>
      <w:tblGrid>
        <w:gridCol w:w="1119"/>
        <w:gridCol w:w="983"/>
        <w:gridCol w:w="988"/>
        <w:gridCol w:w="109"/>
        <w:gridCol w:w="109"/>
        <w:gridCol w:w="109"/>
        <w:gridCol w:w="258"/>
        <w:gridCol w:w="462"/>
        <w:gridCol w:w="469"/>
        <w:gridCol w:w="109"/>
        <w:gridCol w:w="109"/>
        <w:gridCol w:w="109"/>
        <w:gridCol w:w="258"/>
        <w:gridCol w:w="387"/>
        <w:gridCol w:w="394"/>
        <w:gridCol w:w="109"/>
        <w:gridCol w:w="109"/>
        <w:gridCol w:w="109"/>
        <w:gridCol w:w="560"/>
        <w:gridCol w:w="402"/>
        <w:gridCol w:w="574"/>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1,267,537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1,009,565</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88,040</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Deferred tax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Tangible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861,852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921,525</w:t>
            </w:r>
          </w:p>
        </w:tc>
      </w:tr>
      <w:tr>
        <w:trPr/>
        <w:tc>
          <w:tcPr>
            <w:tcW w:w="30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Annualized Operating Return on Equity</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annualized operating return on equity to annualized return on equity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145"/>
        <w:gridCol w:w="937"/>
        <w:gridCol w:w="928"/>
        <w:gridCol w:w="109"/>
        <w:gridCol w:w="109"/>
        <w:gridCol w:w="109"/>
        <w:gridCol w:w="211"/>
        <w:gridCol w:w="991"/>
        <w:gridCol w:w="301"/>
        <w:gridCol w:w="109"/>
        <w:gridCol w:w="109"/>
        <w:gridCol w:w="109"/>
        <w:gridCol w:w="211"/>
        <w:gridCol w:w="826"/>
        <w:gridCol w:w="271"/>
        <w:gridCol w:w="109"/>
        <w:gridCol w:w="109"/>
        <w:gridCol w:w="109"/>
        <w:gridCol w:w="211"/>
        <w:gridCol w:w="991"/>
        <w:gridCol w:w="301"/>
        <w:gridCol w:w="109"/>
        <w:gridCol w:w="109"/>
        <w:gridCol w:w="109"/>
        <w:gridCol w:w="211"/>
        <w:gridCol w:w="826"/>
        <w:gridCol w:w="271"/>
        <w:gridCol w:w="109"/>
        <w:gridCol w:w="156"/>
      </w:tblGrid>
      <w:tr>
        <w:trPr/>
        <w:tc>
          <w:tcPr>
            <w:tcW w:w="114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annualized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236,792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232,182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average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1,246,210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1,138,551</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846,957 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Annualized operating return 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Annualized Return on Tangible Equity</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Annualized return on tangible equity for the three and six months ended June 30, 2026 and 2025 reconciles to annualized return on equity as follows:</w:t>
      </w:r>
    </w:p>
    <w:tbl>
      <w:tblPr>
        <w:tblW w:w="10205" w:type="dxa"/>
        <w:jc w:val="left"/>
        <w:tblInd w:w="0" w:type="dxa"/>
        <w:tblLayout w:type="fixed"/>
        <w:tblCellMar>
          <w:top w:w="28" w:type="dxa"/>
          <w:left w:w="28" w:type="dxa"/>
          <w:bottom w:w="28" w:type="dxa"/>
          <w:right w:w="28" w:type="dxa"/>
        </w:tblCellMar>
      </w:tblPr>
      <w:tblGrid>
        <w:gridCol w:w="1270"/>
        <w:gridCol w:w="1027"/>
        <w:gridCol w:w="1014"/>
        <w:gridCol w:w="109"/>
        <w:gridCol w:w="109"/>
        <w:gridCol w:w="109"/>
        <w:gridCol w:w="211"/>
        <w:gridCol w:w="841"/>
        <w:gridCol w:w="301"/>
        <w:gridCol w:w="109"/>
        <w:gridCol w:w="109"/>
        <w:gridCol w:w="109"/>
        <w:gridCol w:w="211"/>
        <w:gridCol w:w="826"/>
        <w:gridCol w:w="271"/>
        <w:gridCol w:w="109"/>
        <w:gridCol w:w="109"/>
        <w:gridCol w:w="109"/>
        <w:gridCol w:w="211"/>
        <w:gridCol w:w="841"/>
        <w:gridCol w:w="301"/>
        <w:gridCol w:w="109"/>
        <w:gridCol w:w="109"/>
        <w:gridCol w:w="109"/>
        <w:gridCol w:w="211"/>
        <w:gridCol w:w="826"/>
        <w:gridCol w:w="271"/>
        <w:gridCol w:w="109"/>
        <w:gridCol w:w="155"/>
      </w:tblGrid>
      <w:tr>
        <w:trPr/>
        <w:tc>
          <w:tcPr>
            <w:tcW w:w="127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annualized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196,152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197,538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average tangible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839,460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891,689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Annualized return on tangible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Annualized Operating Return on Tangible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Annualized operating return on tangible equity for the three and six months ended June 30, 2026 and 2025 reconciles to annualized return on equity as follows:</w:t>
      </w:r>
    </w:p>
    <w:tbl>
      <w:tblPr>
        <w:tblW w:w="10205" w:type="dxa"/>
        <w:jc w:val="left"/>
        <w:tblInd w:w="0" w:type="dxa"/>
        <w:tblLayout w:type="fixed"/>
        <w:tblCellMar>
          <w:top w:w="28" w:type="dxa"/>
          <w:left w:w="28" w:type="dxa"/>
          <w:bottom w:w="28" w:type="dxa"/>
          <w:right w:w="28" w:type="dxa"/>
        </w:tblCellMar>
      </w:tblPr>
      <w:tblGrid>
        <w:gridCol w:w="1270"/>
        <w:gridCol w:w="1027"/>
        <w:gridCol w:w="1014"/>
        <w:gridCol w:w="109"/>
        <w:gridCol w:w="109"/>
        <w:gridCol w:w="109"/>
        <w:gridCol w:w="211"/>
        <w:gridCol w:w="841"/>
        <w:gridCol w:w="301"/>
        <w:gridCol w:w="109"/>
        <w:gridCol w:w="109"/>
        <w:gridCol w:w="109"/>
        <w:gridCol w:w="211"/>
        <w:gridCol w:w="826"/>
        <w:gridCol w:w="271"/>
        <w:gridCol w:w="109"/>
        <w:gridCol w:w="109"/>
        <w:gridCol w:w="109"/>
        <w:gridCol w:w="211"/>
        <w:gridCol w:w="841"/>
        <w:gridCol w:w="301"/>
        <w:gridCol w:w="109"/>
        <w:gridCol w:w="109"/>
        <w:gridCol w:w="109"/>
        <w:gridCol w:w="211"/>
        <w:gridCol w:w="826"/>
        <w:gridCol w:w="271"/>
        <w:gridCol w:w="109"/>
        <w:gridCol w:w="155"/>
      </w:tblGrid>
      <w:tr>
        <w:trPr/>
        <w:tc>
          <w:tcPr>
            <w:tcW w:w="127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annualized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236,792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232,182</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average tangible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839,460</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891,689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758,886 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Annualized operating return on tangible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the first quarter of 2026, we reported our results under two operating segments: the Skyward Specialty segment and the Apollo segment. The Skyward Specialty segment represents our U.S. based specialty insurance operations conducted under the Skyward Specialty brand and the Apollo segment represents Apollo’s U.K. based operations, including its managed Lloyd’s syndicates and managing agency activities.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revised segment structure reflects the Company’s organizational alignment under Skyward Group, and enhances the transparency of the distinct operating environments, regulatory frameworks, and market dynamics in which the Company operates. Our segments each have managers who are responsible for the overall profitability of their respective segments and who are directly accountable to our chief operating decision makers. The Chief Executive Officer is the Company’s chief operating decision maker. They do not assess performance, measure return on equity or make resource allocation decisions on a line of business basis. Management measures segment performance for our two underwriting segments based on underwriting income or loss. We do not manage our assets by segment, with the exception of goodwill and intangible assets, and investment income and corporate expenses are not allocated to each underwriting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determined our reportable segments using the management approach described in accounting guidance regarding disclosures about segments of an enterprise and related information. The accounting policies of the segments are the same as those used for the preparation of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Skyward Specialty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Skyward Specialty segment is organized into nine distinct underwriting divisions each of which has dedicated underwriting leadership supported by high-quality technical staff with deep experience in their respective niches. We believe this structure and expertise allow us to serve the needs of our customers effectively and be a value-add partner to our distributors, while earning attractive risk-adjusted returns. During the first quarter of 2026, we updated our underwriting divisions to align with how management currently oversees the business, allocates resources and evaluates operating performance. Our Credit unit is now included in the Surety unit and has been renamed Credit &amp; Surety and Agriculture and Credit (Re)insurance has been renamed Global Agriculture. The Construction &amp; Energy Solutions division is now the Energy Solutions division. Lastly, business that we are no longer writing is reported in exited business. Prior reporting periods have been conformed to reflect the new presentation.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Underwriting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Premiums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Skyward Specialty segment’s gross written premiums by underwriting division, net written premiums and net earned premiums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30"/>
        <w:gridCol w:w="1406"/>
        <w:gridCol w:w="1399"/>
        <w:gridCol w:w="109"/>
        <w:gridCol w:w="109"/>
        <w:gridCol w:w="109"/>
        <w:gridCol w:w="211"/>
        <w:gridCol w:w="841"/>
        <w:gridCol w:w="109"/>
        <w:gridCol w:w="109"/>
        <w:gridCol w:w="109"/>
        <w:gridCol w:w="109"/>
        <w:gridCol w:w="211"/>
        <w:gridCol w:w="826"/>
        <w:gridCol w:w="109"/>
        <w:gridCol w:w="109"/>
        <w:gridCol w:w="109"/>
        <w:gridCol w:w="109"/>
        <w:gridCol w:w="211"/>
        <w:gridCol w:w="721"/>
        <w:gridCol w:w="109"/>
        <w:gridCol w:w="109"/>
        <w:gridCol w:w="109"/>
        <w:gridCol w:w="109"/>
        <w:gridCol w:w="263"/>
        <w:gridCol w:w="263"/>
        <w:gridCol w:w="588"/>
      </w:tblGrid>
      <w:tr>
        <w:trPr/>
        <w:tc>
          <w:tcPr>
            <w:tcW w:w="163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&amp; Surety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Agriculture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111,939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Transactional E&amp;S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continuing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667,919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Skyward Specialty segment gross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667,773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426,967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378,346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596"/>
        <w:gridCol w:w="1371"/>
        <w:gridCol w:w="1362"/>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63"/>
        <w:gridCol w:w="263"/>
        <w:gridCol w:w="589"/>
      </w:tblGrid>
      <w:tr>
        <w:trPr/>
        <w:tc>
          <w:tcPr>
            <w:tcW w:w="159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4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187,465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&amp; Surety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Agriculture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214,291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Lines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206,208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Transactional E&amp;S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102,360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continuing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1,248,810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Exited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Skyward Specialty segment gross written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1,249,577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second quarter and first half of 2026, the 14.1% and 11.7% increases in gross written premiums for continuing business, when compared to the same 2025 period, were primarily driven by new business in our global agriculture, accident &amp; health, specialty programs, and credit &amp; surety divisions. Partially offsetting the growth were decreases in the (i) energy solutions and captives divisions due to non-renewing business, and (ii) global property division due to increased competition in the property market and decreases in rates.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written premiums for the second quarter of 2026 were $427.0 million compared to $339.2 million for the same 2025 period, an increase of $87.8 million or 25.9%. Net written premiums for the first half of 2026 were $798.0 million compared to $682.5 million for the same 2025 period, an increase of $115.5 million or 16.9%. The increases in net written premiums was primarily driven by the same reasons that drove the increases in gross written premiums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earned premiums for the second quarter of 2026 were $378.3 million compared to $295.5 million for the same 2025 period, an increase of $82.8 million or 28.0%. Net earned premiums for the first half of 2026 were $742.3 million compared to $595.9 million for the same 2025 period, an increase of $146.4 million or 24.6%. The increases in net earned premiums was primarily driven by the same reasons that drove the increases in gross written premiums discussed above.</w:t>
      </w:r>
    </w:p>
    <w:p>
      <w:pPr>
        <w:pStyle w:val="TextBody"/>
        <w:bidi w:val="0"/>
        <w:spacing w:lineRule="auto" w:line="288" w:before="0" w:after="120"/>
        <w:ind w:left="0" w:right="0" w:firstLine="360"/>
        <w:jc w:val="both"/>
        <w:rPr/>
      </w:pPr>
      <w:r>
        <w:rPr>
          <w:rFonts w:ascii="Times New Roman;serif" w:hAnsi="Times New Roman;serif"/>
          <w:b w:val="false"/>
          <w:color w:val="000000"/>
          <w:sz w:val="20"/>
        </w:rPr>
        <w:t>For additional information regarding our reinsurance programs, see the “Reinsurance” discussion included in this Item 2</w:t>
      </w:r>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Combined Ratio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components of the Skyward Specialty segment’s combined ratios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06" w:type="dxa"/>
        <w:jc w:val="left"/>
        <w:tblInd w:w="0" w:type="dxa"/>
        <w:tblLayout w:type="fixed"/>
        <w:tblCellMar>
          <w:top w:w="28" w:type="dxa"/>
          <w:left w:w="28" w:type="dxa"/>
          <w:bottom w:w="28" w:type="dxa"/>
          <w:right w:w="28" w:type="dxa"/>
        </w:tblCellMar>
      </w:tblPr>
      <w:tblGrid>
        <w:gridCol w:w="1503"/>
        <w:gridCol w:w="1321"/>
        <w:gridCol w:w="1330"/>
        <w:gridCol w:w="109"/>
        <w:gridCol w:w="109"/>
        <w:gridCol w:w="109"/>
        <w:gridCol w:w="211"/>
        <w:gridCol w:w="841"/>
        <w:gridCol w:w="109"/>
        <w:gridCol w:w="109"/>
        <w:gridCol w:w="109"/>
        <w:gridCol w:w="109"/>
        <w:gridCol w:w="233"/>
        <w:gridCol w:w="233"/>
        <w:gridCol w:w="583"/>
        <w:gridCol w:w="109"/>
        <w:gridCol w:w="109"/>
        <w:gridCol w:w="109"/>
        <w:gridCol w:w="211"/>
        <w:gridCol w:w="826"/>
        <w:gridCol w:w="109"/>
        <w:gridCol w:w="109"/>
        <w:gridCol w:w="109"/>
        <w:gridCol w:w="109"/>
        <w:gridCol w:w="233"/>
        <w:gridCol w:w="233"/>
        <w:gridCol w:w="622"/>
      </w:tblGrid>
      <w:tr>
        <w:trPr/>
        <w:tc>
          <w:tcPr>
            <w:tcW w:w="150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of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Earned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Earned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Premiums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1"/>
              <w:jc w:val="both"/>
              <w:rPr>
                <w:rFonts w:ascii="Times New Roman;serif" w:hAnsi="Times New Roman;serif"/>
                <w:b w:val="false"/>
                <w:color w:val="000000"/>
                <w:sz w:val="20"/>
              </w:rPr>
            </w:pPr>
            <w:r>
              <w:rPr>
                <w:rFonts w:ascii="Times New Roman;serif" w:hAnsi="Times New Roman;serif"/>
                <w:b w:val="false"/>
                <w:color w:val="000000"/>
                <w:sz w:val="20"/>
              </w:rPr>
              <w:t>Non-cat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61.3</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0"/>
              </w:rPr>
              <w:t>Cat loss and LAE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62.6</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94,131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commission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24.3</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86.9</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90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Current accident year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72"/>
        <w:gridCol w:w="1279"/>
        <w:gridCol w:w="1288"/>
        <w:gridCol w:w="109"/>
        <w:gridCol w:w="109"/>
        <w:gridCol w:w="109"/>
        <w:gridCol w:w="211"/>
        <w:gridCol w:w="841"/>
        <w:gridCol w:w="109"/>
        <w:gridCol w:w="109"/>
        <w:gridCol w:w="109"/>
        <w:gridCol w:w="109"/>
        <w:gridCol w:w="233"/>
        <w:gridCol w:w="233"/>
        <w:gridCol w:w="580"/>
        <w:gridCol w:w="109"/>
        <w:gridCol w:w="109"/>
        <w:gridCol w:w="109"/>
        <w:gridCol w:w="211"/>
        <w:gridCol w:w="826"/>
        <w:gridCol w:w="109"/>
        <w:gridCol w:w="109"/>
        <w:gridCol w:w="109"/>
        <w:gridCol w:w="109"/>
        <w:gridCol w:w="233"/>
        <w:gridCol w:w="233"/>
        <w:gridCol w:w="556"/>
        <w:gridCol w:w="109"/>
        <w:gridCol w:w="109"/>
        <w:gridCol w:w="109"/>
        <w:gridCol w:w="156"/>
      </w:tblGrid>
      <w:tr>
        <w:trPr/>
        <w:tc>
          <w:tcPr>
            <w:tcW w:w="147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483" w:type="dxa"/>
            <w:gridSpan w:val="4"/>
            <w:tcBorders/>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 of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Earned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Net Earned</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Losses and LAE: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88" w:before="0" w:after="1"/>
              <w:jc w:val="both"/>
              <w:rPr>
                <w:rFonts w:ascii="Times New Roman;serif" w:hAnsi="Times New Roman;serif"/>
                <w:b w:val="false"/>
                <w:color w:val="000000"/>
                <w:sz w:val="20"/>
              </w:rPr>
            </w:pPr>
            <w:r>
              <w:rPr>
                <w:rFonts w:ascii="Times New Roman;serif" w:hAnsi="Times New Roman;serif"/>
                <w:b w:val="false"/>
                <w:color w:val="000000"/>
                <w:sz w:val="20"/>
              </w:rPr>
              <w:t>Non-cat loss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452,410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61.0</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88" w:before="0" w:after="120"/>
              <w:jc w:val="both"/>
              <w:rPr/>
            </w:pPr>
            <w:r>
              <w:rPr>
                <w:rFonts w:ascii="Times New Roman;serif" w:hAnsi="Times New Roman;serif"/>
                <w:b w:val="false"/>
                <w:color w:val="000000"/>
                <w:sz w:val="20"/>
              </w:rPr>
              <w:t>Cat loss and LAE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465,198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policy acquisition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and general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11.7</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acquisition and insurance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191,094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commission and 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187,233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w:t>
            </w:r>
          </w:p>
        </w:tc>
        <w:tc>
          <w:tcPr>
            <w:tcW w:w="5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87.9</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40"/>
              <w:jc w:val="both"/>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Current accident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loss ratios for the second quarter and first half of 2026 increased 1.3 points and 0.8 points, respectively, when compared to the same 2025 periods. Catastrophe losses in the second quarter and first half of 2026 were primarily due to convective storms, while catastrophe losses in the same 2025 periods were driven by convective storms in the South and Midwest and the California wildfires. The first half of 2026 was also impacted by winter storms. In addition, the increases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the non-cat loss and LAE ratios, when compared to the same 2025 periods, were due to shifts in business mix, primarily from growth in the accident &amp; health and global agriculture divisions, both of which generally have higher loss ratios.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ratios for the second quarter and first half of 2026 improved 2.7 points and 1.7 points, respectively, when compared to the same 2025 periods, primarily driven by business mix shift, enhanced operating efficiencies, and scale benefits as net earned premiums outpaced expense growth.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ratios for all periods presented exclude the impact of corporate expenses which is presented separately in the combined group’s expense ratio. It also excludes IPO and management incentive plan related stock compensation, which are reported in other expenses in our condensed consolidated statements of operations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Apollo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Apollo segment operates within the Lloyd’s of London market, leveraging Lloyd’s global licensing, centralized underwriting infrastructure, and long</w:t>
        <w:noBreakHyphen/>
        <w:t>standing distribution networks to access innovative specialty classes across international markets.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Syndicate 1969 – Lloyd’s Specialist Syndicate (“Syndicate 1969”): </w:t>
      </w:r>
      <w:r>
        <w:rPr>
          <w:rFonts w:ascii="Times New Roman;serif" w:hAnsi="Times New Roman;serif"/>
          <w:b w:val="false"/>
          <w:color w:val="000000"/>
          <w:sz w:val="20"/>
        </w:rPr>
        <w:t>Syndicate 1969 is a diversified, multi</w:t>
        <w:noBreakHyphen/>
        <w:t>class specialty underwriting syndicate. Apollo underwrites a broad portfolio of traditional specialty lines, including property, casualty, marine, energy &amp; transport, and a variety of other specialty classes. The syndicate’s business mix is designed around disciplined risk selection, class</w:t>
        <w:noBreakHyphen/>
        <w:t>specific underwriting teams, and a balanced mix of short</w:t>
        <w:noBreakHyphen/>
        <w:t xml:space="preserve"> and medium</w:t>
        <w:noBreakHyphen/>
        <w:t xml:space="preserve">tail exposures. </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Syndicate 1971 – Digital Economy Syndicate (“Syndicate 1971”): </w:t>
      </w:r>
      <w:r>
        <w:rPr>
          <w:rFonts w:ascii="Times New Roman;serif" w:hAnsi="Times New Roman;serif"/>
          <w:b w:val="false"/>
          <w:color w:val="000000"/>
          <w:sz w:val="20"/>
        </w:rPr>
        <w:t>Syndicate 1971 is a digital</w:t>
        <w:noBreakHyphen/>
        <w:t>economy and innovation</w:t>
        <w:noBreakHyphen/>
        <w:t>focused underwriting syndicate designed to support clients operating in the new economy, including technology</w:t>
        <w:noBreakHyphen/>
        <w:t>enabled platforms, autonomous mobility enterprises, human logistics operators, and other emerging, data</w:t>
        <w:noBreakHyphen/>
        <w:t>driven business models. Underwriting emphasizes data rich partnerships, bespoke coverage structures, and advanced analytical tools that inform pricing and risk assessment. The product suite includes liability coverages tailored for platform</w:t>
        <w:noBreakHyphen/>
        <w:t>based models, autonomous vehicle ecosystems, electrification transitions, and related next</w:t>
        <w:noBreakHyphen/>
        <w:t>generation exposures. The syndicate also partners with clients on ongoing data sharing, enabling enhanced portfolio insights and continuous refinement of underwriting models.</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Syndicate 1972 – Reshare (“Syndicate 1972”): </w:t>
      </w:r>
      <w:r>
        <w:rPr>
          <w:rFonts w:ascii="Times New Roman;serif" w:hAnsi="Times New Roman;serif"/>
          <w:b w:val="false"/>
          <w:color w:val="000000"/>
          <w:sz w:val="20"/>
        </w:rPr>
        <w:t>Syndicate 1972 commenced underwriting in 2026 and operates as a dedicated quota</w:t>
        <w:noBreakHyphen/>
        <w:t>share reinsurance vehicle supporting Apollo’s broader underwriting platform. The syndicate provides proportional reinsurance capacity primarily to Syndicates 1969 and 1971, enabling efficient capital deployment, portfolio optimization, and risk diversification across the Apollo segment.</w:t>
      </w:r>
    </w:p>
    <w:p>
      <w:pPr>
        <w:pStyle w:val="TextBody"/>
        <w:bidi w:val="0"/>
        <w:spacing w:lineRule="auto" w:line="288" w:before="0" w:after="120"/>
        <w:ind w:left="0" w:right="0" w:firstLine="360"/>
        <w:jc w:val="both"/>
        <w:rPr/>
      </w:pPr>
      <w:r>
        <w:rPr>
          <w:rFonts w:ascii="Times New Roman;serif" w:hAnsi="Times New Roman;serif"/>
          <w:b/>
          <w:i/>
          <w:color w:val="000000"/>
          <w:sz w:val="20"/>
        </w:rPr>
        <w:t xml:space="preserve">Managed Premiums: </w:t>
      </w:r>
      <w:r>
        <w:rPr>
          <w:rFonts w:ascii="Times New Roman;serif" w:hAnsi="Times New Roman;serif"/>
          <w:b w:val="false"/>
          <w:color w:val="000000"/>
          <w:sz w:val="20"/>
        </w:rPr>
        <w:t>In addition to its own underwriting syndicates, Apollo operates a managing</w:t>
        <w:noBreakHyphen/>
        <w:t>agency platform, administering several third</w:t>
        <w:noBreakHyphen/>
        <w:t>party syndicates on behalf of external capital providers. Through this structure, Apollo delivers managing agency services, including oversight, compliance, performance monitoring, and operational support. These arrangements allow Apollo to expand its access to innovative and emerging specialty products while generating fee based income.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U.K. and Lloyd’s of London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U.K., under the Financial Services and Markets Act 2000 (“FSMA”), no person may carry on a regulated activity unless authorized or exempt. Effecting or intermediating contracts of insurance or reinsurance are regulated activities requiring authorization. Effecting contracts of insurance requires authorization by the Prudential Regulation Authority (“PRA”) and is regulated by the Financial Conduct Authority (“FCA”). Intermediating contracts of insurance requires authorization by the FCA.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Financial Services Act 2012, the FCA is a conduct regulator for all U.K. firms carrying on regulated activity in the U.K. while the PRA is the prudential regulator for U.K. banks, building societies, credit unions, insurers and major investment firms. As a prudential regulator, the PRA’s general objective is to promote the safety and soundness of the firms it regulates. The PRA rules require financial firms to hold sufficient capital and have adequate risk controls in place.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FCA’s statutory strategic objective is to ensure that relevant markets function well and have operational objectives to protect consumers and protect financial markets and to promote competition. It makes rules covering how the firm must be managed and requirements relating to the firm’s systems and controls, how business must be conducted and the firm’s arrangements to manage financial crime risk. The PRA and the FCA require regular and ad hoc reporting and monitor compliance with their respective rule books through a variety of means including the collection of data, industry reviews and site visits.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Lloyd’s is a society of corporate and individual members that underwrite insurance and reinsurance as members of syndicates. A syndicate is made up of one or more members that form a group to accept insurance and reinsurance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Each syndicate is managed by a managing agent that writes insurance business on behalf of the members of the syndicate. Syndicate members receive profits or bear losses in proportion to their respective shares in the syndicate for each underwriting year of account.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Lloyd’s is subject to U.K. law and is authorized under the FSMA. The Lloyd’s Act 1982 defines the governance structure and rules under which the society operates. Under the Lloyd’s Act 1982, the Council of Lloyd’s is responsible for managing, supervising and supporting the Lloyd’s market. Lloyd’s agrees to syndicates’ business plans and evaluates performance against those plans. Syndicates are required to underwrite only in accordance with their agreed business plans. If they fail to do so, Lloyd’s can take a range of actions including, as a last resort, prohibiting a syndicate from underwriting.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Lloyd’s has a global network of licenses and authorizations, and underwriters at Lloyd’s may write business in countries where Lloyd’s has authorized status or exemptions available to non-admitted insurers or reinsurers. Lloyd’s licenses can only be used if the Syndicate Business Forecast, agreed annually with Lloyd’s, names those countries. Lloyd’s also manages and protects the Lloyd’s network of international licenses, monitors syndicates’ compliance with Lloyd’s Principles for doing business and is responsible for setting both member and central capital levels.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Apollo Group Holdings Limited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Apollo Group Holdings Limited, (“Apollo”) through its subsidiary ASML, is authorized and regulated by the PRA and regulated by the FCA to conduct insurance and reinsurance business. ASML is a Lloyd’s managing agent authorized by Lloyd’s to manage approved Lloyd’s syndicates. </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Bermuda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Bermuda Limited (“ABL”) is licensed in Bermuda as a Class 3A commercial insurer with the provisions of the Bermuda Insurance Act 1978 (the “Insurance Act”). ABL is a wholly owned subsidiary of Apollo. The principal activity of ABL is underwriting an affiliated quote share of Apollo 16 Limited, a corporate member supporting the underwriting capital for Syndicate 1969 and Syndicate 1971.</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Insurance Act provides that no person shall carry on any insurance or reinsurance business in or from within Bermuda unless registered as an insurer by the Bermuda Monetary Authority (“BMA”) under the Insurance Act. The Insurance Act imposes upon Bermuda insurance companies, among other things, solvency and liquidity standards, auditing and reporting requirements, and grants the BMA powers to supervise, investigate, require information and demand the production of documents and intervene in the affairs of insurance companies.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ABL must comply with all requirements pertaining to Class 3A insurers, which includes, among other things: the appointment of a loss reserve specialist and an independent auditor, maintaining a principal office in Bermuda and the appointment of a principal representative in Bermuda, the filing of annual Statutory Financial Returns together with annual GAAP financial statements and an annual Capital and Solvency Return, compliance with minimum and enhanced capital requirements, together with certain restrictions on reductions of capital and the payment of dividends and distributions as well as group solvency and supervision rules, if applicable, and compliance with the Insurance Code of Conduct.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Underwriting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Select Apollo metrics for the second quarter and first half of 2025 are presented on a pro forma basis for comparative purposes only and are not necessarily indicative of the operating results that Skyward Group would have recognized had the acquisition actually been completed on January 1, 2025. Pro forma information is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Premiums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gross written premiums by underwriting division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173"/>
        <w:gridCol w:w="1012"/>
        <w:gridCol w:w="1017"/>
        <w:gridCol w:w="142"/>
        <w:gridCol w:w="142"/>
        <w:gridCol w:w="142"/>
        <w:gridCol w:w="276"/>
        <w:gridCol w:w="964"/>
        <w:gridCol w:w="142"/>
        <w:gridCol w:w="142"/>
        <w:gridCol w:w="142"/>
        <w:gridCol w:w="142"/>
        <w:gridCol w:w="276"/>
        <w:gridCol w:w="945"/>
        <w:gridCol w:w="142"/>
        <w:gridCol w:w="142"/>
        <w:gridCol w:w="142"/>
        <w:gridCol w:w="142"/>
        <w:gridCol w:w="276"/>
        <w:gridCol w:w="807"/>
        <w:gridCol w:w="142"/>
        <w:gridCol w:w="142"/>
        <w:gridCol w:w="142"/>
        <w:gridCol w:w="142"/>
        <w:gridCol w:w="275"/>
        <w:gridCol w:w="276"/>
        <w:gridCol w:w="778"/>
      </w:tblGrid>
      <w:tr>
        <w:trPr/>
        <w:tc>
          <w:tcPr>
            <w:tcW w:w="1173"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3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59,431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13,350</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written premiums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72,781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58,649</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66,126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Prior year information is pro forma and is adjusted for the impact of the change in participations. See Reconciliation of Non-GAAP Financial Measures.</w:t>
            </w:r>
          </w:p>
        </w:tc>
      </w:tr>
      <w:tr>
        <w:trPr/>
        <w:tc>
          <w:tcPr>
            <w:tcW w:w="32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113"/>
        <w:gridCol w:w="958"/>
        <w:gridCol w:w="963"/>
        <w:gridCol w:w="136"/>
        <w:gridCol w:w="136"/>
        <w:gridCol w:w="136"/>
        <w:gridCol w:w="264"/>
        <w:gridCol w:w="1056"/>
        <w:gridCol w:w="136"/>
        <w:gridCol w:w="136"/>
        <w:gridCol w:w="136"/>
        <w:gridCol w:w="136"/>
        <w:gridCol w:w="264"/>
        <w:gridCol w:w="1038"/>
        <w:gridCol w:w="136"/>
        <w:gridCol w:w="136"/>
        <w:gridCol w:w="136"/>
        <w:gridCol w:w="136"/>
        <w:gridCol w:w="264"/>
        <w:gridCol w:w="906"/>
        <w:gridCol w:w="136"/>
        <w:gridCol w:w="136"/>
        <w:gridCol w:w="136"/>
        <w:gridCol w:w="136"/>
        <w:gridCol w:w="292"/>
        <w:gridCol w:w="292"/>
        <w:gridCol w:w="755"/>
      </w:tblGrid>
      <w:tr>
        <w:trPr/>
        <w:tc>
          <w:tcPr>
            <w:tcW w:w="111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1969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124,439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99,059 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Syndicate 1971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34,242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gross written premiums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158,681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120,503</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136,190</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Prior year information is pro forma and is adjusted for the impact of the change in participations. See Reconciliation of Non-GAAP Financial Measures.</w:t>
            </w:r>
          </w:p>
        </w:tc>
      </w:tr>
      <w:tr>
        <w:trPr/>
        <w:tc>
          <w:tcPr>
            <w:tcW w:w="30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written premiums for the second quarter and first half of 2026 increased $3.8 million and $30.5 million, or 5.6% and 23.8%, respectively, compared to the same adjusted pro forma 2025 periods. The increases were primarily driven by growth in Syndicate 1969, which benefited from new business and expansion across select specialty 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Combined Ratio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Apollo segment’s combined ratio for the three and six months ended June 30, 2026 was 97.6% and 91.3%, respectively. Total non-cat losses and LAE for the three and six months ended June 30, 2026 were $39.8 million and $76.8 million, or 60.1% and 56.4%, respectively. Cat losses and LAE for the three and six months ended June 30, 2026 were $3.6 million for each period, or 5.4% and 2.6%, respectively, primarily due to the conflict in the Middle East. Total underwriting, acquisition and insurance expenses for the three and six months ended June 30, 2026 were $24.8 million and $47.5 million, or 37.5% and 34.9%, respectively. Net policy acquisition expenses were $18.2 million and $26.8 million, or 27.6% and 19.7%, respectively, and other operating and general expenses were $6.6 million and $20.7 million, or 9.9% and 15.2%,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Managed Premiums and Underwriting Fee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Apollo provides managing agency services to nine syndicates within its Lloyd’s managing agency platform. The capital aligned syndicates, Syndicate 1969, Syndicate 1971 and Syndicate 1972, are wholly managed and partly capitalized by Apollo’s Lloyd’s capital member Apollo No. 16. Platform Partner syndicates are managed by Apollo on behalf of third</w:t>
        <w:noBreakHyphen/>
        <w:t>party partners and Apollo does not currently provide capital for underwriting of these syndicates. Apollo receives managing agency fees and performance</w:t>
        <w:noBreakHyphen/>
        <w:t>based income for their managing agency services from all syndicates on its Lloyd's platform. For the three and six months ended June 30, 2026, underwriting fee income was $12.6 million and $22.7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fee generating gross written premiums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263"/>
        <w:gridCol w:w="1087"/>
        <w:gridCol w:w="1089"/>
        <w:gridCol w:w="109"/>
        <w:gridCol w:w="109"/>
        <w:gridCol w:w="109"/>
        <w:gridCol w:w="435"/>
        <w:gridCol w:w="393"/>
        <w:gridCol w:w="394"/>
        <w:gridCol w:w="216"/>
        <w:gridCol w:w="216"/>
        <w:gridCol w:w="216"/>
        <w:gridCol w:w="443"/>
        <w:gridCol w:w="393"/>
        <w:gridCol w:w="394"/>
        <w:gridCol w:w="109"/>
        <w:gridCol w:w="109"/>
        <w:gridCol w:w="109"/>
        <w:gridCol w:w="393"/>
        <w:gridCol w:w="393"/>
        <w:gridCol w:w="394"/>
        <w:gridCol w:w="195"/>
        <w:gridCol w:w="195"/>
        <w:gridCol w:w="195"/>
        <w:gridCol w:w="400"/>
        <w:gridCol w:w="344"/>
        <w:gridCol w:w="503"/>
      </w:tblGrid>
      <w:tr>
        <w:trPr/>
        <w:tc>
          <w:tcPr>
            <w:tcW w:w="126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2025</w:t>
            </w:r>
            <w:r>
              <w:rPr>
                <w:rFonts w:ascii="Times New Roman;serif" w:hAnsi="Times New Roman;serif"/>
                <w:b w:val="false"/>
                <w:color w:val="000000"/>
                <w:sz w:val="13"/>
              </w:rPr>
              <w:t>(1)</w:t>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Aligned Syndicates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217,196</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427,745</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347,630</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 Syndicates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100,925</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190,381</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114,173</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 generating gross written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318,121</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618,126</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461,803</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0"/>
              </w:rPr>
              <w:t xml:space="preserve">(1) </w:t>
            </w:r>
            <w:r>
              <w:rPr>
                <w:rFonts w:ascii="Times New Roman;serif" w:hAnsi="Times New Roman;serif"/>
                <w:b w:val="false"/>
                <w:i/>
                <w:color w:val="000000"/>
                <w:sz w:val="16"/>
              </w:rPr>
              <w:t>Prior year information is pro forma and is adjusted for the impact of the change in participations. See Reconciliation of Non-GAAP Financial Measures.</w:t>
            </w:r>
          </w:p>
        </w:tc>
      </w:tr>
      <w:tr>
        <w:trPr/>
        <w:tc>
          <w:tcPr>
            <w:tcW w:w="34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pPr>
      <w:r>
        <w:rPr>
          <w:rFonts w:ascii="Times New Roman;serif" w:hAnsi="Times New Roman;serif"/>
          <w:b w:val="false"/>
          <w:color w:val="000000"/>
          <w:sz w:val="20"/>
        </w:rPr>
        <w:t>Total fee generating gross written premiums for the three and six months ended June 30, 2026 increased 28.8% and 33.9%, respectively, compared to the same pro forma 2025 periods, primarily driven by the addition of a new partner syndicate and organic growth</w:t>
      </w:r>
      <w:r>
        <w:rPr>
          <w:color w:val="000000"/>
        </w:rPr>
        <w:t xml:space="preserve"> </w:t>
      </w:r>
      <w:r>
        <w:rPr>
          <w:rFonts w:ascii="Times New Roman;serif" w:hAnsi="Times New Roman;serif"/>
          <w:b w:val="false"/>
          <w:color w:val="000000"/>
          <w:sz w:val="20"/>
        </w:rPr>
        <w:t>across both aligned and partner syndicates.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Composition of Investment Portfolio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2026, we revised the presentation of our investment portfolio to (i) report short-term investments separately from cash and cash equivalents following the closing of the Apollo acquisition, and (ii) include equities in alternative &amp; strategic investments after the sale of the majority of the equity portfolio in 2025. The prior year period has been recast to reflect this change.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investment portfolio at carrying value at June 30, 2026 and December 31, 2025:</w:t>
      </w:r>
    </w:p>
    <w:tbl>
      <w:tblPr>
        <w:tblW w:w="9545" w:type="dxa"/>
        <w:jc w:val="center"/>
        <w:tblInd w:w="0" w:type="dxa"/>
        <w:tblLayout w:type="fixed"/>
        <w:tblCellMar>
          <w:top w:w="28" w:type="dxa"/>
          <w:left w:w="28" w:type="dxa"/>
          <w:bottom w:w="28" w:type="dxa"/>
          <w:right w:w="28" w:type="dxa"/>
        </w:tblCellMar>
      </w:tblPr>
      <w:tblGrid>
        <w:gridCol w:w="1135"/>
        <w:gridCol w:w="998"/>
        <w:gridCol w:w="1002"/>
        <w:gridCol w:w="109"/>
        <w:gridCol w:w="109"/>
        <w:gridCol w:w="109"/>
        <w:gridCol w:w="217"/>
        <w:gridCol w:w="1021"/>
        <w:gridCol w:w="112"/>
        <w:gridCol w:w="109"/>
        <w:gridCol w:w="109"/>
        <w:gridCol w:w="109"/>
        <w:gridCol w:w="315"/>
        <w:gridCol w:w="316"/>
        <w:gridCol w:w="559"/>
        <w:gridCol w:w="109"/>
        <w:gridCol w:w="109"/>
        <w:gridCol w:w="109"/>
        <w:gridCol w:w="219"/>
        <w:gridCol w:w="1017"/>
        <w:gridCol w:w="113"/>
        <w:gridCol w:w="109"/>
        <w:gridCol w:w="109"/>
        <w:gridCol w:w="109"/>
        <w:gridCol w:w="308"/>
        <w:gridCol w:w="308"/>
        <w:gridCol w:w="597"/>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340,851</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w:t>
            </w:r>
            <w:r>
              <w:rPr>
                <w:color w:val="000000"/>
              </w:rPr>
              <w:t>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392,634</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2,201,401</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w:t>
            </w:r>
            <w:r>
              <w:rPr>
                <w:color w:val="000000"/>
              </w:rPr>
              <w:t> </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and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143,212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3,079,239</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2,471,568 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005" w:type="dxa"/>
            <w:gridSpan w:val="21"/>
            <w:tcBorders>
              <w:bottom w:val="single" w:sz="8" w:space="0" w:color="000000"/>
            </w:tcBorders>
            <w:shd w:fill="FFFFFF" w:val="clear"/>
            <w:tcMar>
              <w:top w:w="0" w:type="dxa"/>
              <w:left w:w="0" w:type="dxa"/>
              <w:right w:w="0" w:type="dxa"/>
            </w:tcMar>
            <w:vAlign w:val="center"/>
          </w:tcPr>
          <w:p>
            <w:pPr>
              <w:pStyle w:val="TableContents"/>
              <w:bidi w:val="0"/>
              <w:spacing w:before="0" w:after="0"/>
              <w:jc w:val="left"/>
              <w:rPr/>
            </w:pPr>
            <w:r>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Investment Results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net investment income and net investment gains (losses) for the three and six months ended June 30, 2026 and 2025:</w:t>
      </w:r>
    </w:p>
    <w:tbl>
      <w:tblPr>
        <w:tblW w:w="9945" w:type="dxa"/>
        <w:jc w:val="center"/>
        <w:tblInd w:w="0" w:type="dxa"/>
        <w:tblLayout w:type="fixed"/>
        <w:tblCellMar>
          <w:top w:w="28" w:type="dxa"/>
          <w:left w:w="28" w:type="dxa"/>
          <w:bottom w:w="28" w:type="dxa"/>
          <w:right w:w="28" w:type="dxa"/>
        </w:tblCellMar>
      </w:tblPr>
      <w:tblGrid>
        <w:gridCol w:w="1544"/>
        <w:gridCol w:w="1356"/>
        <w:gridCol w:w="1359"/>
        <w:gridCol w:w="109"/>
        <w:gridCol w:w="109"/>
        <w:gridCol w:w="109"/>
        <w:gridCol w:w="223"/>
        <w:gridCol w:w="779"/>
        <w:gridCol w:w="115"/>
        <w:gridCol w:w="115"/>
        <w:gridCol w:w="115"/>
        <w:gridCol w:w="115"/>
        <w:gridCol w:w="223"/>
        <w:gridCol w:w="763"/>
        <w:gridCol w:w="115"/>
        <w:gridCol w:w="109"/>
        <w:gridCol w:w="109"/>
        <w:gridCol w:w="109"/>
        <w:gridCol w:w="211"/>
        <w:gridCol w:w="736"/>
        <w:gridCol w:w="109"/>
        <w:gridCol w:w="109"/>
        <w:gridCol w:w="109"/>
        <w:gridCol w:w="109"/>
        <w:gridCol w:w="211"/>
        <w:gridCol w:w="721"/>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29,310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34,552</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and strategic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(3,635)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30,727</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securities still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(2,528)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(601)</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45"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investment income for the second quarter and first half of 2026 increased $12.0 million and $19.7 million, respectively when compared to the same 2025 periods, driven by increased income from our fixed income portfolio as a result of the Apollo acquisition, a higher yield and a larger asset base.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alternative and strategic investments portfolio continued to be impacted by the decline in the fair value of limited partnership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During the second quarter 2026, we wrote off $2.0 million on a held-to-maturity security and recognized a recovery of $0.3 million of amounts previously written off for credit losses on an available-for-sale “corporate securities and miscellaneous” security. This brings our total allowance to $8.5 million on three securities, an increase of $1.7 million for the second quarter and $1.0 million for the first half of 2026. Other than the securities discussed previously, we determined that no other credit impairment existed at June 30, 2026. See Note 3, “Investments” to our condensed consolidated financial statements included in Item 1 of this Form 10-Q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Fixed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fixed income portfolio primarily consists of investment grade fixed income securities, which are predominantly highly-rated and liquid bonds, and commercial mortgage loans.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our fixed income securities at June 30, 2026 and December 31, 2025:</w:t>
      </w:r>
    </w:p>
    <w:tbl>
      <w:tblPr>
        <w:tblW w:w="10205" w:type="dxa"/>
        <w:jc w:val="left"/>
        <w:tblInd w:w="0" w:type="dxa"/>
        <w:tblLayout w:type="fixed"/>
        <w:tblCellMar>
          <w:top w:w="28" w:type="dxa"/>
          <w:left w:w="28" w:type="dxa"/>
          <w:bottom w:w="28" w:type="dxa"/>
          <w:right w:w="28" w:type="dxa"/>
        </w:tblCellMar>
      </w:tblPr>
      <w:tblGrid>
        <w:gridCol w:w="1398"/>
        <w:gridCol w:w="1210"/>
        <w:gridCol w:w="1212"/>
        <w:gridCol w:w="109"/>
        <w:gridCol w:w="109"/>
        <w:gridCol w:w="109"/>
        <w:gridCol w:w="216"/>
        <w:gridCol w:w="1019"/>
        <w:gridCol w:w="111"/>
        <w:gridCol w:w="109"/>
        <w:gridCol w:w="109"/>
        <w:gridCol w:w="109"/>
        <w:gridCol w:w="314"/>
        <w:gridCol w:w="317"/>
        <w:gridCol w:w="547"/>
        <w:gridCol w:w="109"/>
        <w:gridCol w:w="109"/>
        <w:gridCol w:w="109"/>
        <w:gridCol w:w="218"/>
        <w:gridCol w:w="1015"/>
        <w:gridCol w:w="112"/>
        <w:gridCol w:w="109"/>
        <w:gridCol w:w="109"/>
        <w:gridCol w:w="109"/>
        <w:gridCol w:w="308"/>
        <w:gridCol w:w="308"/>
        <w:gridCol w:w="592"/>
      </w:tblGrid>
      <w:tr>
        <w:trPr/>
        <w:tc>
          <w:tcPr>
            <w:tcW w:w="139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127,064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2,677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securities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790,807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92,213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445,211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84,624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649,587</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w:t>
            </w:r>
            <w:r>
              <w:rPr>
                <w:color w:val="000000"/>
              </w:rPr>
              <w:t>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portfolio,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2,192,183</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99.5</w:t>
            </w:r>
            <w:r>
              <w:rPr>
                <w:color w:val="000000"/>
              </w:rPr>
              <w:t>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w:t>
            </w:r>
            <w:r>
              <w:rPr>
                <w:color w:val="000000"/>
              </w:rPr>
              <w:t>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2,201,401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credit rating of our available-for-sale fixed income portfolio was “A+” at June 30, 2026 and December 31, 2025. The following table sets forth the credit quality of our available-for-sale fixed income portfolio at June 30, 2026 and December 31, 2025:</w:t>
      </w:r>
    </w:p>
    <w:tbl>
      <w:tblPr>
        <w:tblW w:w="10205" w:type="dxa"/>
        <w:jc w:val="left"/>
        <w:tblInd w:w="0" w:type="dxa"/>
        <w:tblLayout w:type="fixed"/>
        <w:tblCellMar>
          <w:top w:w="28" w:type="dxa"/>
          <w:left w:w="28" w:type="dxa"/>
          <w:bottom w:w="28" w:type="dxa"/>
          <w:right w:w="28" w:type="dxa"/>
        </w:tblCellMar>
      </w:tblPr>
      <w:tblGrid>
        <w:gridCol w:w="1411"/>
        <w:gridCol w:w="1238"/>
        <w:gridCol w:w="1243"/>
        <w:gridCol w:w="109"/>
        <w:gridCol w:w="109"/>
        <w:gridCol w:w="109"/>
        <w:gridCol w:w="211"/>
        <w:gridCol w:w="991"/>
        <w:gridCol w:w="109"/>
        <w:gridCol w:w="109"/>
        <w:gridCol w:w="109"/>
        <w:gridCol w:w="109"/>
        <w:gridCol w:w="315"/>
        <w:gridCol w:w="316"/>
        <w:gridCol w:w="556"/>
        <w:gridCol w:w="109"/>
        <w:gridCol w:w="109"/>
        <w:gridCol w:w="109"/>
        <w:gridCol w:w="211"/>
        <w:gridCol w:w="976"/>
        <w:gridCol w:w="109"/>
        <w:gridCol w:w="109"/>
        <w:gridCol w:w="109"/>
        <w:gridCol w:w="109"/>
        <w:gridCol w:w="307"/>
        <w:gridCol w:w="309"/>
        <w:gridCol w:w="595"/>
      </w:tblGrid>
      <w:tr>
        <w:trPr/>
        <w:tc>
          <w:tcPr>
            <w:tcW w:w="1411"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3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of Total</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305,607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613,374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713,395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w:t>
            </w: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w:t>
            </w: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 and Lower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income portfolio, available-for-sale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2,192,183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mortgage loans are primarily senior loans on real estate across the U.S.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average duration of our fixed income portfolio was approximately 3.85 years and 3.60 years, respectively,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Alternative and strategic investments</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value as asset values are monetized and the income is distributed. Strategic investments consists of equity interests in private entities within the insurance industry.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 Items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and six months ended June 30, 2026 was $8.8 million and $16.5 million, respectively, compared to $1.9 million and $3.7 million, respectively, for the same 2025 periods. The increases were due to additional interest expense related to the Term Loan Facility and Revolving Credit Facility (both are defined in the “Credit Agreements” section below).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Amortization expense</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three and six months ended June 30, 2026 was $8.8 million and $17.7 million, respectively, compared to $0.4 million and $0.7 million, respectively, for the same 2025 periods. The increases were due to the amortization of the value of business acquired (“VOBA”) asset and additional definite-lived intangible assets recognized as a result of the acquisition of Apollo. </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and six months ended June 30, 2026 was $14.5 million and $26.9 million, respectively, compared to $11.0 million and $20.3 million, respectively, for the same 2025 periods. Our effective tax rates for the three and six months ended June 30, 2026 were 22.8% and 21.4%, respectively, compared to 22.0% and 20.1%, respectively, for the same 2025 periods. The increase in the effective tax rate for the three months ended June 30, 2026 was primarily attributable to a reduction in the proportional tax benefit of stock-based compensation as pre-tax income increased. The increase in the effective tax rate for the six months ended June 30, 2026 was primarily attributable to foreign taxes associated with the Apollo acquisition, partially offset by discrete tax benefits, primarily from stock-based compensation. For additional information, see Note 12 of our condensed consolidated financial statements included in Item 1 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Sources and Uses of Funds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most significant source of cash is from premiums received from our insureds, which, for most policies, we receive at the beginning of the coverage period, net of the related commission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reduce volatility and as part of our capital management strategy. We cede, or pay out, part of the premiums we receive to our reinsurers and collect cash back when losses subject to our reinsurance coverage are paid.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made by our holding company to service the credit agreements are provided by our subsidiaries’ operating activities. During the six months ended June 30, 2026, GMIC paid a dividend of $50.0 million to the holding company to redeem a portion of the Tranche A DDTL detailed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flows for the six months ended June 30, 2026 and 2025: </w:t>
      </w:r>
    </w:p>
    <w:tbl>
      <w:tblPr>
        <w:tblW w:w="8039" w:type="dxa"/>
        <w:jc w:val="left"/>
        <w:tblInd w:w="0" w:type="dxa"/>
        <w:tblLayout w:type="fixed"/>
        <w:tblCellMar>
          <w:top w:w="28" w:type="dxa"/>
          <w:left w:w="28" w:type="dxa"/>
          <w:bottom w:w="28" w:type="dxa"/>
          <w:right w:w="28" w:type="dxa"/>
        </w:tblCellMar>
      </w:tblPr>
      <w:tblGrid>
        <w:gridCol w:w="1743"/>
        <w:gridCol w:w="1532"/>
        <w:gridCol w:w="1540"/>
        <w:gridCol w:w="109"/>
        <w:gridCol w:w="109"/>
        <w:gridCol w:w="109"/>
        <w:gridCol w:w="211"/>
        <w:gridCol w:w="841"/>
        <w:gridCol w:w="109"/>
        <w:gridCol w:w="109"/>
        <w:gridCol w:w="109"/>
        <w:gridCol w:w="109"/>
        <w:gridCol w:w="211"/>
        <w:gridCol w:w="826"/>
        <w:gridCol w:w="109"/>
        <w:gridCol w:w="109"/>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provided by (used 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Investing activities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(382,620)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301,862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in 2026 was consistent when compared to 2025 and continued to reflect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net cash used in investing activities in 2026 when compared to 2025 was primarily driven by the cash paid for the acquisition of Apollo and the purchase of fixed maturity securities, partially offset by proceeds from the sales of investment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net cash provided by financing activities in 2026 when compared to 2025 was due to proceeds from the Term Loan Facility and the draw on the Revolving Credit Facility used to fund the Apollo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FHLB Loan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30, 2024, we entered into the FHLB Loan pursuant to the Advances and Security Agreement. The FHLB Loan is a 4.5-year term loan in the principal amount of $57.0 million. The FHLB Loan provides for interest-only payments during its term, with principal due in full at maturity. The interest rate is fixed over the term of the loan at 4.00%. The FHLB Loan is fully secured by a pledge of specific investment securities of HSIC. We used the proceeds to fund redemptions of the draws on the prior credit facility.</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entered into a Term Loan Credit Agreement (the “Term Loan Facility”) with a syndicate of participating banks. The Term Loan Facility includes (a) an unsecured senior delayed draw term loan facility (“DDTL”) in the aggregate principal amount of $150.0 million (the “Tranche A DDTL”) and (b) an additional unsecured senior DDTL in the aggregate principal amount of $150.0 million (the “Tranche B DDTL”) and together with the Tranche A DDTL, the “Term Loan Facility”).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used the Term Loan Facility to fund a portion of the consideration of the acquisition of Apollo and related transaction fees and expenses. Amounts drawn under the Term Loan Facility will bear interest at either term SOFR plus a margin, which will range from 150 basis points to 190 basis points, or the base rate plus a margin, which will range from 50 basis points to 90 basis points, each depending on our debt to capitalization ratio. SOFR is calculated using a SOFR floor of 0.00% and a credit spread adjustment of 0.10%. The base rate is the highest of (i) the Agent’s then-current prime lending rate, (ii) the Federal Funds Rate plus 0.50%, (iii) SOFR plus 1.00% and (iv) zero percent (0%). In addition, we will also pay a fee ranging from 0.20% to 0.35% on average daily undrawn amounts under the Facility, depending on our debt to capitalization ratio. The Tranche A DDTL matures on January 1, 2028 and the Tranche B DDTL matures on July 2, 2029. On December 30, 2025, we drew $150.0 million of the Tranche A DDTL and $150.0 million of the Tranche B DDTL for the acquisition of Apollo on January 1, 2026. On June 26, 2026, the Company repaid $50.0 million of outstanding principal related to the Tranche A DDTL.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includes customary covenants, including certain limitations on the incurrence by us of additional indebtedness exceeding $10.0 million and on our ability to make distributions to our stockholders, or redeem, repurchase or retire shares of stock, upon the occurrence of certain events and certain financial covenants, including financial covenants relating to our minimum consolidated net worth, maximum total debt to capitalization, minimum A.M. Best rating and minimum liquidity, as well as customary events of default. As of June 30, 2026, we were in compliance with all covenants.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Facility is unsecured. In connection with the Revolving Credit Facility, during the fourth quarter of 2025, we and the subsidiary guarantors party thereto, entered into a guaranty agreement, pursuant to which our obligations under the Term Loan Facility are guaranteed by us and our existing wholly-owned subsidiaries and subsequently acquired or organized subsidiaries, excluding insurance company subsidiaries and subject to certain other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debt related to the Term Loan Facility as of June 30, 2026 Condensed Consolidated Balance Sheet, net of debt issuance costs of approximately $3.9 million. These deferred financing costs are presented as a direct deduction from the carrying amount of the debt.</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Revolving Credit Facility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2025, we entered into a Credit Agreement (the “Revolving Credit Facility”) with a syndicate of participating banks. The Revolving Credit Facility is unsecured and provided us with up to an initial maximum principal amount of $150.0 million, which was increased to $250.0 million on the closing date of our acquisition of Apollo.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initially drew $43.0 million, which was used to redeem our prior revolving credit facility (described below). On December 30, 2025, we drew an additional $71.5 million which was used for the consideration paid for the acquisition of Apollo on January 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on the Revolving Credit Facility is payable quarterly. Amounts drawn under the Facility bear interest at either term SOFR plus a margin, which ranges from 150 and 190 basis points, or the base rate plus a margin, which ranges from 50 basis points to 90 basis points, each depending on our debt to capitalization ratio. SOFR will be calculated using a SOFR floor of 0.00% and a credit spread adjustment of 0.10%. The base rate will be the highest of (i) the Agent’s then current prime lending rate, (ii) the Federal Funds Rate plus 0.50%, (iii) SOFR plus 1.00% and (iv) zero percent (0%). In addition, we also pay a fee ranging from 0.20% to 0.35% on average daily undrawn amounts under the Facility, depending on our debt to capitalization ratio. The availability period under the Facility will terminate on November 12, 2030.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covenants on the Revolving Credit Facility based on minimum net worth, maximum debt to capital ratio, minimum A.M. Best Rating and minimum liquidity, as well as customary events of default. As of June 30, 2026, we were in compliance with all covenants.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Debentures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2019, we entered into an agreement to issue unsecured subordinated notes (the “Notes”) with an aggregate principal amount of $20.0 million. Interest on the Notes is fixed at 7.25% for the first 8 years and fixed at 8.25% thereafter. Early retirement of the debt ahead of the 8-year commitment requires all interest payments to be paid in full as well as the return of outstanding principal. Principal is due at maturity on May 24, 2039 and interest is payable quarterly. The Notes have junior priority to all previously issued debt. We report debt related to the Notes as of June 30, 2026 Condensed Consolidated Balance Sheet and December 31, 2025 Consolidated Balance Sheet, net of debt issuance costs of approximately $0.4 million. These deferred financing costs are presented as a direct deduction from the carrying amount of the subordinated debt.</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approved a share repurchase program authorizing the repurchase of up to $50.0 million of our common stock. On July 15, 2026, the Board authorized an increase to the share repurchase program authorizing the repurchase of up to an additional $50.0 million of our common stock. As a result, the total amount authorized under the share repurchase program increased to $100.0 million. The shares may be repurchased from time to time in open market purchases, privately-negotiated transactions, block purchases, accelerated share repurchase agreements or a combination of methods, including through Rule 10b5-1 trading plans. The timing, manner, price and amount of any repurchases under the share repurchase program will be determined by us in our discretion. The share repurchase program does not require us to repurchase any specific number of shares, and may be modified, suspended or terminated at any time. During the three and six months ended June 30, 2026, we repurchased 222,635 shares for approximately $9.7 million under this plan. These shares represent the total repurchased under the plan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primarily in January and April.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Quota share reinsurance</w:t>
      </w:r>
      <w:r>
        <w:rPr>
          <w:color w:val="000000"/>
        </w:rPr>
        <w:t> </w:t>
      </w:r>
      <w:r>
        <w:rPr>
          <w:rFonts w:ascii="Times New Roman;serif" w:hAnsi="Times New Roman;serif"/>
          <w:b w:val="false"/>
          <w:color w:val="000000"/>
          <w:sz w:val="20"/>
        </w:rPr>
        <w:t>refers to a reinsurance contract whereby the reinsurer agrees to assume a specified percentage of the ceding company’s losses arising out of a defined class of business in exchange for a corresponding percentage of premiums, net of a ceding commission.</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Excess of loss reinsurance</w:t>
      </w:r>
      <w:r>
        <w:rPr>
          <w:color w:val="000000"/>
        </w:rPr>
        <w:t> </w:t>
      </w:r>
      <w:r>
        <w:rPr>
          <w:rFonts w:ascii="Times New Roman;serif" w:hAnsi="Times New Roman;serif"/>
          <w:b w:val="false"/>
          <w:color w:val="000000"/>
          <w:sz w:val="20"/>
        </w:rPr>
        <w:t>refers to a reinsurance contract whereby the reinsurer agrees to assume all or a portion of the ceding company’s losses for an individual claim or an event in excess of a specified amount in exchange for a premium payable amount negotiated between the parties, which includes our catastrophe reinsurance program.</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Facultative coverage</w:t>
      </w:r>
      <w:r>
        <w:rPr>
          <w:color w:val="000000"/>
        </w:rPr>
        <w:t> </w:t>
      </w:r>
      <w:r>
        <w:rPr>
          <w:rFonts w:ascii="Times New Roman;serif" w:hAnsi="Times New Roman;serif"/>
          <w:b w:val="false"/>
          <w:color w:val="000000"/>
          <w:sz w:val="20"/>
        </w:rPr>
        <w:t>refers to a reinsurance contract on individual risks as opposed to a group or class of business. It is used for a variety of reasons, including supplementing the limits provided by the treaty coverage or covering risks or perils excluded from treaty reinsurance.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our net retention on a written basis (calculated as net written premiums as a percentage of gross written premiums) was 65.6% and 65.2%, respectively, compared to 58.0% and 60.9%, respectively, for the same 2025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Credit and Financial Strength Ratings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14, 2025, A.M. Best affirmed Skyward Specialty’s financial strength rating of A (Excellent) with a stable outlook.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this quarterly report on Form 10-Q, our management carried out an evaluation, under the supervision and with the participation of our management, including the CEO and CFO, as of June 30, 2026, of the effectiveness of the design and operation of our disclosure controls and procedures, as such term is defined under Rule 13a-15(e) and 15d-15(e) under the Exchange Act.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evaluation of our disclosure controls and procedures as of June 30, 2026, the scope of such evaluation excluded Apollo, which was acquired on January 1, 2026. The Company excluded Apollo from the evaluation because the entity and its related systems, processes and controls are in the process of being integrated into the Company’s overall financial reporting and disclosure control framework. Management plans to complete the integration and related evaluation of Apollo’s disclosure controls and procedures during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Based upon this evaluation, our CEO and CFO concluded that our disclosure controls and procedures were effective as of June 30,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identified in connection with the evaluation required by Rule 13a-15(d) and 15d-15(d) of the Exchange Act that occurred during the fiscal quarter ended June 30, 2026 that have materially affected, or are reasonably likely to materially affect, our internal control over financial reporting. The evaluation of internal control over financial reporting as of June 30, 2026 excluded Apollo, which was acquired on January 1, 2026, as the integration of Apollo’s systems and controls into the Company’s control environment is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PART II -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party to legal proceedings which arise in the ordinary course of business. We believe that the outcome of such matters, individually and in the aggregate, will not have a material adverse effect on our consolidated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risks and uncertainties described under the heading “Risk Factors” in Part I, Item 1A of our Annual Report on Form 10-K for the year ended December 31, 2025 (our “2025 Form 10-K”), as supplemented by the risk factor updates set forth in our Quarterly Report on Form 10-Q for the period ended March 31, 2026 (our “Q1 10-Q”). There have been no other material changes in our risk factors in the six months ended June 30, 2026 from those disclosed in our 2025 Form 10-K and our Q1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share purchases made by the Company during the three months ended June 30, 2026, and the approximate dollar value of shares remaining that are authorized for purchase by the Company under its publicly announced share repurchase program.</w:t>
      </w:r>
    </w:p>
    <w:tbl>
      <w:tblPr>
        <w:tblW w:w="10205" w:type="dxa"/>
        <w:jc w:val="left"/>
        <w:tblInd w:w="0" w:type="dxa"/>
        <w:tblLayout w:type="fixed"/>
        <w:tblCellMar>
          <w:top w:w="28" w:type="dxa"/>
          <w:left w:w="28" w:type="dxa"/>
          <w:bottom w:w="28" w:type="dxa"/>
          <w:right w:w="28" w:type="dxa"/>
        </w:tblCellMar>
      </w:tblPr>
      <w:tblGrid>
        <w:gridCol w:w="539"/>
        <w:gridCol w:w="474"/>
        <w:gridCol w:w="477"/>
        <w:gridCol w:w="109"/>
        <w:gridCol w:w="109"/>
        <w:gridCol w:w="109"/>
        <w:gridCol w:w="611"/>
        <w:gridCol w:w="424"/>
        <w:gridCol w:w="425"/>
        <w:gridCol w:w="109"/>
        <w:gridCol w:w="109"/>
        <w:gridCol w:w="109"/>
        <w:gridCol w:w="269"/>
        <w:gridCol w:w="788"/>
        <w:gridCol w:w="139"/>
        <w:gridCol w:w="109"/>
        <w:gridCol w:w="109"/>
        <w:gridCol w:w="109"/>
        <w:gridCol w:w="838"/>
        <w:gridCol w:w="675"/>
        <w:gridCol w:w="677"/>
        <w:gridCol w:w="109"/>
        <w:gridCol w:w="109"/>
        <w:gridCol w:w="109"/>
        <w:gridCol w:w="496"/>
        <w:gridCol w:w="1696"/>
        <w:gridCol w:w="369"/>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 except share and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Number of Shares Purchased</w:t>
            </w:r>
            <w:r>
              <w:rPr>
                <w:rFonts w:ascii="Times New Roman;serif" w:hAnsi="Times New Roman;serif"/>
                <w:b w:val="false"/>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Number of Shares Purchased as Part of Publicly Announced Plans or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Approximate Dollar Value of Shares that May Yet Be Purchased Under Publicly Announced Plans or Programs</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245,984 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222,635 </w:t>
            </w:r>
          </w:p>
        </w:tc>
        <w:tc>
          <w:tcPr>
            <w:tcW w:w="6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90,269 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245,984 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222,635 </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3"/>
              </w:rPr>
              <w:t xml:space="preserve">(1) </w:t>
            </w:r>
            <w:r>
              <w:rPr>
                <w:rFonts w:ascii="Times New Roman;serif" w:hAnsi="Times New Roman;serif"/>
                <w:b w:val="false"/>
                <w:i/>
                <w:color w:val="000000"/>
                <w:sz w:val="16"/>
              </w:rPr>
              <w:t>Includes shares withheld from participants in the Company’s long-term incentive program for personal income taxes</w:t>
            </w:r>
          </w:p>
        </w:tc>
      </w:tr>
      <w:tr>
        <w:trPr/>
        <w:tc>
          <w:tcPr>
            <w:tcW w:w="14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33" w:before="0" w:after="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20"/>
        <w:ind w:left="0" w:right="0" w:hanging="360"/>
        <w:jc w:val="both"/>
        <w:rPr/>
      </w:pPr>
      <w:r>
        <w:rPr>
          <w:rFonts w:ascii="Times New Roman;serif" w:hAnsi="Times New Roman;serif"/>
          <w:b w:val="false"/>
          <w:i/>
          <w:color w:val="000000"/>
          <w:sz w:val="20"/>
        </w:rPr>
        <w:t>(a)Exhibits</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5"/>
        <w:gridCol w:w="295"/>
        <w:gridCol w:w="297"/>
        <w:gridCol w:w="109"/>
        <w:gridCol w:w="109"/>
        <w:gridCol w:w="109"/>
        <w:gridCol w:w="2734"/>
        <w:gridCol w:w="2604"/>
        <w:gridCol w:w="3613"/>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8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(incorporated by reference to Exhibit 3.1 to the Company’s Current Report on Form 8-K filed with the Commission on January 18, 2023).</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199"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(incorporated by reference to Exhibit 3.2 to the Company’s Current Report on Form 8-K filed with the Commission on January 18, 2023).</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Stockholders’ Agreement, by and among the Company and the stockholders listed therein (incorporated by reference to Exhibit 4.1 to the Company’s Registration Statement on Form S-1, filed with the SEC on November 14, 2022).</w:t>
              </w:r>
            </w:hyperlink>
          </w:p>
        </w:tc>
      </w:tr>
      <w:tr>
        <w:trPr/>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1" w:type="dxa"/>
            <w:gridSpan w:val="3"/>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302ceocertificat.htm">
              <w:r>
                <w:rPr>
                  <w:rStyle w:val="InternetLink"/>
                  <w:rFonts w:ascii="Times New Roman;serif" w:hAnsi="Times New Roman;serif"/>
                  <w:b w:val="false"/>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302cfocertificat.htm">
              <w:r>
                <w:rPr>
                  <w:rStyle w:val="InternetLink"/>
                  <w:rFonts w:ascii="Times New Roman;serif" w:hAnsi="Times New Roman;serif"/>
                  <w:b w:val="false"/>
                  <w:color w:val="0000FF"/>
                  <w:sz w:val="20"/>
                  <w:u w:val="single"/>
                </w:rPr>
                <w:t>Certification of Principal Financial and Accounting Officer pursuant to Rule 13a-14(a) or Rule 15d-14(a) of the Securities Exchange Act of 1934, as adopted pursuant to Section 302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906certification.htm">
              <w:r>
                <w:rPr>
                  <w:rStyle w:val="InternetLink"/>
                  <w:rFonts w:ascii="Times New Roman;serif" w:hAnsi="Times New Roman;serif"/>
                  <w:b w:val="false"/>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with Embedded Linkbase Documents</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400"/>
        <w:jc w:val="both"/>
        <w:rPr/>
      </w:pPr>
      <w:r>
        <w:rPr>
          <w:rFonts w:ascii="Times New Roman;serif" w:hAnsi="Times New Roman;serif"/>
          <w:b w:val="false"/>
          <w:i/>
          <w:color w:val="000000"/>
          <w:sz w:val="20"/>
        </w:rPr>
        <w:t>(b)Financial Statement Schedules</w:t>
      </w:r>
      <w:r>
        <w:rPr>
          <w:rFonts w:ascii="Times New Roman;serif" w:hAnsi="Times New Roman;serif"/>
          <w:b w:val="false"/>
          <w:color w:val="000000"/>
          <w:sz w:val="20"/>
        </w:rPr>
        <w:t>. All financial statement schedules are omitted because the information called for is not required or is shown either in the consolidated financial statements or in the notes thereto.</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333" w:before="0" w:after="120"/>
        <w:jc w:val="left"/>
        <w:rPr/>
      </w:pPr>
      <w:hyperlink w:anchor="ife0b29f5792b4ecb8637b77bd02fdb6b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20"/>
        <w:ind w:left="0" w:right="0" w:firstLine="4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86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384"/>
        <w:gridCol w:w="384"/>
        <w:gridCol w:w="384"/>
        <w:gridCol w:w="384"/>
        <w:gridCol w:w="384"/>
        <w:gridCol w:w="384"/>
        <w:gridCol w:w="384"/>
        <w:gridCol w:w="384"/>
        <w:gridCol w:w="54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Skyward Specialty Insurance Group,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Robinson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Andrew Robinson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6006"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399"/>
        <w:gridCol w:w="399"/>
        <w:gridCol w:w="399"/>
        <w:gridCol w:w="399"/>
        <w:gridCol w:w="399"/>
        <w:gridCol w:w="399"/>
        <w:gridCol w:w="399"/>
        <w:gridCol w:w="399"/>
        <w:gridCol w:w="5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5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Andrew Robinson,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Skyward Specialty Insurance Group,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14"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208"/>
        <w:gridCol w:w="208"/>
        <w:gridCol w:w="213"/>
        <w:gridCol w:w="952"/>
        <w:gridCol w:w="952"/>
        <w:gridCol w:w="13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Mark Haushill,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Skyward Specialty Insurance Group,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70"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208"/>
        <w:gridCol w:w="208"/>
        <w:gridCol w:w="213"/>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Skyward Specialty Insurance Group, Inc. (the “Company”) for the six months ended June 30, 2026,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114"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208"/>
        <w:gridCol w:w="208"/>
        <w:gridCol w:w="213"/>
        <w:gridCol w:w="952"/>
        <w:gridCol w:w="952"/>
        <w:gridCol w:w="135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Andrew Robinson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tbl>
      <w:tblPr>
        <w:tblW w:w="4870"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208"/>
        <w:gridCol w:w="208"/>
        <w:gridCol w:w="213"/>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August 7,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Mark Haushill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9449/000110465923004624/tm233575d1_ex3-1.htm" TargetMode="External"/><Relationship Id="rId3" Type="http://schemas.openxmlformats.org/officeDocument/2006/relationships/hyperlink" Target="https://www.sec.gov/Archives/edgar/data/1519449/000110465923004624/tm233575d1_ex3-2.htm" TargetMode="External"/><Relationship Id="rId4" Type="http://schemas.openxmlformats.org/officeDocument/2006/relationships/hyperlink" Target="https://www.sec.gov/Archives/edgar/data/1519449/000110465922117762/tm228594d12_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25455</Words>
  <Characters>142300</Characters>
  <CharactersWithSpaces>164881</CharactersWithSpaces>
  <Paragraphs>5097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