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520" w:hanging="290"/>
        <w:spacing w:after="0" w:line="335"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11"/>
        </w:trPr>
        <w:tc>
          <w:tcPr>
            <w:tcW w:w="7500" w:type="dxa"/>
            <w:vAlign w:val="bottom"/>
            <w:gridSpan w:val="5"/>
            <w:vMerge w:val="restart"/>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7500" w:type="dxa"/>
            <w:vAlign w:val="bottom"/>
            <w:gridSpan w:val="5"/>
            <w:vMerge w:val="continue"/>
          </w:tcPr>
          <w:p>
            <w:pPr>
              <w:spacing w:after="0"/>
              <w:rPr>
                <w:sz w:val="10"/>
                <w:szCs w:val="10"/>
                <w:color w:val="auto"/>
              </w:rPr>
            </w:pPr>
          </w:p>
        </w:tc>
        <w:tc>
          <w:tcPr>
            <w:tcW w:w="3760" w:type="dxa"/>
            <w:vAlign w:val="bottom"/>
            <w:vMerge w:val="restart"/>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4"/>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2024, the registrant had 40,099,931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9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99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September 30, 2024 and December 31,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 and Nine-Month</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Periods Ended September 30, 2024 and 2023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 and Nine-Month Periods Ended</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and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Cash Flows for the Nine-Month Periods Ended September 30, 2024 and 2023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shd w:val="clear" w:color="auto" w:fill="CCEEFF"/>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2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420" w:type="dxa"/>
            <w:vAlign w:val="bottom"/>
            <w:tcBorders>
              <w:bottom w:val="single" w:sz="8" w:color="9A9A9A"/>
            </w:tcBorders>
          </w:tcPr>
          <w:p>
            <w:pPr>
              <w:spacing w:after="0"/>
              <w:rPr>
                <w:sz w:val="21"/>
                <w:szCs w:val="21"/>
                <w:color w:val="auto"/>
              </w:rPr>
            </w:pPr>
          </w:p>
        </w:tc>
        <w:tc>
          <w:tcPr>
            <w:tcW w:w="78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9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60" w:type="dxa"/>
            <w:vAlign w:val="bottom"/>
          </w:tcPr>
          <w:p>
            <w:pPr>
              <w:spacing w:after="0"/>
              <w:rPr>
                <w:sz w:val="16"/>
                <w:szCs w:val="16"/>
                <w:color w:val="auto"/>
              </w:rPr>
            </w:pPr>
          </w:p>
        </w:tc>
        <w:tc>
          <w:tcPr>
            <w:tcW w:w="13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$1,359,700 and $1,047,713,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175"/>
        </w:trPr>
        <w:tc>
          <w:tcPr>
            <w:tcW w:w="8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$239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39,321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$329, respectively)</w:t>
            </w: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1,890,078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1,613,687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686,725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75,341</w:t>
            </w:r>
          </w:p>
        </w:tc>
        <w:tc>
          <w:tcPr>
            <w:tcW w:w="0" w:type="dxa"/>
            <w:vAlign w:val="bottom"/>
          </w:tcPr>
          <w:p>
            <w:pPr>
              <w:spacing w:after="0"/>
              <w:rPr>
                <w:sz w:val="1"/>
                <w:szCs w:val="1"/>
                <w:color w:val="auto"/>
              </w:rPr>
            </w:pP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3,598,863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1,568,777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692,452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552,532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200,967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2,801,356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2,292,404</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40,099,931 and 39,863,756 shares issued</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716,095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notes receivable</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3,598,863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269,557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763,482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604,211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59,956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300,888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845,798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639,674</w:t>
            </w: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473,489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377,841</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226,270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254,035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711,613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567,141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72,533</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5" w:right="35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Unrealized gains and losses on investments:</w:t>
      </w:r>
    </w:p>
    <w:p>
      <w:pPr>
        <w:spacing w:after="0" w:line="31" w:lineRule="exact"/>
        <w:rPr>
          <w:sz w:val="20"/>
          <w:szCs w:val="20"/>
          <w:color w:val="auto"/>
        </w:rPr>
      </w:pPr>
    </w:p>
    <w:p>
      <w:pPr>
        <w:ind w:left="560" w:right="360" w:hanging="188"/>
        <w:spacing w:after="0" w:line="281" w:lineRule="auto"/>
        <w:rPr>
          <w:sz w:val="20"/>
          <w:szCs w:val="20"/>
          <w:color w:val="auto"/>
        </w:rPr>
      </w:pPr>
      <w:r>
        <w:rPr>
          <w:rFonts w:ascii="Times New Roman" w:cs="Times New Roman" w:eastAsia="Times New Roman" w:hAnsi="Times New Roman"/>
          <w:sz w:val="18"/>
          <w:szCs w:val="18"/>
          <w:color w:val="auto"/>
        </w:rPr>
        <w:t>Net change in unrealized gains (losses) on investments, net of tax</w:t>
      </w:r>
    </w:p>
    <w:p>
      <w:pPr>
        <w:spacing w:after="0" w:line="1" w:lineRule="exact"/>
        <w:rPr>
          <w:sz w:val="20"/>
          <w:szCs w:val="20"/>
          <w:color w:val="auto"/>
        </w:rPr>
      </w:pPr>
    </w:p>
    <w:p>
      <w:pPr>
        <w:ind w:left="560" w:right="420" w:hanging="188"/>
        <w:spacing w:after="0" w:line="282" w:lineRule="auto"/>
        <w:rPr>
          <w:sz w:val="20"/>
          <w:szCs w:val="20"/>
          <w:color w:val="auto"/>
        </w:rPr>
      </w:pPr>
      <w:r>
        <w:rPr>
          <w:rFonts w:ascii="Times New Roman" w:cs="Times New Roman" w:eastAsia="Times New Roman" w:hAnsi="Times New Roman"/>
          <w:sz w:val="18"/>
          <w:szCs w:val="18"/>
          <w:color w:val="auto"/>
        </w:rPr>
        <w:t>Reclassification adjustment for losses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31,396</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(8,722)</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24,527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r>
      <w:tr>
        <w:trPr>
          <w:trHeight w:val="48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(1,963)</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(3,667)</w:t>
            </w:r>
          </w:p>
        </w:tc>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(3,277)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-762635</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-307975</wp:posOffset>
            </wp:positionV>
            <wp:extent cx="71151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5180" w:space="720"/>
            <w:col w:w="5320"/>
          </w:cols>
          <w:pgMar w:left="320" w:top="135" w:right="3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4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29,433</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21,250</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0.89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40,098,345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36,743,393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40,039,269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35,502,843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41,428,557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38,403,843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41,302,108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37,830,431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105410</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5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40,096,132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37,674,063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196"/>
        </w:trPr>
        <w:tc>
          <w:tcPr>
            <w:tcW w:w="74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40,099,931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37,677,521</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713,542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642,988</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645,292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535,397</w:t>
            </w:r>
          </w:p>
        </w:tc>
        <w:tc>
          <w:tcPr>
            <w:tcW w:w="0" w:type="dxa"/>
            <w:vAlign w:val="bottom"/>
          </w:tcPr>
          <w:p>
            <w:pPr>
              <w:spacing w:after="0"/>
              <w:rPr>
                <w:sz w:val="1"/>
                <w:szCs w:val="1"/>
                <w:color w:val="auto"/>
              </w:rPr>
            </w:pPr>
          </w:p>
        </w:tc>
      </w:tr>
      <w:tr>
        <w:trPr>
          <w:trHeight w:val="28"/>
        </w:trPr>
        <w:tc>
          <w:tcPr>
            <w:tcW w:w="7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105410</wp:posOffset>
            </wp:positionV>
            <wp:extent cx="7071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5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3"/>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39,863,756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4,772,742</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16,305,113</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40,099,931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37,677,521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61,967</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645,292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September 30</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218,539</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fixed maturity securities, available-for-sale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(342,088)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illiquid investments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equity method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direct and indirect loans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142,184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equity method investments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method and other long-term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receivable/payable for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provided by deposit accounting</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(227,963)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(307,833)</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share purchases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stock notes receivable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 term borrowings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long term borrowings and trust preferred</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66,262</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125,011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and cash equivalents and restricted cash at end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2023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498,107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99,486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397,295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66,229</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266,742</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September 30,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35,733</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346,637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344,147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205,283</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42,071</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466,655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463,524</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263,459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266,742</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1,359,700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September 30, 2024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2024, the Company had U.S. government agencies mortgage-backed fixed maturity securities, with a carrying value of approximately $62.4 million pledged as collateral for a loan (the “FHLB Loan”) from the Federal Home Loan Bank of Dallas (“FHLB”) pursuant to an Advances and Security Agreement between the Company and FHLB (the “Advances and Security Agreement”). In accordance with the terms of the FHLB Loans, the Company retains all rights regarding these pledged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2024, the Company had assets with fair values of approximately $27.7 million pledged as collateral for the performance obligations under reinsurance agreements. In accordance with the terms of the trust agreements, the Company retains all rights regarding these securities, of which $24.9 million are residential mortgage-backed securities, $2.2 million of short-term investments and $0.6 million of cash and cash equivalents and other assets.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September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158,937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31,803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38,198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72,844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374,309</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447,153</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410,058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482,902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(31,704)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505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(losses)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2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25,465</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38,581</w:t>
            </w:r>
          </w:p>
        </w:tc>
      </w:tr>
      <w:tr>
        <w:trPr>
          <w:trHeight w:val="45"/>
        </w:trPr>
        <w:tc>
          <w:tcPr>
            <w:tcW w:w="7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1"/>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3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1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loss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37,257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26,898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(7,824)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(5,648)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8"/>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29,433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21,250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and equity securities classified as Level 3</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and preferred stock that are managed by an independent asset manager that uses an independent pricing model to estimate the value of the securities it manages. These represent Level 3 fair value inputs.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September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r>
      <w:tr>
        <w:trPr>
          <w:trHeight w:val="54"/>
        </w:trPr>
        <w:tc>
          <w:tcPr>
            <w:tcW w:w="68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29,641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29,641</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498,107</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99,486</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397,295</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66,229</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266,742</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29,641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1,279,185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48,674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37,875</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74,526</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7,235</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42,958</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117,484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124,719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206,358</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1,280,603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1,762,719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52"/>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6"/>
        </w:trPr>
        <w:tc>
          <w:tcPr>
            <w:tcW w:w="50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3"/>
        </w:trPr>
        <w:tc>
          <w:tcPr>
            <w:tcW w:w="50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nine months ended September 30, 2024 and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3"/>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2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4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42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(losses)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42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420" w:type="dxa"/>
            <w:vAlign w:val="bottom"/>
            <w:gridSpan w:val="2"/>
            <w:vMerge w:val="continue"/>
            <w:shd w:val="clear" w:color="auto" w:fill="CCEEFF"/>
          </w:tcPr>
          <w:p>
            <w:pPr>
              <w:spacing w:after="0"/>
              <w:rPr>
                <w:sz w:val="19"/>
                <w:szCs w:val="19"/>
                <w:color w:val="auto"/>
              </w:rPr>
            </w:pPr>
          </w:p>
        </w:tc>
        <w:tc>
          <w:tcPr>
            <w:tcW w:w="170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Times New Roman" w:cs="Times New Roman" w:eastAsia="Times New Roman" w:hAnsi="Times New Roman"/>
                <w:sz w:val="18"/>
                <w:szCs w:val="18"/>
                <w:color w:val="auto"/>
              </w:rPr>
              <w:t>Total (losses) gains for the period recognized in net investment gains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0" w:type="dxa"/>
            <w:vAlign w:val="bottom"/>
          </w:tcPr>
          <w:p>
            <w:pPr>
              <w:spacing w:after="0"/>
              <w:rPr>
                <w:sz w:val="1"/>
                <w:szCs w:val="1"/>
                <w:color w:val="auto"/>
              </w:rPr>
            </w:pPr>
          </w:p>
        </w:tc>
      </w:tr>
      <w:tr>
        <w:trPr>
          <w:trHeight w:val="24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(8,277)</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attributable to the change in unrealized gains or losses relating to assets</w:t>
            </w:r>
          </w:p>
        </w:tc>
        <w:tc>
          <w:tcPr>
            <w:tcW w:w="4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as of period end</w:t>
            </w:r>
          </w:p>
        </w:tc>
        <w:tc>
          <w:tcPr>
            <w:tcW w:w="42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360" w:type="dxa"/>
            <w:vAlign w:val="bottom"/>
          </w:tcPr>
          <w:p>
            <w:pPr>
              <w:spacing w:after="0"/>
              <w:rPr>
                <w:sz w:val="24"/>
                <w:szCs w:val="24"/>
                <w:color w:val="auto"/>
              </w:rPr>
            </w:pP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6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5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5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gains for the period recognized in net investment gains (losses) attributable to the change in unrealized gains or losses</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transfers into Level 3 during the three and nine months ended September 30, 2024 were the result of securities that began receiving valuations from asset managers that utilized unobservable inputs at the end of the period.</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September 30, 2024, the Company determined the fair value of these instruments using the income approach utilizing inputs that are unobservable (Level 3).</w:t>
      </w:r>
    </w:p>
    <w:p>
      <w:pPr>
        <w:spacing w:after="0" w:line="6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 The Company estimates the fair value of the FHLB Loan by discounting cash flows using a borrowing rate currently available to the Company for loans with similar terms (Level 3).</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two debt instruments, the Junior Subordinated Interest Debentures, due September 15, 2036,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interest debentures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18,956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81,172</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September 30, 2024 and December 31, 2023,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2 to 3 years from loan origination and the principal amounts of the loans range between 64% to 80% of the property’s appraised value at the time the loans were made.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Company’s mortgage loans as of September 30,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5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48"/>
        </w:trPr>
        <w:tc>
          <w:tcPr>
            <w:tcW w:w="806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5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1"/>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nine months ended September 30, 2024 and 2023, respectively.</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no mortgage loans were in the process of foreclosure and there were no mortgage loans that were not producing income for the previous 12 months. As of December 31, 2023, approximately $7.1 million of mortgage loans were in the process of foreclosure.</w:t>
      </w:r>
    </w:p>
    <w:p>
      <w:pPr>
        <w:spacing w:after="0" w:line="5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the carrying value and ownership percentage of the Company’s equity method investments as of September 30,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17,831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74,628</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804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1"/>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September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September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17,831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0"/>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September 30,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20,915</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u w:val="single" w:color="auto"/>
          <w:color w:val="auto"/>
        </w:rPr>
        <w:t>Notes Payable &amp; Subordinated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the Revolving Credit Facility (see “Revolving Credit Facility” below for additional information regarding the redemption).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to obtain a new unsecured revolving credit facility (the “Revolving Credit Facility”) with a syndicate of participating banks during the first quarter of 2023. The Revolving Credit Facility provided the Company with up to a $150.0 million revolving credit facility and a letter of credit sub-facility of up to $30.0 million. As of December 31, 2023, the Company drew $50.0 million on the Revolving Credit Facility. During the nine months ended September 30, 2024, the Company drew an additional $50.0 million on the Revolving Credit Facility and used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Notes Payable &amp; Subordinated Debt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to pay off the principal on its existing Debentures (defined below). On September 6, 2024, the Company redeemed $57.0 million of the draws on the Revolving Credit Facility.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September 30, 2024, the six-month SOFR on the Revolving Credit Facility was 4.25%, plus a margin of 1.60%.</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of September 30, 2024, the Company was in compliance with all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the Company received $58.0 million of proceeds from a debenture offering through a statutory trust, Delos Capital Trust (the “Trust”). The sole asset of the Trust consists of Fixed/Floating Rate Junior Subordinated Deferrable Interest Debentures (the “Debentures”) with a principal amount of $59.8 million issued by the Company and cash of $1.8 million from the issuance of Trust common shares purchased by the Company equal to 3% of the Trust capitalization. On March 15, 2024, the Company redeemed the Debentures and paid $1.4 million of accrued interest.</w:t>
      </w:r>
    </w:p>
    <w:p>
      <w:pPr>
        <w:spacing w:after="0" w:line="6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income tax expense and effective tax rates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15,814</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45"/>
        </w:trPr>
        <w:tc>
          <w:tcPr>
            <w:tcW w:w="4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and non-deductible expenses.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federal income taxes of $8.5 million and $22.5 million during the three and nine months ended September 30, 2024, respectively, and $10.0 million during the nine months ended September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378,811</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474,289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378,811</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67,267</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224,760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187,256</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254,523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1,025,893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830,059</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542,884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438,652</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1,568,777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1,268,711</w:t>
            </w:r>
          </w:p>
        </w:tc>
      </w:tr>
      <w:tr>
        <w:trPr>
          <w:trHeight w:val="21"/>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September 30, 2024 and December 31, 2023 were $2.4 million and $1.0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78,442</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98,211</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1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347,444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349,980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299,294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(123,926)</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269,557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108,152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5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23"/>
        </w:trPr>
        <w:tc>
          <w:tcPr>
            <w:tcW w:w="50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Written</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1,118,683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1,012,550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845,200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139,522</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(502,326)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(451,476)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(380,511)</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852,551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763,482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604,211</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255,855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52"/>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0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September 30,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122,287</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236,962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186,121</w:t>
            </w:r>
          </w:p>
        </w:tc>
      </w:tr>
      <w:tr>
        <w:trPr>
          <w:trHeight w:val="21"/>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September 30, 2024, the market value of these accounts was approximately $196.4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September 30, 2024 and December 31, 2023 was $27.1 million and $29.9 million, respectively, and was included in other assets on the condensed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compilation of basic and diluted net earnings per share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Undistributed income allocated to participating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5"/>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 (numerator for</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05"/>
        </w:trPr>
        <w:tc>
          <w:tcPr>
            <w:tcW w:w="49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(numerator for diluted earnings per share under the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two-class method)</w:t>
            </w:r>
          </w:p>
        </w:tc>
        <w:tc>
          <w:tcPr>
            <w:tcW w:w="14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40,098,345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36,743,393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40,039,269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35,502,843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959,124</w:t>
            </w:r>
          </w:p>
        </w:tc>
        <w:tc>
          <w:tcPr>
            <w:tcW w:w="0" w:type="dxa"/>
            <w:vAlign w:val="bottom"/>
          </w:tcPr>
          <w:p>
            <w:pPr>
              <w:spacing w:after="0"/>
              <w:rPr>
                <w:sz w:val="1"/>
                <w:szCs w:val="1"/>
                <w:color w:val="auto"/>
              </w:rPr>
            </w:pPr>
          </w:p>
        </w:tc>
      </w:tr>
      <w:tr>
        <w:trPr>
          <w:trHeight w:val="270"/>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14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706,794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684,017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932,030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609,601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398,182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41,428,557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38,403,843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41,302,108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37,830,431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vMerge w:val="continue"/>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0.91</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54"/>
        </w:trPr>
        <w:tc>
          <w:tcPr>
            <w:tcW w:w="4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10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364,714</w:t>
            </w:r>
          </w:p>
        </w:tc>
      </w:tr>
      <w:tr>
        <w:trPr>
          <w:trHeight w:val="45"/>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871"/>
        </w:trPr>
        <w:tc>
          <w:tcPr>
            <w:tcW w:w="59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6"/>
        </w:trPr>
        <w:tc>
          <w:tcPr>
            <w:tcW w:w="49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8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932,588</w:t>
            </w:r>
          </w:p>
        </w:tc>
      </w:tr>
      <w:tr>
        <w:trPr>
          <w:trHeight w:val="54"/>
        </w:trPr>
        <w:tc>
          <w:tcPr>
            <w:tcW w:w="49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and nine months ended September 30, 2024 and 2023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73,750</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w:t>
            </w:r>
          </w:p>
        </w:tc>
      </w:tr>
      <w:tr>
        <w:trPr>
          <w:trHeight w:val="45"/>
        </w:trPr>
        <w:tc>
          <w:tcPr>
            <w:tcW w:w="5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right="20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Premiums receivable as of September 30, 2024 and December 31, 2023 were $16.2 million and $10.6 million, respectively. </w:t>
      </w:r>
      <w:r>
        <w:rPr>
          <w:rFonts w:ascii="Times New Roman" w:cs="Times New Roman" w:eastAsia="Times New Roman" w:hAnsi="Times New Roman"/>
          <w:sz w:val="18"/>
          <w:szCs w:val="18"/>
          <w:b w:val="1"/>
          <w:bCs w:val="1"/>
          <w:u w:val="single" w:color="auto"/>
          <w:color w:val="auto"/>
        </w:rPr>
        <w:t>Other</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and nine months ended September 30, 2024 were $0.2 million and $0.4 million, compared to $0.5 million and $3.1 million, respectively, for the three and nine months ended September 30,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and 5 for investments involving affiliated companies and additional related party transactions.</w:t>
      </w:r>
    </w:p>
    <w:p>
      <w:pPr>
        <w:spacing w:after="0" w:line="113" w:lineRule="exact"/>
        <w:rPr>
          <w:sz w:val="20"/>
          <w:szCs w:val="20"/>
          <w:color w:val="auto"/>
        </w:rPr>
      </w:pPr>
    </w:p>
    <w:p>
      <w:pPr>
        <w:ind w:right="8280" w:firstLine="8"/>
        <w:spacing w:after="0" w:line="378" w:lineRule="auto"/>
        <w:tabs>
          <w:tab w:leader="none" w:pos="40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“third quarter” as used below refers to the three and nine months ended September 30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2023 Form 10-K for the year ended December 31, 2023 (the “2023 Form 10-K”).</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2023 Form 10-K.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and nine months ended September 30,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2023 Form 10-K.</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stable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and nine months ended September 30,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400,014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355,732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1,354,877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1,138,224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(131,692)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(75,036)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(502,326)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(441,650)</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268,322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280,696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852,551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696,574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269,557</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227,033</w:t>
            </w:r>
          </w:p>
        </w:tc>
        <w:tc>
          <w:tcPr>
            <w:tcW w:w="8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763,482</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604,211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18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170,521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473,489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377,841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79,817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226,270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176,653</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21,037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22,267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69,620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55,534</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19,521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59,956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26,318</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10,187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16,665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46,853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134,185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72,533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36,668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56,719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29,405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93,432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56,532</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r>
      <w:tr>
        <w:trPr>
          <w:trHeight w:val="21"/>
        </w:trPr>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19.1 %</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8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ind w:left="180" w:hanging="141"/>
        <w:spacing w:after="0" w:line="210" w:lineRule="auto"/>
        <w:tabs>
          <w:tab w:leader="none" w:pos="180" w:val="left"/>
        </w:tabs>
        <w:numPr>
          <w:ilvl w:val="0"/>
          <w:numId w:val="31"/>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and nine months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gridSpan w:val="11"/>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top w:val="single" w:sz="8" w:color="auto"/>
            </w:tcBorders>
          </w:tcPr>
          <w:p>
            <w:pPr>
              <w:spacing w:after="0"/>
              <w:rPr>
                <w:sz w:val="21"/>
                <w:szCs w:val="21"/>
                <w:color w:val="auto"/>
              </w:rPr>
            </w:pPr>
          </w:p>
        </w:tc>
        <w:tc>
          <w:tcPr>
            <w:tcW w:w="3300" w:type="dxa"/>
            <w:vAlign w:val="bottom"/>
            <w:tcBorders>
              <w:top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93,432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Borders>
              <w:bottom w:val="single" w:sz="8" w:color="9A9A9A"/>
            </w:tcBorders>
          </w:tcPr>
          <w:p>
            <w:pPr>
              <w:spacing w:after="0"/>
              <w:rPr>
                <w:sz w:val="20"/>
                <w:szCs w:val="20"/>
                <w:color w:val="auto"/>
              </w:rPr>
            </w:pPr>
          </w:p>
        </w:tc>
        <w:tc>
          <w:tcPr>
            <w:tcW w:w="24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federal income tax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72,533</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29"/>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29"/>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29"/>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69,620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55,534</w:t>
            </w:r>
          </w:p>
        </w:tc>
      </w:tr>
      <w:tr>
        <w:trPr>
          <w:trHeight w:val="21"/>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three and nine months ended September 30, 2024 and 2023:</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604,211</w:t>
            </w:r>
          </w:p>
        </w:tc>
      </w:tr>
      <w:tr>
        <w:trPr>
          <w:trHeight w:val="230"/>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377,841</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378,811</w:t>
            </w:r>
          </w:p>
        </w:tc>
      </w:tr>
      <w:tr>
        <w:trPr>
          <w:trHeight w:val="236"/>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ratio</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combined ratio</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September 30,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9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9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88,808</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3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92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Borders>
              <w:bottom w:val="single" w:sz="8" w:color="9A9A9A"/>
            </w:tcBorders>
          </w:tcPr>
          <w:p>
            <w:pPr>
              <w:spacing w:after="0"/>
              <w:rPr>
                <w:sz w:val="21"/>
                <w:szCs w:val="21"/>
                <w:color w:val="auto"/>
              </w:rPr>
            </w:pPr>
          </w:p>
        </w:tc>
        <w:tc>
          <w:tcPr>
            <w:tcW w:w="4080" w:type="dxa"/>
            <w:vAlign w:val="bottom"/>
            <w:tcBorders>
              <w:bottom w:val="single" w:sz="8" w:color="9A9A9A"/>
            </w:tcBorders>
          </w:tcPr>
          <w:p>
            <w:pPr>
              <w:spacing w:after="0"/>
              <w:rPr>
                <w:sz w:val="21"/>
                <w:szCs w:val="21"/>
                <w:color w:val="auto"/>
              </w:rPr>
            </w:pPr>
          </w:p>
        </w:tc>
        <w:tc>
          <w:tcPr>
            <w:tcW w:w="392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and nine months ended September 30, 2024 and 2023:</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124,576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75,376</w:t>
            </w: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760,564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529,038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729,269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478,530</w:t>
            </w: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54"/>
        </w:trPr>
        <w:tc>
          <w:tcPr>
            <w:tcW w:w="4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Annualized return on tangible equity for the three and nine months ended September 30, 2024 and 2023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146,672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86,844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139,229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75,625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672,826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440,043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641,248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389,191</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and nine months ended September 30, 2024 and 2023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124,576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75,376</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672,826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440,043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641,248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389,191</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54"/>
        </w:trPr>
        <w:tc>
          <w:tcPr>
            <w:tcW w:w="4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34,816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21"/>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400,014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355,683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44,331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1,354,894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1,138,242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216,652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gross written premiums for the third quarter and first nine months of 2024, when compared to the same 2023 periods, was driven by double-digit premium growth primarily from our transactional E&amp;S, programs, captives, surety and global property &amp; agriculture underwriting divisions.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and first nine months of 2023, the Company cancelled a quota share reinsurance contract. The following table provides a reconciliation of the impact of the cancellation of the quota share reinsurance contract on ceded written premiums, net retention, net written premiums and net earned premiums for the three and nine months ended September 30, 2023:</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30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700" w:type="dxa"/>
            <w:vAlign w:val="bottom"/>
            <w:tcBorders>
              <w:top w:val="single" w:sz="8" w:color="auto"/>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5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As Reported</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Adjustment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Adjusted</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retention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540" w:type="dxa"/>
            <w:vAlign w:val="bottom"/>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269,557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227,033</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45"/>
        </w:trPr>
        <w:tc>
          <w:tcPr>
            <w:tcW w:w="30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gridSpan w:val="7"/>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As Reported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tcPr>
          <w:p>
            <w:pPr>
              <w:spacing w:after="0"/>
              <w:rPr>
                <w:sz w:val="19"/>
                <w:szCs w:val="19"/>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Adjustment</w:t>
            </w:r>
          </w:p>
        </w:tc>
        <w:tc>
          <w:tcPr>
            <w:tcW w:w="34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Adjusted</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(502,326)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(50,462)</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retention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540" w:type="dxa"/>
            <w:vAlign w:val="bottom"/>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763,482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604,211</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591,066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126365</wp:posOffset>
            </wp:positionV>
            <wp:extent cx="70377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written premiums for the third quarter of 2024 were $268.3 million compared to $280.7 million for the same 2023 period. Net written premiums for the first nine months of 2024 were $852.6 million compared to $696.6 million for the same 2023 period. Excluding the impact of the quota share reinsurance contract cancellation, net written premiums for the third quarter and first nine months of 2024 increased 16.5% and 32.0%, respectively, when compared to the same 2023 periods, primarily driven by the same reasons that drove the increases in gross written premiums discussed above.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earned premiums for the third quarter of 2024 were $269.6 million compared to $227.0 million for the same 2023 period. Net earned premiums for the first nine months of 2024 were $763.5 million compared to $604.2 million for the same 2023 period. Excluding the impact of the quota share reinsurance contract cancellation, net earned premiums for the third quarter and first nine months of 2024 increased 26.0% and 29.2%, respectively, when compared to the same 2023 periods, primarily driven by the same reasons that drove the increases in gross written premiums discussed above.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Losses</w:t>
            </w: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and LAE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1"/>
                <w:szCs w:val="21"/>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and LAE</w:t>
            </w: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163,385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31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7,454</w:t>
            </w:r>
          </w:p>
        </w:tc>
        <w:tc>
          <w:tcPr>
            <w:tcW w:w="100" w:type="dxa"/>
            <w:vAlign w:val="bottom"/>
            <w:shd w:val="clear" w:color="auto" w:fill="CCEEFF"/>
          </w:tcPr>
          <w:p>
            <w:pPr>
              <w:spacing w:after="0"/>
              <w:rPr>
                <w:sz w:val="24"/>
                <w:szCs w:val="2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66"/>
        </w:trPr>
        <w:tc>
          <w:tcPr>
            <w:tcW w:w="5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LAE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170,521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163,385</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312"/>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7,454</w:t>
            </w:r>
          </w:p>
        </w:tc>
        <w:tc>
          <w:tcPr>
            <w:tcW w:w="1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66"/>
        </w:trPr>
        <w:tc>
          <w:tcPr>
            <w:tcW w:w="5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170,839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160" w:hanging="134"/>
        <w:spacing w:after="0"/>
        <w:tabs>
          <w:tab w:leader="none" w:pos="160" w:val="left"/>
        </w:tabs>
        <w:numPr>
          <w:ilvl w:val="0"/>
          <w:numId w:val="32"/>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3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color w:val="auto"/>
                <w:w w:val="97"/>
              </w:rPr>
              <w:t>Losses</w:t>
            </w: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Losses</w:t>
            </w: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3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0"/>
                <w:szCs w:val="20"/>
                <w:color w:val="auto"/>
              </w:rPr>
            </w:pPr>
          </w:p>
        </w:tc>
        <w:tc>
          <w:tcPr>
            <w:tcW w:w="1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and LAE</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0"/>
                <w:szCs w:val="20"/>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and LAE</w:t>
            </w: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34"/>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462,835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31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66"/>
        </w:trPr>
        <w:tc>
          <w:tcPr>
            <w:tcW w:w="5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LAE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312"/>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66"/>
        </w:trPr>
        <w:tc>
          <w:tcPr>
            <w:tcW w:w="53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160" w:hanging="134"/>
        <w:spacing w:after="0"/>
        <w:tabs>
          <w:tab w:leader="none" w:pos="160" w:val="left"/>
        </w:tabs>
        <w:numPr>
          <w:ilvl w:val="0"/>
          <w:numId w:val="3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ratios for the third quarter and first nine months of 2024 increased 2.3 points and improved 0.5 points, respectively, when compared to the same 2023 periods. The third quarter of 2024 was impacted by higher catastrophe losses, primarily from Hurricanes Helene and Beryl. The non-cat loss and LAE ratio for the third quarter of 2024 was comparable to the same 2023 period. The non-cat loss and LAE ratio for the first nine months of 2024 improved 0.3 points when compared to the same 2023 period, primarily driven by the shift in the mix of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three and nine months ended September 30, 2024 and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Net Earned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Premiums</w:t>
            </w:r>
          </w:p>
        </w:tc>
        <w:tc>
          <w:tcPr>
            <w:tcW w:w="22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37,365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42,452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Premiums</w:t>
            </w:r>
          </w:p>
        </w:tc>
        <w:tc>
          <w:tcPr>
            <w:tcW w:w="22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105,273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120,997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226,270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ratios for the third quarter and first nine months of 2024 were comparable to the same 2023 periods.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all periods presented exclude the impact of IPO related stock compensation and secondary offering expenses, which are reported in other expenses in our condensed consolidated statements of operations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Beginning January 1, 2024, we simplified the investment portfolio classifications to align with our strategy and the underlying risk characteristics of the portfolio. The prior period has been reclassified to conform to the current period presentation.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bottom w:val="single" w:sz="8" w:color="CCEEFF"/>
            </w:tcBorders>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19,521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59,956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 still held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8,378</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(6,391)</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15,609</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investment income for the third quarter and first nine months of 2024 increased $6.4 million and $33.6 million, respectively when compared to the same 2023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the third quarter and first nine months of 2024, when compared to the same 2023 periods, was due to (i) a larger asset base as we continued to increase our allocation to this part of our investment portfolio and (ii) a higher book yield of 5.0% at September 30, 2024 compared to 4.2% at September 30, 2023. The increase in income from short-term investments for the third quarter and first nine months of 2024 when compared to the same 2023 periods, was due to higher investment yields and a larger asset base. The increase in income from alternative and strategic investments for the first nine months of 2024 was driven by the increase in the fair value of limited partnership investments when compared to the same 2023 period. Net investment income for the third quarter of 2024 and 2023 was impacted by a decline in the fair value of limited partnership investments.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September 30, 2024 and determined that no credit impairment existed in the gross unrealized holding losses. See Note 2, “Investments” to our condensed consolidated financial statements included in Item 1 of this Form 10-Q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September 30, 2024 and December 31, 2023:</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8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1,995,651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1,679,578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September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52"/>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6"/>
        </w:trPr>
        <w:tc>
          <w:tcPr>
            <w:tcW w:w="5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“AA-” by Standard &amp; Poor’s Financial Services, LLC (“Standard &amp; Poor’s”) at September 30, 2024 and December 31, 2023. The following table sets forth the credit quality of our available-for-sale fixed income portfolio at September 30, 2024 and December 31, 2023, as rated by Standard &amp; Poor’s or equivalent designation: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531,730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1,357,500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3.89 years and 4.24 years, respectively, as of September 30, 2024 and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95.3% of which are publicly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2024 was $10.2 million and $29.8 million, respectively, compared to $6.1 million and $15.8 million, respectively, for the same 2023 periods. Our effective tax rates for the three and nine months ended September 30, 2024 were 21.7% and 22.2%, respectively, compared to 21.9% and 21.8%, respectively, for the same 2023 periods. For additional information, see Note 7 of our condensed consolidated financial statements included in Item 1 of this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2024 and 2023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283,216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218,539</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(307,833)</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2024 and 2023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2024 was primarily driven by purchases of fixed maturity securities, partially offset by sales and maturities of investment securities and sales of short-term investments. Net cash used in investing activities in 2023 was primarily driven by purchases of fixed maturity securities and short-term investments.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 2024 was driven by net payments on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the redemption of the March 15, 2024 draw on the Revolving Credit Facility and redeem $7.0 million of the March 29, 2023 draw on the Revolving Credit Facility (see “Revolving Credit Facility” below for additional information regarding the redemption).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provides us with up to a $150.0 million revolving credit facility and a letter of credit sub-facility of up to $30.0 million.</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30, 2024, we fully redeemed the March 15, 2024 draw on the Revolving Credit Facility and redeemed $7.0 million of the March 29, 2023 draw on the Revolving Credit Facility. As of September 30, 2024, we had $43.0 million outstanding under the Revolving Credit Facility with another $107.0 million of undrawn capacity.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At September 30, 2024, the six-month SOFR on the Revolving Credit Facility was 4.25%,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September 30, 2024,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2024 the ratio of total debt outstanding, including the FHLB Loan, the Revolving Credit Facility and the Notes, to total capitalization (defined as total debt plus stockholders’ equity) was 13.0% and at December 31, 2023, the ratio of total debt outstanding, including the Term Loan, the Revolver, the Trust Preferred and the Notes, to total capitalization was 16.3%.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our net retention on a written basis (calculated as net written premiums as a percentage of gross written premiums) was 67.1% and 62.9%, respectively, compared to 78.9% and 61.2%, respectively, for the same 2023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September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$1.00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$1.50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$3.50 million per occurrence</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$4.00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 million per occurrence</w:t>
            </w:r>
          </w:p>
        </w:tc>
      </w:tr>
    </w:tbl>
    <w:p>
      <w:pPr>
        <w:spacing w:after="0" w:line="15" w:lineRule="exact"/>
        <w:rPr>
          <w:sz w:val="20"/>
          <w:szCs w:val="20"/>
          <w:color w:val="auto"/>
        </w:rPr>
      </w:pPr>
    </w:p>
    <w:p>
      <w:pPr>
        <w:ind w:left="180" w:hanging="154"/>
        <w:spacing w:after="0"/>
        <w:tabs>
          <w:tab w:leader="none" w:pos="180" w:val="left"/>
        </w:tabs>
        <w:numPr>
          <w:ilvl w:val="0"/>
          <w:numId w:val="3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$15.0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2024, A.M. Best upgraded Skyward Specialty’s financial strength rating to A (Excellent) from A- (Excellent) and revised the outlook to stable from positive.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September 30, 2024 from those disclosed in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certain of our executives entered into written plans during an open insider trading window for the purchase or sale of our securities that are intended to satisfy the affirmative defense of Rule 10b5-1(c) under the Exchange Act and our policies regarding transactions in our securities.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material terms of these trading plans are set forth in the table below.</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Date of</w:t>
            </w:r>
          </w:p>
        </w:tc>
        <w:tc>
          <w:tcPr>
            <w:tcW w:w="3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Duration of Trading</w:t>
            </w:r>
          </w:p>
        </w:tc>
        <w:tc>
          <w:tcPr>
            <w:tcW w:w="1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5"/>
        </w:trPr>
        <w:tc>
          <w:tcPr>
            <w:tcW w:w="22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(Title)</w:t>
            </w:r>
          </w:p>
        </w:tc>
        <w:tc>
          <w:tcPr>
            <w:tcW w:w="1340" w:type="dxa"/>
            <w:vAlign w:val="bottom"/>
            <w:gridSpan w:val="2"/>
            <w:vMerge w:val="continue"/>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43"/>
        </w:trPr>
        <w:tc>
          <w:tcPr>
            <w:tcW w:w="2220" w:type="dxa"/>
            <w:vAlign w:val="bottom"/>
            <w:gridSpan w:val="2"/>
            <w:vMerge w:val="continue"/>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35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Nature of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Arrangement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169"/>
        </w:trPr>
        <w:tc>
          <w:tcPr>
            <w:tcW w:w="21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Andrew Robinson (</w:t>
            </w:r>
            <w:r>
              <w:rPr>
                <w:rFonts w:ascii="Times New Roman" w:cs="Times New Roman" w:eastAsia="Times New Roman" w:hAnsi="Times New Roman"/>
                <w:sz w:val="18"/>
                <w:szCs w:val="18"/>
                <w:i w:val="1"/>
                <w:iCs w:val="1"/>
                <w:color w:val="auto"/>
              </w:rPr>
              <w:t>Chief</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Up to 22,796</w:t>
            </w: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Andrew Robinson </w:t>
            </w:r>
            <w:r>
              <w:rPr>
                <w:rFonts w:ascii="Times New Roman" w:cs="Times New Roman" w:eastAsia="Times New Roman" w:hAnsi="Times New Roman"/>
                <w:sz w:val="18"/>
                <w:szCs w:val="18"/>
                <w:i w:val="1"/>
                <w:iCs w:val="1"/>
                <w:color w:val="auto"/>
              </w:rPr>
              <w:t>(Chief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60,358</w:t>
            </w: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5/30/2025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Mark Haushill </w:t>
            </w:r>
            <w:r>
              <w:rPr>
                <w:rFonts w:ascii="Times New Roman" w:cs="Times New Roman" w:eastAsia="Times New Roman" w:hAnsi="Times New Roman"/>
                <w:sz w:val="18"/>
                <w:szCs w:val="18"/>
                <w:i w:val="1"/>
                <w:iCs w:val="1"/>
                <w:color w:val="auto"/>
              </w:rPr>
              <w:t>(Chief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Up to 5,699</w:t>
            </w: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John Burkhart </w:t>
            </w:r>
            <w:r>
              <w:rPr>
                <w:rFonts w:ascii="Times New Roman" w:cs="Times New Roman" w:eastAsia="Times New Roman" w:hAnsi="Times New Roman"/>
                <w:sz w:val="18"/>
                <w:szCs w:val="18"/>
                <w:i w:val="1"/>
                <w:iCs w:val="1"/>
                <w:color w:val="auto"/>
              </w:rPr>
              <w:t>(President,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Up to 5,065</w:t>
            </w: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Specialty Lines and Industry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Solutions)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Kirby Hill </w:t>
            </w:r>
            <w:r>
              <w:rPr>
                <w:rFonts w:ascii="Times New Roman" w:cs="Times New Roman" w:eastAsia="Times New Roman" w:hAnsi="Times New Roman"/>
                <w:sz w:val="18"/>
                <w:szCs w:val="18"/>
                <w:i w:val="1"/>
                <w:iCs w:val="1"/>
                <w:color w:val="auto"/>
              </w:rPr>
              <w:t>(President,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5,445</w:t>
            </w: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Captives, Programs,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Alternative Risks)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Dan Bodnar </w:t>
            </w:r>
            <w:r>
              <w:rPr>
                <w:rFonts w:ascii="Times New Roman" w:cs="Times New Roman" w:eastAsia="Times New Roman" w:hAnsi="Times New Roman"/>
                <w:sz w:val="18"/>
                <w:szCs w:val="18"/>
                <w:i w:val="1"/>
                <w:iCs w:val="1"/>
                <w:color w:val="auto"/>
              </w:rPr>
              <w:t>(Chief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Up to 2,532</w:t>
            </w: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Information &amp; Technology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Dan Bodnar </w:t>
            </w:r>
            <w:r>
              <w:rPr>
                <w:rFonts w:ascii="Times New Roman" w:cs="Times New Roman" w:eastAsia="Times New Roman" w:hAnsi="Times New Roman"/>
                <w:sz w:val="18"/>
                <w:szCs w:val="18"/>
                <w:i w:val="1"/>
                <w:iCs w:val="1"/>
                <w:color w:val="auto"/>
              </w:rPr>
              <w:t>(Chief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Information &amp; Technology</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9/11/2024</w:t>
            </w:r>
          </w:p>
        </w:tc>
        <w:tc>
          <w:tcPr>
            <w:tcW w:w="10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1/2/2025 – 6/30/2025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2,699 shares</w:t>
            </w: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Sean Duffy </w:t>
            </w:r>
            <w:r>
              <w:rPr>
                <w:rFonts w:ascii="Times New Roman" w:cs="Times New Roman" w:eastAsia="Times New Roman" w:hAnsi="Times New Roman"/>
                <w:sz w:val="18"/>
                <w:szCs w:val="18"/>
                <w:i w:val="1"/>
                <w:iCs w:val="1"/>
                <w:color w:val="auto"/>
              </w:rPr>
              <w:t>(Chief Claims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Up to 4,305</w:t>
            </w: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Sean Duffy </w:t>
            </w:r>
            <w:r>
              <w:rPr>
                <w:rFonts w:ascii="Times New Roman" w:cs="Times New Roman" w:eastAsia="Times New Roman" w:hAnsi="Times New Roman"/>
                <w:sz w:val="18"/>
                <w:szCs w:val="18"/>
                <w:i w:val="1"/>
                <w:iCs w:val="1"/>
                <w:color w:val="auto"/>
              </w:rPr>
              <w:t>(Chief Claims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3/17/2025 – 12/31/2025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5,625 shares</w:t>
            </w: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Sandip Kapadia </w:t>
            </w:r>
            <w:r>
              <w:rPr>
                <w:rFonts w:ascii="Times New Roman" w:cs="Times New Roman" w:eastAsia="Times New Roman" w:hAnsi="Times New Roman"/>
                <w:sz w:val="18"/>
                <w:szCs w:val="18"/>
                <w:i w:val="1"/>
                <w:iCs w:val="1"/>
                <w:color w:val="auto"/>
              </w:rPr>
              <w:t>(Chief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Up to 2,532</w:t>
            </w: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Actuary &amp; Analytics Officer)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Sandip Kapadia </w:t>
            </w:r>
            <w:r>
              <w:rPr>
                <w:rFonts w:ascii="Times New Roman" w:cs="Times New Roman" w:eastAsia="Times New Roman" w:hAnsi="Times New Roman"/>
                <w:sz w:val="18"/>
                <w:szCs w:val="18"/>
                <w:i w:val="1"/>
                <w:iCs w:val="1"/>
                <w:color w:val="auto"/>
              </w:rPr>
              <w:t>(Chief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Actuary &amp; Analytics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1/2/2025 – 3/31/2025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5,362 shares</w:t>
            </w: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Tom Schmitt </w:t>
            </w:r>
            <w:r>
              <w:rPr>
                <w:rFonts w:ascii="Times New Roman" w:cs="Times New Roman" w:eastAsia="Times New Roman" w:hAnsi="Times New Roman"/>
                <w:sz w:val="18"/>
                <w:szCs w:val="18"/>
                <w:i w:val="1"/>
                <w:iCs w:val="1"/>
                <w:color w:val="auto"/>
              </w:rPr>
              <w:t>(Chief People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Up to 3,799</w:t>
            </w:r>
          </w:p>
        </w:tc>
        <w:tc>
          <w:tcPr>
            <w:tcW w:w="0" w:type="dxa"/>
            <w:vAlign w:val="bottom"/>
          </w:tcPr>
          <w:p>
            <w:pPr>
              <w:spacing w:after="0"/>
              <w:rPr>
                <w:sz w:val="1"/>
                <w:szCs w:val="1"/>
                <w:color w:val="auto"/>
              </w:rPr>
            </w:pPr>
          </w:p>
        </w:tc>
      </w:tr>
      <w:tr>
        <w:trPr>
          <w:trHeight w:val="24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&amp; Administrative Officer)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Pr>
          <w:p>
            <w:pPr>
              <w:spacing w:after="0"/>
              <w:rPr>
                <w:sz w:val="21"/>
                <w:szCs w:val="21"/>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Tom Schmitt </w:t>
            </w:r>
            <w:r>
              <w:rPr>
                <w:rFonts w:ascii="Times New Roman" w:cs="Times New Roman" w:eastAsia="Times New Roman" w:hAnsi="Times New Roman"/>
                <w:sz w:val="18"/>
                <w:szCs w:val="18"/>
                <w:i w:val="1"/>
                <w:iCs w:val="1"/>
                <w:color w:val="auto"/>
              </w:rPr>
              <w:t>(Chief People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&amp; Administrative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9/3/2024</w:t>
            </w:r>
          </w:p>
        </w:tc>
        <w:tc>
          <w:tcPr>
            <w:tcW w:w="100" w:type="dxa"/>
            <w:vAlign w:val="bottom"/>
            <w:shd w:val="clear" w:color="auto" w:fill="CCEEFF"/>
          </w:tcPr>
          <w:p>
            <w:pPr>
              <w:spacing w:after="0"/>
              <w:rPr>
                <w:sz w:val="21"/>
                <w:szCs w:val="21"/>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3/3/2025 – 12/31/2025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Up to 6,300 shares</w:t>
            </w: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Leslie Shaunty </w:t>
            </w:r>
            <w:r>
              <w:rPr>
                <w:rFonts w:ascii="Times New Roman" w:cs="Times New Roman" w:eastAsia="Times New Roman" w:hAnsi="Times New Roman"/>
                <w:sz w:val="18"/>
                <w:szCs w:val="18"/>
                <w:i w:val="1"/>
                <w:iCs w:val="1"/>
                <w:color w:val="auto"/>
              </w:rPr>
              <w:t>(General</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Up to 2,532</w:t>
            </w:r>
          </w:p>
        </w:tc>
        <w:tc>
          <w:tcPr>
            <w:tcW w:w="0" w:type="dxa"/>
            <w:vAlign w:val="bottom"/>
          </w:tcPr>
          <w:p>
            <w:pPr>
              <w:spacing w:after="0"/>
              <w:rPr>
                <w:sz w:val="1"/>
                <w:szCs w:val="1"/>
                <w:color w:val="auto"/>
              </w:rPr>
            </w:pPr>
          </w:p>
        </w:tc>
      </w:tr>
      <w:tr>
        <w:trPr>
          <w:trHeight w:val="243"/>
        </w:trPr>
        <w:tc>
          <w:tcPr>
            <w:tcW w:w="2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Counsel &amp; Secretary)</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1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Rule 10b5-1(c) Trading Arrangement</w:t>
            </w:r>
          </w:p>
        </w:tc>
        <w:tc>
          <w:tcPr>
            <w:tcW w:w="2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1/2/2025 – 1/31/2025</w:t>
            </w:r>
          </w:p>
        </w:tc>
        <w:tc>
          <w:tcPr>
            <w:tcW w:w="14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shares</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60" w:right="120" w:hanging="10"/>
        <w:spacing w:after="0" w:line="223" w:lineRule="auto"/>
        <w:tabs>
          <w:tab w:leader="none" w:pos="509" w:val="left"/>
        </w:tabs>
        <w:numPr>
          <w:ilvl w:val="0"/>
          <w:numId w:val="3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The number of shares of common stock sold under the Rule 10b5-1 trading arrangement will be limited to such number of shares necessary to satisfy applicable tax obligations upon the vesting of covered securities and is not yet determinable.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6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1"/>
          </w:tcPr>
          <w:p>
            <w:pPr>
              <w:spacing w:after="0" w:line="129"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8-K filed with the Commission on January 18, 2023).</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3"/>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Commission on January 18, 2023).</w:t>
              </w:r>
            </w:hyperlink>
          </w:p>
        </w:tc>
        <w:tc>
          <w:tcPr>
            <w:tcW w:w="7140" w:type="dxa"/>
            <w:vAlign w:val="bottom"/>
            <w:tcBorders>
              <w:top w:val="single" w:sz="8" w:color="0000FF"/>
            </w:tcBorders>
            <w:gridSpan w:val="8"/>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5"/>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408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431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29"/>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29"/>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78"/>
        </w:trPr>
        <w:tc>
          <w:tcPr>
            <w:tcW w:w="3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1">
            <w:col w:w="11240"/>
          </w:cols>
          <w:pgMar w:left="320" w:top="13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7, 2024</w:t>
            </w: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7, 2024</w:t>
            </w: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nine months ended September 30, 2024,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7, 2024</w:t>
            </w: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7, 2024</w:t>
            </w: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1."/>
      <w:numFmt w:val="decimal"/>
      <w:start w:val="3"/>
    </w:lvl>
  </w:abstractNum>
  <w:abstractNum w:abstractNumId="14">
    <w:nsid w:val="2CA88611"/>
    <w:multiLevelType w:val="hybridMultilevel"/>
    <w:lvl w:ilvl="0">
      <w:lvlJc w:val="left"/>
      <w:lvlText w:val="%1."/>
      <w:numFmt w:val="decimal"/>
      <w:start w:val="3"/>
    </w:lvl>
  </w:abstractNum>
  <w:abstractNum w:abstractNumId="15">
    <w:nsid w:val="836C40E"/>
    <w:multiLevelType w:val="hybridMultilevel"/>
    <w:lvl w:ilvl="0">
      <w:lvlJc w:val="left"/>
      <w:lvlText w:val="%1."/>
      <w:numFmt w:val="decimal"/>
      <w:start w:val="4"/>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1."/>
      <w:numFmt w:val="decimal"/>
      <w:start w:val="5"/>
    </w:lvl>
  </w:abstractNum>
  <w:abstractNum w:abstractNumId="18">
    <w:nsid w:val="8138641"/>
    <w:multiLevelType w:val="hybridMultilevel"/>
    <w:lvl w:ilvl="0">
      <w:lvlJc w:val="left"/>
      <w:lvlText w:val="%1."/>
      <w:numFmt w:val="decimal"/>
      <w:start w:val="5"/>
    </w:lvl>
  </w:abstractNum>
  <w:abstractNum w:abstractNumId="19">
    <w:nsid w:val="1E7FF521"/>
    <w:multiLevelType w:val="hybridMultilevel"/>
    <w:lvl w:ilvl="0">
      <w:lvlJc w:val="left"/>
      <w:lvlText w:val="%1."/>
      <w:numFmt w:val="decimal"/>
      <w:start w:val="6"/>
    </w:lvl>
  </w:abstractNum>
  <w:abstractNum w:abstractNumId="20">
    <w:nsid w:val="7C3DBD3D"/>
    <w:multiLevelType w:val="hybridMultilevel"/>
    <w:lvl w:ilvl="0">
      <w:lvlJc w:val="left"/>
      <w:lvlText w:val="%1."/>
      <w:numFmt w:val="decimal"/>
      <w:start w:val="7"/>
    </w:lvl>
  </w:abstractNum>
  <w:abstractNum w:abstractNumId="21">
    <w:nsid w:val="737B8DDC"/>
    <w:multiLevelType w:val="hybridMultilevel"/>
    <w:lvl w:ilvl="0">
      <w:lvlJc w:val="left"/>
      <w:lvlText w:val="%1."/>
      <w:numFmt w:val="decimal"/>
      <w:start w:val="8"/>
    </w:lvl>
  </w:abstractNum>
  <w:abstractNum w:abstractNumId="22">
    <w:nsid w:val="6CEAF087"/>
    <w:multiLevelType w:val="hybridMultilevel"/>
    <w:lvl w:ilvl="0">
      <w:lvlJc w:val="left"/>
      <w:lvlText w:val="%1."/>
      <w:numFmt w:val="decimal"/>
      <w:start w:val="9"/>
    </w:lvl>
  </w:abstractNum>
  <w:abstractNum w:abstractNumId="23">
    <w:nsid w:val="22221A70"/>
    <w:multiLevelType w:val="hybridMultilevel"/>
    <w:lvl w:ilvl="0">
      <w:lvlJc w:val="left"/>
      <w:lvlText w:val="%1."/>
      <w:numFmt w:val="decimal"/>
      <w:start w:val="10"/>
    </w:lvl>
  </w:abstractNum>
  <w:abstractNum w:abstractNumId="24">
    <w:nsid w:val="4516DDE9"/>
    <w:multiLevelType w:val="hybridMultilevel"/>
    <w:lvl w:ilvl="0">
      <w:lvlJc w:val="left"/>
      <w:lvlText w:val="%1."/>
      <w:numFmt w:val="decimal"/>
      <w:start w:val="11"/>
    </w:lvl>
  </w:abstractNum>
  <w:abstractNum w:abstractNumId="25">
    <w:nsid w:val="3006C83E"/>
    <w:multiLevelType w:val="hybridMultilevel"/>
    <w:lvl w:ilvl="0">
      <w:lvlJc w:val="left"/>
      <w:lvlText w:val="%1."/>
      <w:numFmt w:val="decimal"/>
      <w:start w:val="11"/>
    </w:lvl>
  </w:abstractNum>
  <w:abstractNum w:abstractNumId="26">
    <w:nsid w:val="614FD4A1"/>
    <w:multiLevelType w:val="hybridMultilevel"/>
    <w:lvl w:ilvl="0">
      <w:lvlJc w:val="left"/>
      <w:lvlText w:val="%1."/>
      <w:numFmt w:val="decimal"/>
      <w:start w:val="12"/>
    </w:lvl>
  </w:abstractNum>
  <w:abstractNum w:abstractNumId="27">
    <w:nsid w:val="419AC241"/>
    <w:multiLevelType w:val="hybridMultilevel"/>
    <w:lvl w:ilvl="0">
      <w:lvlJc w:val="left"/>
      <w:lvlText w:val="%1."/>
      <w:numFmt w:val="decimal"/>
      <w:start w:val="12"/>
    </w:lvl>
  </w:abstractNum>
  <w:abstractNum w:abstractNumId="28">
    <w:nsid w:val="5577F8E1"/>
    <w:multiLevelType w:val="hybridMultilevel"/>
    <w:lvl w:ilvl="0">
      <w:lvlJc w:val="left"/>
      <w:lvlText w:val="%1."/>
      <w:numFmt w:val="decimal"/>
      <w:start w:val="13"/>
    </w:lvl>
  </w:abstractNum>
  <w:abstractNum w:abstractNumId="29">
    <w:nsid w:val="440BADFC"/>
    <w:multiLevelType w:val="hybridMultilevel"/>
    <w:lvl w:ilvl="0">
      <w:lvlJc w:val="left"/>
      <w:lvlText w:val="%1."/>
      <w:numFmt w:val="decimal"/>
      <w:start w:val="14"/>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lvl w:ilvl="1">
      <w:lvlJc w:val="left"/>
      <w:lvlText w:val="%2"/>
      <w:numFmt w:val="decimal"/>
      <w:start w:val="104"/>
    </w:lvl>
  </w:abstractNum>
  <w:abstractNum w:abstractNumId="37">
    <w:nsid w:val="51EAD36B"/>
    <w:multiLevelType w:val="hybridMultilevel"/>
    <w:lvl w:ilvl="0">
      <w:lvlJc w:val="left"/>
      <w:lvlText w:val="(%1)"/>
      <w:numFmt w:val="lowerLetter"/>
      <w:start w:val="2"/>
    </w:lvl>
    <w:lvl w:ilvl="1">
      <w:lvlJc w:val="left"/>
      <w:lvlText w:val="%2"/>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7" Type="http://schemas.openxmlformats.org/officeDocument/2006/relationships/hyperlink" Target="https://www.sec.gov/Archives/edgar/data/1519449/000110465923004624/tm233575d1_ex3-1.htm" TargetMode="External"/><Relationship Id="rId78" Type="http://schemas.openxmlformats.org/officeDocument/2006/relationships/hyperlink" Target="https://www.sec.gov/Archives/edgar/data/1519449/000110465923004624/tm233575d1_ex3-2.htm" TargetMode="External"/><Relationship Id="rId79"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2024-11-07T12:07:05Z</dcterms:created>
  <dcterms:modified xsi:type="dcterms:W3CDTF">2024-11-07T12:07:05Z</dcterms:modified>
</cp:coreProperties>
</file>