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Skyward Specialty Insurance Group,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10064" w:type="dxa"/>
        <w:jc w:val="left"/>
        <w:tblInd w:w="0" w:type="dxa"/>
        <w:tblLayout w:type="fixed"/>
        <w:tblCellMar>
          <w:top w:w="28" w:type="dxa"/>
          <w:left w:w="28" w:type="dxa"/>
          <w:bottom w:w="28" w:type="dxa"/>
          <w:right w:w="28" w:type="dxa"/>
        </w:tblCellMar>
      </w:tblPr>
      <w:tblGrid>
        <w:gridCol w:w="1588"/>
        <w:gridCol w:w="1394"/>
        <w:gridCol w:w="1398"/>
        <w:gridCol w:w="764"/>
        <w:gridCol w:w="764"/>
        <w:gridCol w:w="766"/>
        <w:gridCol w:w="992"/>
        <w:gridCol w:w="992"/>
        <w:gridCol w:w="1406"/>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001-41591</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14-1957288</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Gessner Road, Suite 600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77024-4284</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1006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(713) 935-4800</w:t>
            </w:r>
          </w:p>
        </w:tc>
      </w:tr>
      <w:tr>
        <w:trPr/>
        <w:tc>
          <w:tcPr>
            <w:tcW w:w="100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029" w:type="dxa"/>
        <w:jc w:val="left"/>
        <w:tblInd w:w="0" w:type="dxa"/>
        <w:tblLayout w:type="fixed"/>
        <w:tblCellMar>
          <w:top w:w="28" w:type="dxa"/>
          <w:left w:w="28" w:type="dxa"/>
          <w:bottom w:w="28" w:type="dxa"/>
          <w:right w:w="28" w:type="dxa"/>
        </w:tblCellMar>
      </w:tblPr>
      <w:tblGrid>
        <w:gridCol w:w="979"/>
        <w:gridCol w:w="860"/>
        <w:gridCol w:w="860"/>
        <w:gridCol w:w="502"/>
        <w:gridCol w:w="502"/>
        <w:gridCol w:w="502"/>
        <w:gridCol w:w="1120"/>
        <w:gridCol w:w="1120"/>
        <w:gridCol w:w="158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02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SKWD</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108"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5336" w:type="dxa"/>
        <w:jc w:val="left"/>
        <w:tblInd w:w="0" w:type="dxa"/>
        <w:tblLayout w:type="fixed"/>
        <w:tblCellMar>
          <w:top w:w="28" w:type="dxa"/>
          <w:left w:w="28" w:type="dxa"/>
          <w:bottom w:w="28" w:type="dxa"/>
          <w:right w:w="28" w:type="dxa"/>
        </w:tblCellMar>
      </w:tblPr>
      <w:tblGrid>
        <w:gridCol w:w="347"/>
        <w:gridCol w:w="304"/>
        <w:gridCol w:w="308"/>
        <w:gridCol w:w="109"/>
        <w:gridCol w:w="109"/>
        <w:gridCol w:w="109"/>
        <w:gridCol w:w="1186"/>
        <w:gridCol w:w="1186"/>
        <w:gridCol w:w="16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2026, Skyward Specialty Insurance Group, Inc. (the “Company”) issued a press release announcing the results of the Company’s operations for the quarter and fiscal period ended June 30, 2026. The press release is furnished as Exhibit 99.1 to this Report and is hereby incorporated by reference in this Item 2.02.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provided in General Instruction B.2 of Form 8-K, the information and exhibits contained in this Form 8-K shall not be deemed to be “filed” for purposes of Section 18 of the Securities Exchange Act of 1934, as amended, nor shall they be deemed to be incorporated by reference in any filing under the Securities Act of 1933, as amended, except as shall be expressly set forth by specific reference in such a filing.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Statements made in this Current Report on Form 8-K, other than those concerning historical information, should be considered forward-looking statements pursuant to the safe harbor provisions of the Securities Exchange Act of 1934 and the Private Securities Litigation Act of 1995. These forward-looking statements involve risks and uncertainties and are based on the beliefs and assumptions of management and on the information available to management at the time that this report was prepared. These statements can be identified by the use of words like “expect,” “anticipate,” “estimate,” and “believe,” variations of these words and other similar expressions. Readers should not place undue reliance on forward-looking statements as a number of important factors could cause actual results to differ materially from those in the forward-looking statements. Factors that might cause such a difference include, but are not limited to, changes in interest rate environment, management’s business strategy, national, regional, and local market conditions and legislative and regulatory conditions.</w:t>
      </w:r>
    </w:p>
    <w:tbl>
      <w:tblPr>
        <w:tblW w:w="4316" w:type="dxa"/>
        <w:jc w:val="left"/>
        <w:tblInd w:w="0" w:type="dxa"/>
        <w:tblLayout w:type="fixed"/>
        <w:tblCellMar>
          <w:top w:w="28" w:type="dxa"/>
          <w:left w:w="28" w:type="dxa"/>
          <w:bottom w:w="28" w:type="dxa"/>
          <w:right w:w="28" w:type="dxa"/>
        </w:tblCellMar>
      </w:tblPr>
      <w:tblGrid>
        <w:gridCol w:w="347"/>
        <w:gridCol w:w="304"/>
        <w:gridCol w:w="308"/>
        <w:gridCol w:w="109"/>
        <w:gridCol w:w="109"/>
        <w:gridCol w:w="109"/>
        <w:gridCol w:w="887"/>
        <w:gridCol w:w="887"/>
        <w:gridCol w:w="1256"/>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     </w:t>
            </w:r>
            <w:r>
              <w:rPr>
                <w:rFonts w:ascii="Times New Roman;serif" w:hAnsi="Times New Roman;serif"/>
                <w:b w:val="false"/>
                <w:color w:val="000000"/>
                <w:sz w:val="20"/>
              </w:rPr>
              <w:t>Exhibits</w:t>
            </w:r>
          </w:p>
        </w:tc>
      </w:tr>
    </w:tbl>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arningsrelease-ex9912q2026.htm">
              <w:r>
                <w:rPr>
                  <w:rStyle w:val="InternetLink"/>
                  <w:rFonts w:ascii="Times New Roman;serif" w:hAnsi="Times New Roman;serif"/>
                  <w:b w:val="false"/>
                  <w:color w:val="000080"/>
                  <w:sz w:val="20"/>
                  <w:u w:val="single"/>
                </w:rPr>
                <w:t xml:space="preserve">Press Release dated August </w:t>
              </w:r>
            </w:hyperlink>
            <w:hyperlink w:anchor="earningsrelease-ex9912q2026.htm">
              <w:r>
                <w:rPr>
                  <w:rStyle w:val="InternetLink"/>
                  <w:rFonts w:ascii="Times New Roman;serif" w:hAnsi="Times New Roman;serif"/>
                  <w:b w:val="false"/>
                  <w:color w:val="000080"/>
                  <w:sz w:val="20"/>
                  <w:u w:val="single"/>
                </w:rPr>
                <w:t>4</w:t>
              </w:r>
            </w:hyperlink>
            <w:hyperlink w:anchor="earningsrelease-ex9912q2026.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6911"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368"/>
        <w:gridCol w:w="1368"/>
        <w:gridCol w:w="19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SKYWARD SPECIALTY INSURANCE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68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20"/>
        <w:jc w:val="left"/>
        <w:rPr/>
      </w:pPr>
      <w:r>
        <w:rPr/>
        <w:drawing>
          <wp:inline distT="0" distB="0" distL="0" distR="0">
            <wp:extent cx="5943600" cy="971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971550"/>
                    </a:xfrm>
                    <a:prstGeom prst="rect">
                      <a:avLst/>
                    </a:prstGeom>
                  </pic:spPr>
                </pic:pic>
              </a:graphicData>
            </a:graphic>
          </wp:inline>
        </w:drawing>
      </w:r>
    </w:p>
    <w:p>
      <w:pPr>
        <w:pStyle w:val="TextBody"/>
        <w:bidi w:val="0"/>
        <w:spacing w:lineRule="auto" w:line="288" w:before="0" w:after="120"/>
        <w:jc w:val="left"/>
        <w:rPr>
          <w:rFonts w:ascii="Times New Roman;serif" w:hAnsi="Times New Roman;serif"/>
          <w:b/>
          <w:color w:val="000000"/>
          <w:sz w:val="28"/>
        </w:rPr>
      </w:pPr>
      <w:r>
        <w:rPr>
          <w:rFonts w:ascii="Times New Roman;serif" w:hAnsi="Times New Roman;serif"/>
          <w:b/>
          <w:color w:val="000000"/>
          <w:sz w:val="28"/>
        </w:rPr>
        <w:t>Skyward Group Reports Second Quarter 2026 Results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Houston, TX – August 4, 2026 – Skyward Specialty Insurance Group, Inc. (Nasdaq: SKWD) (“Skyward Group” or the “Company”) today reported second quarter 2026 results.</w:t>
      </w:r>
    </w:p>
    <w:tbl>
      <w:tblPr>
        <w:tblW w:w="10205" w:type="dxa"/>
        <w:jc w:val="left"/>
        <w:tblInd w:w="0" w:type="dxa"/>
        <w:tblLayout w:type="fixed"/>
        <w:tblCellMar>
          <w:top w:w="28" w:type="dxa"/>
          <w:left w:w="28" w:type="dxa"/>
          <w:bottom w:w="28" w:type="dxa"/>
          <w:right w:w="28" w:type="dxa"/>
        </w:tblCellMar>
      </w:tblPr>
      <w:tblGrid>
        <w:gridCol w:w="934"/>
        <w:gridCol w:w="821"/>
        <w:gridCol w:w="825"/>
        <w:gridCol w:w="142"/>
        <w:gridCol w:w="142"/>
        <w:gridCol w:w="142"/>
        <w:gridCol w:w="285"/>
        <w:gridCol w:w="775"/>
        <w:gridCol w:w="443"/>
        <w:gridCol w:w="147"/>
        <w:gridCol w:w="147"/>
        <w:gridCol w:w="147"/>
        <w:gridCol w:w="285"/>
        <w:gridCol w:w="692"/>
        <w:gridCol w:w="366"/>
        <w:gridCol w:w="142"/>
        <w:gridCol w:w="142"/>
        <w:gridCol w:w="142"/>
        <w:gridCol w:w="276"/>
        <w:gridCol w:w="775"/>
        <w:gridCol w:w="443"/>
        <w:gridCol w:w="142"/>
        <w:gridCol w:w="142"/>
        <w:gridCol w:w="142"/>
        <w:gridCol w:w="276"/>
        <w:gridCol w:w="789"/>
        <w:gridCol w:w="501"/>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Summary Financial Data</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per share amounts)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Managed Premiums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1,058,675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900,849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2,026,384</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1,710,234</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Gross written premiums</w:t>
            </w:r>
            <w:r>
              <w:rPr>
                <w:rFonts w:ascii="Times New Roman;serif" w:hAnsi="Times New Roman;serif"/>
                <w:b w:val="false"/>
                <w:color w:val="000000"/>
                <w:sz w:val="13"/>
              </w:rPr>
              <w:t>(2)</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740,554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653,861</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1,408,258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1,248,431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Fee generating gross written premiums</w:t>
            </w:r>
            <w:r>
              <w:rPr>
                <w:rFonts w:ascii="Times New Roman;serif" w:hAnsi="Times New Roman;serif"/>
                <w:b w:val="false"/>
                <w:color w:val="000000"/>
                <w:sz w:val="13"/>
              </w:rPr>
              <w:t>(2)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318,121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246,988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618,126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461,803</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485,616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339,213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918,499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682,484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49,038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98,769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80,897</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operating income</w:t>
            </w:r>
            <w:r>
              <w:rPr>
                <w:rFonts w:ascii="Times New Roman;serif" w:hAnsi="Times New Roman;serif"/>
                <w:b w:val="false"/>
                <w:color w:val="000000"/>
                <w:sz w:val="13"/>
              </w:rPr>
              <w:t>(3)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59,198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37,496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116,091</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75,233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operating earnings per share</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w:t>
            </w: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w:t>
            </w: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1"/>
              <w:jc w:val="left"/>
              <w:rPr/>
            </w:pPr>
            <w:r>
              <w:rPr>
                <w:rFonts w:ascii="Times New Roman;serif" w:hAnsi="Times New Roman;serif"/>
                <w:b w:val="false"/>
                <w:color w:val="000000"/>
                <w:sz w:val="20"/>
              </w:rPr>
              <w:t xml:space="preserve">Annualized ROE </w:t>
            </w:r>
            <w:r>
              <w:rPr>
                <w:rFonts w:ascii="Times New Roman;serif" w:hAnsi="Times New Roman;serif"/>
                <w:b w:val="false"/>
                <w:color w:val="000000"/>
                <w:sz w:val="13"/>
              </w:rPr>
              <w:t>(4)</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15.7</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1"/>
              <w:jc w:val="left"/>
              <w:rPr/>
            </w:pPr>
            <w:r>
              <w:rPr>
                <w:rFonts w:ascii="Times New Roman;serif" w:hAnsi="Times New Roman;serif"/>
                <w:b w:val="false"/>
                <w:color w:val="000000"/>
                <w:sz w:val="20"/>
              </w:rPr>
              <w:t xml:space="preserve">Annualized operating ROE </w:t>
            </w:r>
            <w:r>
              <w:rPr>
                <w:rFonts w:ascii="Times New Roman;serif" w:hAnsi="Times New Roman;serif"/>
                <w:b w:val="false"/>
                <w:color w:val="000000"/>
                <w:sz w:val="13"/>
              </w:rPr>
              <w:t>(5)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w:t>
            </w: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Select second quarter 2025 metrics for the Skyward Group and Apollo are presented on a pro forma basis for comparative purposes only and are not necessarily indicative of the operating results that Skyward Group would have recognized had the acquisition actually been completed on January 1, 2025. Pro forma information is unaudited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Prior year pro forma gross written premiums are adjusted for the impact of the change in participations. See “Reconciliation of Non-GAAP Financial Measures”.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See “Reconciliation of Non-GAAP Financial Measures”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(4) </w:t>
            </w:r>
            <w:r>
              <w:rPr>
                <w:rFonts w:ascii="Times New Roman;serif" w:hAnsi="Times New Roman;serif"/>
                <w:b w:val="false"/>
                <w:i/>
                <w:color w:val="000000"/>
                <w:sz w:val="16"/>
              </w:rPr>
              <w:t>Annualized ROE is net income expressed on an annualized basis as a percentage of average beginning and ending stockholders' equity during the period.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(5)</w:t>
            </w:r>
            <w:r>
              <w:rPr>
                <w:color w:val="000000"/>
              </w:rPr>
              <w:t xml:space="preserve"> </w:t>
            </w:r>
            <w:r>
              <w:rPr>
                <w:rFonts w:ascii="Times New Roman;serif" w:hAnsi="Times New Roman;serif"/>
                <w:b w:val="false"/>
                <w:i/>
                <w:color w:val="000000"/>
                <w:sz w:val="16"/>
              </w:rPr>
              <w:t>Annualized operating ROE is operating income expressed on an annualized basis as a percentage of average beginning and ending stockholders' equity during the period.</w:t>
            </w:r>
          </w:p>
        </w:tc>
      </w:tr>
      <w:tr>
        <w:trPr/>
        <w:tc>
          <w:tcPr>
            <w:tcW w:w="25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Highlights for the second quarter included: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Managed premiums increased 17.5%</w:t>
      </w:r>
      <w:r>
        <w:rPr>
          <w:rFonts w:ascii="Times New Roman;serif" w:hAnsi="Times New Roman;serif"/>
          <w:b w:val="false"/>
          <w:color w:val="000000"/>
          <w:sz w:val="14"/>
        </w:rPr>
        <w:t xml:space="preserve">(2) </w:t>
      </w:r>
      <w:r>
        <w:rPr>
          <w:rFonts w:ascii="Times New Roman;serif" w:hAnsi="Times New Roman;serif"/>
          <w:b w:val="false"/>
          <w:color w:val="000000"/>
          <w:sz w:val="22"/>
        </w:rPr>
        <w:t>compared to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Gross written premiums increased 13.3%</w:t>
      </w:r>
      <w:r>
        <w:rPr>
          <w:rFonts w:ascii="Times New Roman;serif" w:hAnsi="Times New Roman;serif"/>
          <w:b w:val="false"/>
          <w:color w:val="000000"/>
          <w:sz w:val="14"/>
        </w:rPr>
        <w:t>(1)(2)</w:t>
      </w:r>
      <w:r>
        <w:rPr>
          <w:color w:val="000000"/>
        </w:rPr>
        <w:t xml:space="preserve"> </w:t>
      </w:r>
      <w:r>
        <w:rPr>
          <w:rFonts w:ascii="Times New Roman;serif" w:hAnsi="Times New Roman;serif"/>
          <w:b w:val="false"/>
          <w:color w:val="000000"/>
          <w:sz w:val="22"/>
        </w:rPr>
        <w:t>compared to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Combined ratio of 89.5%;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Ex-Cat combined ratio of 87.6%;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Repurchased 223 thousand shares of common stock for $9.7 million and expanded the share repurchase authorization from $50 million to $100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Annualized return on equity</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and annualized operating return on equity</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of 17.3% and 20.4%, respectively, for the six months ended June 30, 2026;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Book value per share of $28.55, an increase of 14.6% compared to December 31, 2025.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Skyward Group Chairman and CEO Andrew Robinson commented, “We delivered another quarter of excellent results reflecting the strength, resilience and earnings power of our Rule Our Niche strategy, our uniquely diversified business portfolio, and disciplined execution. Diluted operating earnings per share of $1.30 increased 46% year over year, and our annualized operating return on equity of 20.4% for the first half of the year underscores our continued strong returns and outstanding earnings growth. Our combined ratio of 89.5%, inclusive of 1.9 points of catastrophe losses, again demonstrates the quality of our underwriting and disciplined risk management. Gross written premiums grew 13% and fee generating premiums grew 29% to $318 million in the quarter. Book value per share increased to $28.55 during the quarter. We believe we are exceptionally well positioned to continue to deliver top quartile results and long-term value for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Gross Written Premiums By Underwriting Division</w:t>
      </w:r>
    </w:p>
    <w:tbl>
      <w:tblPr>
        <w:tblW w:w="10205" w:type="dxa"/>
        <w:jc w:val="left"/>
        <w:tblInd w:w="0" w:type="dxa"/>
        <w:tblLayout w:type="fixed"/>
        <w:tblCellMar>
          <w:top w:w="28" w:type="dxa"/>
          <w:left w:w="28" w:type="dxa"/>
          <w:bottom w:w="28" w:type="dxa"/>
          <w:right w:w="28" w:type="dxa"/>
        </w:tblCellMar>
      </w:tblPr>
      <w:tblGrid>
        <w:gridCol w:w="963"/>
        <w:gridCol w:w="588"/>
        <w:gridCol w:w="591"/>
        <w:gridCol w:w="109"/>
        <w:gridCol w:w="109"/>
        <w:gridCol w:w="109"/>
        <w:gridCol w:w="257"/>
        <w:gridCol w:w="364"/>
        <w:gridCol w:w="327"/>
        <w:gridCol w:w="117"/>
        <w:gridCol w:w="117"/>
        <w:gridCol w:w="117"/>
        <w:gridCol w:w="257"/>
        <w:gridCol w:w="364"/>
        <w:gridCol w:w="327"/>
        <w:gridCol w:w="117"/>
        <w:gridCol w:w="117"/>
        <w:gridCol w:w="117"/>
        <w:gridCol w:w="247"/>
        <w:gridCol w:w="249"/>
        <w:gridCol w:w="398"/>
        <w:gridCol w:w="109"/>
        <w:gridCol w:w="109"/>
        <w:gridCol w:w="109"/>
        <w:gridCol w:w="249"/>
        <w:gridCol w:w="411"/>
        <w:gridCol w:w="415"/>
        <w:gridCol w:w="114"/>
        <w:gridCol w:w="114"/>
        <w:gridCol w:w="114"/>
        <w:gridCol w:w="249"/>
        <w:gridCol w:w="411"/>
        <w:gridCol w:w="415"/>
        <w:gridCol w:w="114"/>
        <w:gridCol w:w="114"/>
        <w:gridCol w:w="114"/>
        <w:gridCol w:w="247"/>
        <w:gridCol w:w="249"/>
        <w:gridCol w:w="587"/>
      </w:tblGrid>
      <w:tr>
        <w:trPr/>
        <w:tc>
          <w:tcPr>
            <w:tcW w:w="9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Skyward Specialty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95,456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60,489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187,465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123,658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64,251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76,994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122,165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143,923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&amp; Surety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63,759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55,131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127,933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100,159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Energy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62,690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74,822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111,556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150,416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Agriculture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111,939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57,179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214,291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137,796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71,109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83,992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105,626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130,678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34,978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37,555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71,206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77,772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111,441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85,955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206,208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148,630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Transactional E&amp;S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52,296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53,461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102,360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105,467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continuing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667,919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585,578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1,248,810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1,118,499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Exited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Skyward Specialty Segment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667,773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584,914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1,249,577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1,120,240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Apollo Segment</w:t>
            </w:r>
            <w:r>
              <w:rPr>
                <w:rFonts w:ascii="Times New Roman;serif" w:hAnsi="Times New Roman;serif"/>
                <w:b/>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59,431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55,207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124,439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99,059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13,350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34,242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Apollo Segment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72,781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68,947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158,681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128,191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gross written premiums</w:t>
            </w:r>
            <w:r>
              <w:rPr>
                <w:rFonts w:ascii="Times New Roman;serif" w:hAnsi="Times New Roman;serif"/>
                <w:b/>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740,554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653,861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1,408,258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1,248,431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1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Prior year information is 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(2) </w:t>
            </w:r>
            <w:r>
              <w:rPr>
                <w:rFonts w:ascii="Times New Roman;serif" w:hAnsi="Times New Roman;serif"/>
                <w:b w:val="false"/>
                <w:i/>
                <w:color w:val="000000"/>
                <w:sz w:val="16"/>
              </w:rPr>
              <w:t>Prior year information is adjusted for the impact of the change in participations. See “Reconciliation of Non-GAAP Financial Measures”.</w:t>
            </w:r>
          </w:p>
        </w:tc>
      </w:tr>
      <w:tr>
        <w:trPr/>
        <w:tc>
          <w:tcPr>
            <w:tcW w:w="21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Managed Premiums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Apollo provides managing agency services to nine syndicates within its Lloyd’s platform. The capital-aligned syndicates, Syndicate 1969, Syndicate 1971 and Syndicate 1972, are wholly managed and partly capitalized by Apollo with Apollo retaining a portion of the underwriting risk via its Lloyd's Corporate Member, Apollo No. 16. Platform Partner syndicates are managed by Apollo on behalf of third</w:t>
        <w:noBreakHyphen/>
        <w:t>party partners and Apollo does not currently provide capital for underwriting of these syndicates. Apollo receives managing agency fees and performance</w:t>
        <w:noBreakHyphen/>
        <w:t>based income for their managing agency services from all syndicates on its Lloyd's platform.</w:t>
      </w:r>
    </w:p>
    <w:tbl>
      <w:tblPr>
        <w:tblW w:w="10205" w:type="dxa"/>
        <w:jc w:val="left"/>
        <w:tblInd w:w="0" w:type="dxa"/>
        <w:tblLayout w:type="fixed"/>
        <w:tblCellMar>
          <w:top w:w="28" w:type="dxa"/>
          <w:left w:w="28" w:type="dxa"/>
          <w:bottom w:w="28" w:type="dxa"/>
          <w:right w:w="28" w:type="dxa"/>
        </w:tblCellMar>
      </w:tblPr>
      <w:tblGrid>
        <w:gridCol w:w="635"/>
        <w:gridCol w:w="465"/>
        <w:gridCol w:w="436"/>
        <w:gridCol w:w="109"/>
        <w:gridCol w:w="109"/>
        <w:gridCol w:w="109"/>
        <w:gridCol w:w="294"/>
        <w:gridCol w:w="493"/>
        <w:gridCol w:w="438"/>
        <w:gridCol w:w="116"/>
        <w:gridCol w:w="116"/>
        <w:gridCol w:w="116"/>
        <w:gridCol w:w="294"/>
        <w:gridCol w:w="414"/>
        <w:gridCol w:w="367"/>
        <w:gridCol w:w="116"/>
        <w:gridCol w:w="116"/>
        <w:gridCol w:w="116"/>
        <w:gridCol w:w="315"/>
        <w:gridCol w:w="315"/>
        <w:gridCol w:w="316"/>
        <w:gridCol w:w="109"/>
        <w:gridCol w:w="109"/>
        <w:gridCol w:w="109"/>
        <w:gridCol w:w="265"/>
        <w:gridCol w:w="488"/>
        <w:gridCol w:w="443"/>
        <w:gridCol w:w="113"/>
        <w:gridCol w:w="113"/>
        <w:gridCol w:w="113"/>
        <w:gridCol w:w="265"/>
        <w:gridCol w:w="488"/>
        <w:gridCol w:w="443"/>
        <w:gridCol w:w="113"/>
        <w:gridCol w:w="113"/>
        <w:gridCol w:w="113"/>
        <w:gridCol w:w="290"/>
        <w:gridCol w:w="290"/>
        <w:gridCol w:w="423"/>
      </w:tblGrid>
      <w:tr>
        <w:trPr/>
        <w:tc>
          <w:tcPr>
            <w:tcW w:w="63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gross written premiums</w:t>
            </w:r>
            <w:r>
              <w:rPr>
                <w:rFonts w:ascii="Times New Roman;serif" w:hAnsi="Times New Roman;serif"/>
                <w:b/>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740,554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653,861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1,408,258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1,248,431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Fee generating gross written premiums</w:t>
            </w:r>
            <w:r>
              <w:rPr>
                <w:rFonts w:ascii="Times New Roman;serif" w:hAnsi="Times New Roman;serif"/>
                <w:b/>
                <w:color w:val="000000"/>
                <w:sz w:val="13"/>
              </w:rPr>
              <w:t>(1)(2)</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Aligned Syndicates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217,196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191,527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427,745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Syndicates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100,925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190,381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114,173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318,121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246,988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618,126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461,803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Skyward Group managed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1,058,675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900,849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2,026,384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1,710,234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Prior year information is pro forma.</w:t>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(2) </w:t>
            </w:r>
            <w:r>
              <w:rPr>
                <w:rFonts w:ascii="Times New Roman;serif" w:hAnsi="Times New Roman;serif"/>
                <w:b w:val="false"/>
                <w:i/>
                <w:color w:val="000000"/>
                <w:sz w:val="16"/>
              </w:rPr>
              <w:t>Prior year information is adjusted for the impact of the change in participations. See “Reconciliation of Non-GAAP Financial Measures”.</w:t>
            </w:r>
          </w:p>
        </w:tc>
      </w:tr>
      <w:tr>
        <w:trPr/>
        <w:tc>
          <w:tcPr>
            <w:tcW w:w="15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120"/>
        <w:jc w:val="both"/>
        <w:rPr>
          <w:rFonts w:ascii="Times New Roman;serif" w:hAnsi="Times New Roman;serif"/>
          <w:b/>
          <w:i/>
          <w:color w:val="000000"/>
          <w:sz w:val="22"/>
        </w:rPr>
      </w:pPr>
      <w:r>
        <w:rPr>
          <w:rFonts w:ascii="Times New Roman;serif" w:hAnsi="Times New Roman;serif"/>
          <w:b/>
          <w:i/>
          <w:color w:val="000000"/>
          <w:sz w:val="22"/>
        </w:rPr>
        <w:t>Underwriting Results</w:t>
      </w:r>
    </w:p>
    <w:tbl>
      <w:tblPr>
        <w:tblW w:w="11322" w:type="dxa"/>
        <w:jc w:val="left"/>
        <w:tblInd w:w="0" w:type="dxa"/>
        <w:tblLayout w:type="fixed"/>
        <w:tblCellMar>
          <w:top w:w="28" w:type="dxa"/>
          <w:left w:w="28" w:type="dxa"/>
          <w:bottom w:w="28" w:type="dxa"/>
          <w:right w:w="28" w:type="dxa"/>
        </w:tblCellMar>
      </w:tblPr>
      <w:tblGrid>
        <w:gridCol w:w="681"/>
        <w:gridCol w:w="254"/>
        <w:gridCol w:w="236"/>
        <w:gridCol w:w="109"/>
        <w:gridCol w:w="109"/>
        <w:gridCol w:w="109"/>
        <w:gridCol w:w="260"/>
        <w:gridCol w:w="273"/>
        <w:gridCol w:w="418"/>
        <w:gridCol w:w="109"/>
        <w:gridCol w:w="109"/>
        <w:gridCol w:w="109"/>
        <w:gridCol w:w="259"/>
        <w:gridCol w:w="222"/>
        <w:gridCol w:w="431"/>
        <w:gridCol w:w="109"/>
        <w:gridCol w:w="109"/>
        <w:gridCol w:w="109"/>
        <w:gridCol w:w="296"/>
        <w:gridCol w:w="164"/>
        <w:gridCol w:w="411"/>
        <w:gridCol w:w="109"/>
        <w:gridCol w:w="109"/>
        <w:gridCol w:w="109"/>
        <w:gridCol w:w="239"/>
        <w:gridCol w:w="242"/>
        <w:gridCol w:w="493"/>
        <w:gridCol w:w="109"/>
        <w:gridCol w:w="109"/>
        <w:gridCol w:w="109"/>
        <w:gridCol w:w="260"/>
        <w:gridCol w:w="273"/>
        <w:gridCol w:w="418"/>
        <w:gridCol w:w="109"/>
        <w:gridCol w:w="109"/>
        <w:gridCol w:w="109"/>
        <w:gridCol w:w="242"/>
        <w:gridCol w:w="239"/>
        <w:gridCol w:w="495"/>
        <w:gridCol w:w="109"/>
        <w:gridCol w:w="109"/>
        <w:gridCol w:w="109"/>
        <w:gridCol w:w="296"/>
        <w:gridCol w:w="164"/>
        <w:gridCol w:w="411"/>
        <w:gridCol w:w="109"/>
        <w:gridCol w:w="109"/>
        <w:gridCol w:w="109"/>
        <w:gridCol w:w="245"/>
        <w:gridCol w:w="236"/>
        <w:gridCol w:w="548"/>
      </w:tblGrid>
      <w:tr>
        <w:trPr/>
        <w:tc>
          <w:tcPr>
            <w:tcW w:w="6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Skyward Specialty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Apollo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Skyward Specialty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Apollo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378,346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66,126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444,472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742,289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136,190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878,479</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22,666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3,861</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380,680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78,714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459,394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746,150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158,856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905,006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236,967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276,741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465,198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541,964</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acquisition and insurance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94,131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123,281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191,094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47,520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247,895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w:t>
              <w:noBreakHyphen/>
              <w:t>based service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8,732</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69,114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404,584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656,292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133,018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798,591</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Underwriting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49,582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54,810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89,858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106,415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Non-cat loss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61.3</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54.7</w:t>
            </w: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60.4</w:t>
            </w: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61.0</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53.8</w:t>
            </w: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59.8</w:t>
            </w: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Cat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w:t>
            </w: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w:t>
            </w: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w:t>
            </w: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w:t>
            </w: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w:t>
            </w: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62.6</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60.1</w:t>
            </w: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62.3</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62.7</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56.4</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61.7</w:t>
            </w:r>
            <w:r>
              <w:rPr>
                <w:color w:val="000000"/>
              </w:rPr>
              <w:t>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14.0</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27.6</w:t>
            </w:r>
            <w:r>
              <w:rPr>
                <w:color w:val="000000"/>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16.0</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14.0</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19.7</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w:t>
            </w:r>
            <w:r>
              <w:rPr>
                <w:color w:val="000000"/>
              </w:rPr>
              <w:t>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10.9</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9.9</w:t>
            </w: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10.7</w:t>
            </w: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11.7</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15.2</w:t>
            </w: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12.3</w:t>
            </w: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(0.6)</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(0.5)</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(0.5)</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(0.4)</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Corporate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w:t>
            </w: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24.3</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37.5</w:t>
            </w:r>
            <w:r>
              <w:rPr>
                <w:color w:val="000000"/>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27.2</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25.2</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34.9</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27.8</w:t>
            </w:r>
            <w:r>
              <w:rPr>
                <w:color w:val="000000"/>
              </w:rPr>
              <w:t>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86.9</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97.6</w:t>
            </w: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89.5</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87.9</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91.3</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89.5</w:t>
            </w:r>
            <w:r>
              <w:rPr>
                <w:color w:val="000000"/>
              </w:rPr>
              <w:t>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Ex-Cat 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85.6</w:t>
            </w:r>
            <w:r>
              <w:rPr>
                <w:color w:val="000000"/>
              </w:rPr>
              <w:t>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92.2</w:t>
            </w:r>
            <w:r>
              <w:rPr>
                <w:color w:val="000000"/>
              </w:rPr>
              <w:t>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87.6</w:t>
            </w:r>
            <w:r>
              <w:rPr>
                <w:color w:val="000000"/>
              </w:rPr>
              <w:t>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86.2</w:t>
            </w:r>
            <w:r>
              <w:rPr>
                <w:color w:val="000000"/>
              </w:rPr>
              <w:t>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88.7</w:t>
            </w:r>
            <w:r>
              <w:rPr>
                <w:color w:val="000000"/>
              </w:rPr>
              <w:t>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87.6</w:t>
            </w:r>
            <w:r>
              <w:rPr>
                <w:color w:val="000000"/>
              </w:rPr>
              <w:t> </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322"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Calculated using consolidated net earned premiums</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2"/>
        <w:gridCol w:w="581"/>
        <w:gridCol w:w="585"/>
        <w:gridCol w:w="109"/>
        <w:gridCol w:w="109"/>
        <w:gridCol w:w="109"/>
        <w:gridCol w:w="352"/>
        <w:gridCol w:w="276"/>
        <w:gridCol w:w="491"/>
        <w:gridCol w:w="114"/>
        <w:gridCol w:w="114"/>
        <w:gridCol w:w="114"/>
        <w:gridCol w:w="285"/>
        <w:gridCol w:w="158"/>
        <w:gridCol w:w="353"/>
        <w:gridCol w:w="114"/>
        <w:gridCol w:w="114"/>
        <w:gridCol w:w="114"/>
        <w:gridCol w:w="222"/>
        <w:gridCol w:w="244"/>
        <w:gridCol w:w="476"/>
        <w:gridCol w:w="109"/>
        <w:gridCol w:w="109"/>
        <w:gridCol w:w="109"/>
        <w:gridCol w:w="370"/>
        <w:gridCol w:w="277"/>
        <w:gridCol w:w="489"/>
        <w:gridCol w:w="128"/>
        <w:gridCol w:w="128"/>
        <w:gridCol w:w="128"/>
        <w:gridCol w:w="128"/>
        <w:gridCol w:w="128"/>
        <w:gridCol w:w="291"/>
        <w:gridCol w:w="161"/>
        <w:gridCol w:w="348"/>
        <w:gridCol w:w="109"/>
        <w:gridCol w:w="109"/>
        <w:gridCol w:w="109"/>
        <w:gridCol w:w="228"/>
        <w:gridCol w:w="238"/>
        <w:gridCol w:w="543"/>
      </w:tblGrid>
      <w:tr>
        <w:trPr/>
        <w:tc>
          <w:tcPr>
            <w:tcW w:w="93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c>
          <w:tcPr>
            <w:tcW w:w="1336" w:type="dxa"/>
            <w:gridSpan w:val="6"/>
            <w:tcBorders/>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Skyward Specialty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Skyward Specialty</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295,542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595,908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595,908</w:t>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4,536</w:t>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298,102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600,444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600,444</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181,262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368,571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368,571</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82,366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165,004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172,147</w:t>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263,628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533,575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547,200</w:t>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Underwriting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34,474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66,869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59,726</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Non-cat loss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Cat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Corporate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Ex-Cat 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869" w:type="dxa"/>
            <w:gridSpan w:val="3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9"/>
              </w:rPr>
              <w:t xml:space="preserve">(1) </w:t>
            </w:r>
            <w:r>
              <w:rPr>
                <w:rFonts w:ascii="Times New Roman;serif" w:hAnsi="Times New Roman;serif"/>
                <w:b w:val="false"/>
                <w:i/>
                <w:color w:val="000000"/>
                <w:sz w:val="14"/>
              </w:rPr>
              <w:t>Calculated using consolidated net earned premiums</w:t>
            </w:r>
          </w:p>
        </w:tc>
        <w:tc>
          <w:tcPr>
            <w:tcW w:w="1336" w:type="dxa"/>
            <w:gridSpan w:val="6"/>
            <w:tcBorders/>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Skyward Specialty segment loss and LAE ratios for the second quarter and first half of 2026 increased 1.3 points and 0.8 points, respectively, when compared to the same 2025 periods primarily due to shifts in business mix driven by growth in the accident &amp; health and global agriculture divisions. The Apollo segment loss and LAE ratios for the second quarter and first half of 2026 were impacted by catastrophe losses, primarily from the conflict in the Middle East.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expense ratios for the second quarter and first half of 2026 improved 0.9 points and 0.3 points, respectively, when compared to the same 2025 periods. The Skyward Specialty segment’s expense ratio improved 2.7 points and 1.7 points, respectively, when compared to the same 2025 periods, primarily driven by business mix shift, enhanced operating efficiencies, and scale benefits as net earned premiums outpaced expense growth. In the first quarter of 2026, the Company revised its expense presentation to report corporate expenses separately from segment expenses following the closing of the Apollo acquisition. The prior year period has been recast to reflect this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Investment Results</w:t>
      </w:r>
    </w:p>
    <w:tbl>
      <w:tblPr>
        <w:tblW w:w="9945" w:type="dxa"/>
        <w:jc w:val="center"/>
        <w:tblInd w:w="0" w:type="dxa"/>
        <w:tblLayout w:type="fixed"/>
        <w:tblCellMar>
          <w:top w:w="28" w:type="dxa"/>
          <w:left w:w="28" w:type="dxa"/>
          <w:bottom w:w="28" w:type="dxa"/>
          <w:right w:w="28" w:type="dxa"/>
        </w:tblCellMar>
      </w:tblPr>
      <w:tblGrid>
        <w:gridCol w:w="1544"/>
        <w:gridCol w:w="1354"/>
        <w:gridCol w:w="1361"/>
        <w:gridCol w:w="109"/>
        <w:gridCol w:w="109"/>
        <w:gridCol w:w="109"/>
        <w:gridCol w:w="223"/>
        <w:gridCol w:w="779"/>
        <w:gridCol w:w="115"/>
        <w:gridCol w:w="115"/>
        <w:gridCol w:w="115"/>
        <w:gridCol w:w="115"/>
        <w:gridCol w:w="223"/>
        <w:gridCol w:w="763"/>
        <w:gridCol w:w="115"/>
        <w:gridCol w:w="109"/>
        <w:gridCol w:w="109"/>
        <w:gridCol w:w="109"/>
        <w:gridCol w:w="211"/>
        <w:gridCol w:w="736"/>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Net Investment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2,469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29,310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56,675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Alternative &amp;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securities still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1,927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(2,528)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7,530</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5686" w:type="dxa"/>
            <w:gridSpan w:val="24"/>
            <w:tcBorders/>
          </w:tcPr>
          <w:p>
            <w:pPr>
              <w:pStyle w:val="TableContents"/>
              <w:bidi w:val="0"/>
              <w:spacing w:before="0" w:after="283"/>
              <w:jc w:val="left"/>
              <w:rPr>
                <w:sz w:val="4"/>
                <w:szCs w:val="4"/>
              </w:rPr>
            </w:pPr>
            <w:r>
              <w:rPr>
                <w:sz w:val="4"/>
                <w:szCs w:val="4"/>
              </w:rPr>
            </w:r>
          </w:p>
        </w:tc>
      </w:tr>
      <w:tr>
        <w:trPr/>
        <w:tc>
          <w:tcPr>
            <w:tcW w:w="42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the first quarter of 2026, the Company revised its presentation of net investment income to (i) report short-term investments separately from cash and cash equivalents following the closing of the Apollo acquisition, and (ii) include equities in alternative &amp; strategic investments after the sale of the majority of the equity portfolio in 2025. The prior year period has been recast to reflect this change. </w:t>
      </w:r>
    </w:p>
    <w:p>
      <w:pPr>
        <w:pStyle w:val="TextBody"/>
        <w:bidi w:val="0"/>
        <w:spacing w:lineRule="auto" w:line="288" w:before="0" w:after="1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Net investment income for the second quarter and first half of 2026 increased $12.0 million and $19.7 million, respectively, when compared to the same 2025 periods, driven by the addition of the Apollo portfolio, a higher yield and a larger asset base. The increase in income from cash and cash equivalents was due to an overall increase in the invested asset base from the addition of Apollo when compared to the same 2025 periods.</w:t>
      </w:r>
    </w:p>
    <w:p>
      <w:pPr>
        <w:pStyle w:val="TextBody"/>
        <w:bidi w:val="0"/>
        <w:spacing w:lineRule="auto" w:line="288" w:before="0" w:after="1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alternative &amp; strategic investments portfolio continued to be impacted by the decline in the fair value of limited partnership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Stockholders’ Equity</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Stockholders’ equity was $1,267.5 million at June 30, 2026 which represented an increase of 3.5% when compared to stockholders' equity of $1,224.9 million at March 31, 2026. The increase in stockholders’ equity was primarily attributable to net income, partially offset by repurchases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88" w:before="0" w:after="120"/>
        <w:jc w:val="both"/>
        <w:rPr/>
      </w:pPr>
      <w:r>
        <w:rPr>
          <w:rFonts w:ascii="Times New Roman;serif" w:hAnsi="Times New Roman;serif"/>
          <w:b w:val="false"/>
          <w:color w:val="000000"/>
          <w:sz w:val="22"/>
        </w:rPr>
        <w:t>At 9:00 a.m. eastern time tomorrow, August 5, 2026, Company management will hold a conference call to discuss quarterly results with insurance industry analysts. Interested parties may listen to the discussion at</w:t>
      </w:r>
      <w:r>
        <w:rPr>
          <w:color w:val="0563C1"/>
        </w:rPr>
        <w:t xml:space="preserve"> </w:t>
      </w:r>
      <w:r>
        <w:rPr>
          <w:rFonts w:ascii="Times New Roman;serif" w:hAnsi="Times New Roman;serif"/>
          <w:b w:val="false"/>
          <w:color w:val="0563C1"/>
          <w:sz w:val="22"/>
          <w:u w:val="single"/>
        </w:rPr>
        <w:t>investors.skywardinsurance.com</w:t>
      </w:r>
      <w:r>
        <w:rPr>
          <w:color w:val="000000"/>
        </w:rPr>
        <w:t xml:space="preserve"> </w:t>
      </w:r>
      <w:r>
        <w:rPr>
          <w:rFonts w:ascii="Times New Roman;serif" w:hAnsi="Times New Roman;serif"/>
          <w:b w:val="false"/>
          <w:color w:val="000000"/>
          <w:sz w:val="22"/>
        </w:rPr>
        <w:t>under Events &amp; Presentations. Additionally, investors can access the earnings call via conference call by registering via the conference link. Users will receive dial-in information and a unique PIN to join the call upon registering.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This release contains certain financial measures and ratios that are not required by, or presented in accordance with, generally accepted accounting principles in the United States (“GAAP”). We refer to these measures as “non-GAAP financial measures.” We use these non-GAAP financial measures when planning, monitoring, and evaluating our performance.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consider these non-GAAP financial measures to be useful metrics for our management and investors to facilitate operating performance comparisons from period to period. While we believe that these non-GAAP financial measures are useful in evaluating our business, this information should be considered supplemental in nature and is not meant to be a substitute for revenue or net income, in each case as recognized in accordance with GAAP. In addition, other companies, including companies in our industry, may calculate such measures differently, which reduces their usefulness as comparative measures. For more information regarding these non-GAAP financial measures and a reconciliation of such measures to comparable GAAP financial measures, see the section entitled “Reconciliation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About Skyward Specialty Insurance Group, Inc.</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Skyward Group is the holding company brand for its U.S. and U.K. businesses, Skyward Specialty Insurance Group, Inc.® and Apollo, respectively, delivering a comprehensive suite of specialized insurance solutions across global specialty property and casualty markets. Focused on the specialty industry’s most niche, complex risks of today and the emerging challenges of tomorrow, Skyward Group leverages the forward-looking insight and disciplined execution of each organization to drive sustainable growth and long-term value for its shareholders, distribution partners, and other stakeholders.</w:t>
      </w:r>
    </w:p>
    <w:p>
      <w:pPr>
        <w:pStyle w:val="TextBody"/>
        <w:bidi w:val="0"/>
        <w:spacing w:lineRule="auto" w:line="288" w:before="0" w:after="120"/>
        <w:jc w:val="both"/>
        <w:rPr/>
      </w:pPr>
      <w:r>
        <w:rPr>
          <w:rFonts w:ascii="Times New Roman;serif" w:hAnsi="Times New Roman;serif"/>
          <w:b w:val="false"/>
          <w:color w:val="000000"/>
          <w:sz w:val="22"/>
        </w:rPr>
        <w:t xml:space="preserve">For more information about Skyward Group, Skyward Specialty and Apollo, please visit </w:t>
      </w:r>
      <w:r>
        <w:rPr>
          <w:rFonts w:ascii="Times New Roman;serif" w:hAnsi="Times New Roman;serif"/>
          <w:b/>
          <w:color w:val="000000"/>
          <w:sz w:val="22"/>
        </w:rPr>
        <w:t>skywardgroup.com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Except for historical information, all other information in this news release consists of forward-looking statements within the meaning of the Private Securities Litigation Reform Act of 1995. The forward-looking statements are typically, but not always, identified through use of the words “believe,” “expect,” “enable,” “may,” “will,” “could,” “intends,” “estimate,” “anticipate,” “plan,” “predict,” “probable,” “potential,” “possible,” “should,” “continue,” and other words of similar meaning. These forward-looking statements are subject to risks and uncertainties that could cause actual results to differ materially from those projected, anticipated or implied. The most significant of these uncertainties are described in Skyward Group's Form 10-K, and include (but are not limited to) legislative changes at both the state and federal level, state and federal regulatory rule making promulgations and adjudications, class action litigation involving the insurance industry and judicial decisions affecting claims, policy coverages and the general costs of doing business, the potential loss of key members of our management team or key employees and our ability to attract and retain personnel, the impact of competition on products and pricing, inflation in the costs of the products and services insurance pays for, product development, geographic spread of risk, weather and weather-related events, other types of catastrophic events, our ability to obtain reinsurance coverage at prices and on terms that allow us to transfer risk and adequately protect our company against financial loss, and losses resulting from reinsurance counterparties failing to pay us on reinsurance claims. These forward-looking statements speak only as of the date of this release and the Company does not undertake any obligation to update or revise any forward-looking information to reflect changes in assumptions, the occurrence of unanticipated events, or otherwise.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Skyward Specialty Insurance Group, Inc.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Jordan Arnold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Skyward Specialty Insurance Group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346-215-0250</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jarnold@skywardinsurance.com</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Haley Doughty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Skyward Specialty Insurance Group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713-935-4944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hdoughty@skywardinsurance.com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Skyward Specialty Insurance Group, Inc.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19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500"/>
        <w:gridCol w:w="2129"/>
        <w:gridCol w:w="2135"/>
        <w:gridCol w:w="109"/>
        <w:gridCol w:w="109"/>
        <w:gridCol w:w="109"/>
        <w:gridCol w:w="211"/>
        <w:gridCol w:w="991"/>
        <w:gridCol w:w="109"/>
        <w:gridCol w:w="109"/>
        <w:gridCol w:w="109"/>
        <w:gridCol w:w="109"/>
        <w:gridCol w:w="231"/>
        <w:gridCol w:w="1073"/>
        <w:gridCol w:w="172"/>
      </w:tblGrid>
      <w:tr>
        <w:trPr/>
        <w:tc>
          <w:tcPr>
            <w:tcW w:w="250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 (net of allowance for credit losses of $6,228 and $7,000, respectively) (amortized cost of $2,206,626 and $1,848,755,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2,192,183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 at amortized cost (net of allowance for credit losses of $2,256 and $468,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392,634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2,738,388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2,300,515 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Funds at Lloyd’s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and commissions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978,409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544,217 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1,411,648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1,119,880 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337,180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6,781,139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4,791,852 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3,070,598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1,078,246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774,035 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ceding commission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and premium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509,081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417,620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debt,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5,513,602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3,782,287 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500,000,000 shares authorized, 44,827,499 shares issued and 44,396,493 shares outstanding at June 30, 2026; 40,511,222 shares issued and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431,006 and 0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927,690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730,555 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1,267,537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6,781,139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4,791,852 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Skyward Specialty Insurance Group, Inc.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19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58"/>
        <w:gridCol w:w="1184"/>
        <w:gridCol w:w="1182"/>
        <w:gridCol w:w="112"/>
        <w:gridCol w:w="112"/>
        <w:gridCol w:w="112"/>
        <w:gridCol w:w="218"/>
        <w:gridCol w:w="871"/>
        <w:gridCol w:w="112"/>
        <w:gridCol w:w="112"/>
        <w:gridCol w:w="112"/>
        <w:gridCol w:w="112"/>
        <w:gridCol w:w="218"/>
        <w:gridCol w:w="855"/>
        <w:gridCol w:w="112"/>
        <w:gridCol w:w="112"/>
        <w:gridCol w:w="112"/>
        <w:gridCol w:w="112"/>
        <w:gridCol w:w="218"/>
        <w:gridCol w:w="871"/>
        <w:gridCol w:w="112"/>
        <w:gridCol w:w="112"/>
        <w:gridCol w:w="112"/>
        <w:gridCol w:w="112"/>
        <w:gridCol w:w="218"/>
        <w:gridCol w:w="855"/>
        <w:gridCol w:w="177"/>
      </w:tblGrid>
      <w:tr>
        <w:trPr/>
        <w:tc>
          <w:tcPr>
            <w:tcW w:w="165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tc>
      </w:tr>
      <w:tr>
        <w:trPr/>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20"/>
              </w:rPr>
            </w:pPr>
            <w:r>
              <w:rPr>
                <w:rFonts w:ascii="Times New Roman;serif" w:hAnsi="Times New Roman;serif"/>
                <w:b/>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20"/>
              </w:rPr>
              <w:t>444,472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878,479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12,588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22,666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2,334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3,861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57,782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489,533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965,400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648,430 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276,741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541,964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123,281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247,895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w:t>
              <w:noBreakHyphen/>
              <w:t>based service expenses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4,562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8,732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8,812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16,531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8,843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17,686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6,959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425,976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839,767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547,200 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63,557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125,633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14,519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26,864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49,038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98,769</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49,038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98,769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and losses on investments: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(losses) gains on investments, net of tax</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(17,842)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on securities no longer held, net of tax</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(18,548)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48,073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80,221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100,351 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Skyward Specialty Insurance Group, Inc.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19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43"/>
        <w:gridCol w:w="1029"/>
        <w:gridCol w:w="1035"/>
        <w:gridCol w:w="129"/>
        <w:gridCol w:w="129"/>
        <w:gridCol w:w="129"/>
        <w:gridCol w:w="264"/>
        <w:gridCol w:w="661"/>
        <w:gridCol w:w="378"/>
        <w:gridCol w:w="135"/>
        <w:gridCol w:w="135"/>
        <w:gridCol w:w="135"/>
        <w:gridCol w:w="272"/>
        <w:gridCol w:w="653"/>
        <w:gridCol w:w="339"/>
        <w:gridCol w:w="129"/>
        <w:gridCol w:w="129"/>
        <w:gridCol w:w="129"/>
        <w:gridCol w:w="250"/>
        <w:gridCol w:w="626"/>
        <w:gridCol w:w="358"/>
        <w:gridCol w:w="129"/>
        <w:gridCol w:w="129"/>
        <w:gridCol w:w="129"/>
        <w:gridCol w:w="288"/>
        <w:gridCol w:w="701"/>
        <w:gridCol w:w="442"/>
      </w:tblGrid>
      <w:tr>
        <w:trPr/>
        <w:tc>
          <w:tcPr>
            <w:tcW w:w="134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Share and Per Share Data </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and per share amounts)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44,521,162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40,445,391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44,492,608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40,322,051</w:t>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45,692,641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41,871,496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45,526,233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41,771,215</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operating earnings per share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2.61</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operating earnings per share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1.30</w:t>
            </w: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300" w:before="0" w:after="1"/>
              <w:jc w:val="left"/>
              <w:rPr/>
            </w:pPr>
            <w:r>
              <w:rPr>
                <w:rFonts w:ascii="Times New Roman;serif" w:hAnsi="Times New Roman;serif"/>
                <w:b w:val="false"/>
                <w:color w:val="000000"/>
                <w:sz w:val="20"/>
              </w:rPr>
              <w:t xml:space="preserve">Annualized ROE </w:t>
            </w:r>
            <w:r>
              <w:rPr>
                <w:rFonts w:ascii="Times New Roman;serif" w:hAnsi="Times New Roman;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15.7</w:t>
            </w: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4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1"/>
              <w:jc w:val="left"/>
              <w:rPr/>
            </w:pPr>
            <w:r>
              <w:rPr>
                <w:rFonts w:ascii="Times New Roman;serif" w:hAnsi="Times New Roman;serif"/>
                <w:b w:val="false"/>
                <w:color w:val="000000"/>
                <w:sz w:val="20"/>
              </w:rPr>
              <w:t xml:space="preserve">Annualized operating ROE </w:t>
            </w:r>
            <w:r>
              <w:rPr>
                <w:rFonts w:ascii="Times New Roman;serif" w:hAnsi="Times New Roman;serif"/>
                <w:b w:val="false"/>
                <w:color w:val="000000"/>
                <w:sz w:val="13"/>
              </w:rPr>
              <w:t>(2)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88" w:before="0" w:after="1"/>
              <w:jc w:val="left"/>
              <w:rPr/>
            </w:pPr>
            <w:r>
              <w:rPr>
                <w:rFonts w:ascii="Times New Roman;serif" w:hAnsi="Times New Roman;serif"/>
                <w:b w:val="false"/>
                <w:color w:val="000000"/>
                <w:sz w:val="20"/>
              </w:rPr>
              <w:t>Annualized ROTE</w:t>
            </w:r>
            <w:r>
              <w:rPr>
                <w:color w:val="000000"/>
              </w:rPr>
              <w:t xml:space="preserve"> </w:t>
            </w:r>
            <w:r>
              <w:rPr>
                <w:rFonts w:ascii="Times New Roman;serif" w:hAnsi="Times New Roman;serif"/>
                <w:b w:val="false"/>
                <w:color w:val="000000"/>
                <w:sz w:val="13"/>
              </w:rPr>
              <w:t>(3)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w:t>
            </w: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1"/>
              <w:jc w:val="left"/>
              <w:rPr/>
            </w:pPr>
            <w:r>
              <w:rPr>
                <w:rFonts w:ascii="Times New Roman;serif" w:hAnsi="Times New Roman;serif"/>
                <w:b w:val="false"/>
                <w:color w:val="000000"/>
                <w:sz w:val="20"/>
              </w:rPr>
              <w:t>Annualized operating ROTE</w:t>
            </w:r>
            <w:r>
              <w:rPr>
                <w:color w:val="000000"/>
              </w:rPr>
              <w:t xml:space="preserve"> </w:t>
            </w:r>
            <w:r>
              <w:rPr>
                <w:rFonts w:ascii="Times New Roman;serif" w:hAnsi="Times New Roman;serif"/>
                <w:b w:val="false"/>
                <w:color w:val="000000"/>
                <w:sz w:val="13"/>
              </w:rPr>
              <w:t>(4)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26.0</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44,396,493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40,511,222</w:t>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shares outstanding</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46,605,142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42,292,371</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28.55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book value per share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27.20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Annualized ROE is net income expressed on an annualized basis as a percentage of average beginning and ending stockholders' equity during the period.</w:t>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6798"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Annualized operating ROE is operating income expressed on an annualized basis as a percentage of average beginning and ending stockholders' equity during the period.</w:t>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6798"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Annualized ROTE is net income expressed on an annualized basis as a percentage of average beginning and ending tangible stockholders' equity during the period.</w:t>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0"/>
              </w:rPr>
              <w:t>(4)</w:t>
            </w:r>
            <w:r>
              <w:rPr>
                <w:color w:val="000000"/>
              </w:rPr>
              <w:t xml:space="preserve"> </w:t>
            </w:r>
            <w:r>
              <w:rPr>
                <w:rFonts w:ascii="Times New Roman;serif" w:hAnsi="Times New Roman;serif"/>
                <w:b w:val="false"/>
                <w:i/>
                <w:color w:val="000000"/>
                <w:sz w:val="16"/>
              </w:rPr>
              <w:t>Annualized operating ROTE is operating income expressed on an annualized basis as a percentage of average beginning and ending tangible stockholders' equity during the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Skyward Specialty Insurance Group, Inc.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19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Reconciliation of Non-GAAP Financial Measures</w:t>
      </w:r>
    </w:p>
    <w:p>
      <w:pPr>
        <w:pStyle w:val="TextBody"/>
        <w:bidi w:val="0"/>
        <w:spacing w:lineRule="auto" w:line="288" w:before="0" w:after="120"/>
        <w:jc w:val="both"/>
        <w:rPr/>
      </w:pPr>
      <w:r>
        <w:rPr>
          <w:rFonts w:ascii="Times New Roman;serif" w:hAnsi="Times New Roman;serif"/>
          <w:b/>
          <w:color w:val="000000"/>
          <w:sz w:val="22"/>
        </w:rPr>
        <w:t>Operating income</w:t>
      </w:r>
      <w:r>
        <w:rPr>
          <w:color w:val="000000"/>
        </w:rPr>
        <w:t xml:space="preserve"> – </w:t>
      </w:r>
      <w:r>
        <w:rPr>
          <w:rFonts w:ascii="Times New Roman;serif" w:hAnsi="Times New Roman;serif"/>
          <w:b w:val="false"/>
          <w:color w:val="000000"/>
          <w:sz w:val="22"/>
        </w:rPr>
        <w:t>We define operating income as net income excluding the impact of certain items that may not be indicative of underlying business trends, operating results, or future outlook, net of tax impact. We use operating income as an internal performance measure in the management of our operations because we believe it gives our management and other users of our financial information useful insight into our results of operations and our underlying business performance. Operating income should not be viewed as a substitute for net income calculated in accordance with GAAP, and other companies may define operating income differently.    </w:t>
      </w:r>
    </w:p>
    <w:tbl>
      <w:tblPr>
        <w:tblW w:w="12238" w:type="dxa"/>
        <w:jc w:val="left"/>
        <w:tblInd w:w="0" w:type="dxa"/>
        <w:tblLayout w:type="fixed"/>
        <w:tblCellMar>
          <w:top w:w="28" w:type="dxa"/>
          <w:left w:w="28" w:type="dxa"/>
          <w:bottom w:w="28" w:type="dxa"/>
          <w:right w:w="28" w:type="dxa"/>
        </w:tblCellMar>
      </w:tblPr>
      <w:tblGrid>
        <w:gridCol w:w="674"/>
        <w:gridCol w:w="263"/>
        <w:gridCol w:w="264"/>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72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517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(add):</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116,091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color w:val="000000"/>
          <w:sz w:val="22"/>
        </w:rPr>
        <w:t>Underwriting income</w:t>
      </w:r>
      <w:r>
        <w:rPr>
          <w:color w:val="000000"/>
        </w:rPr>
        <w:t xml:space="preserve"> – </w:t>
      </w:r>
      <w:r>
        <w:rPr>
          <w:rFonts w:ascii="Times New Roman;serif" w:hAnsi="Times New Roman;serif"/>
          <w:b w:val="false"/>
          <w:color w:val="000000"/>
          <w:sz w:val="22"/>
        </w:rPr>
        <w:t>We define underwriting income as net income before income taxes excluding net investment income, net realized and unrealized gains and losses on investments, impairment charges, interest expense, amortization expense and other income and expenses. Underwriting income represents the pre-tax profitability of our underwriting operations and allows us to evaluate our underwriting performance without regard to investment income. We use this metric as we believe it gives our management and other users of our financial information useful insight into our underlying business performance. Underwriting income should not be viewed as a substitute for pre-tax income calculated in accordance with GAAP, and other companies may define underwriting income differently.</w:t>
      </w:r>
    </w:p>
    <w:tbl>
      <w:tblPr>
        <w:tblW w:w="8740"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23"/>
        <w:gridCol w:w="779"/>
        <w:gridCol w:w="115"/>
        <w:gridCol w:w="115"/>
        <w:gridCol w:w="115"/>
        <w:gridCol w:w="115"/>
        <w:gridCol w:w="223"/>
        <w:gridCol w:w="763"/>
        <w:gridCol w:w="115"/>
        <w:gridCol w:w="109"/>
        <w:gridCol w:w="109"/>
        <w:gridCol w:w="109"/>
        <w:gridCol w:w="406"/>
        <w:gridCol w:w="390"/>
        <w:gridCol w:w="391"/>
        <w:gridCol w:w="210"/>
        <w:gridCol w:w="210"/>
        <w:gridCol w:w="210"/>
        <w:gridCol w:w="406"/>
        <w:gridCol w:w="342"/>
        <w:gridCol w:w="48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63,557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125,633</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8,812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16,531</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8,843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17,686</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6,959</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57,782</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38,126</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2,584</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Underwriting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54,810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106,415</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59,726</w:t>
            </w:r>
          </w:p>
        </w:tc>
      </w:tr>
      <w:tr>
        <w:trPr/>
        <w:tc>
          <w:tcPr>
            <w:tcW w:w="2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Skyward Specialty Insurance Group, Inc.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19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Reconciliation of Non-GAAP Financial Measures</w:t>
      </w:r>
    </w:p>
    <w:p>
      <w:pPr>
        <w:pStyle w:val="TextBody"/>
        <w:bidi w:val="0"/>
        <w:spacing w:lineRule="auto" w:line="288" w:before="0" w:after="120"/>
        <w:jc w:val="both"/>
        <w:rPr/>
      </w:pPr>
      <w:r>
        <w:rPr>
          <w:rFonts w:ascii="Times New Roman;serif" w:hAnsi="Times New Roman;serif"/>
          <w:b/>
          <w:color w:val="000000"/>
          <w:sz w:val="22"/>
        </w:rPr>
        <w:t>Tangible Stockholders’ Equity</w:t>
      </w:r>
      <w:r>
        <w:rPr>
          <w:color w:val="000000"/>
        </w:rPr>
        <w:t xml:space="preserve"> – </w:t>
      </w:r>
      <w:r>
        <w:rPr>
          <w:rFonts w:ascii="Times New Roman;serif" w:hAnsi="Times New Roman;serif"/>
          <w:b w:val="false"/>
          <w:color w:val="000000"/>
          <w:sz w:val="22"/>
        </w:rPr>
        <w:t>We define tangible stockholders’ equity as stockholders’ equity excluding goodwill and intangible assets and the related deferred tax impact. Our definition of tangible stockholders’ equity may not be comparable to that of other companies and should not be viewed as a substitute for stockholders’ equity calculated in accordance with GAAP. We use tangible stockholders’ equity internally to evaluate the strength of our balance sheet and to compare returns relative to this measure.</w:t>
      </w:r>
    </w:p>
    <w:tbl>
      <w:tblPr>
        <w:tblW w:w="7640" w:type="dxa"/>
        <w:jc w:val="left"/>
        <w:tblInd w:w="0" w:type="dxa"/>
        <w:tblLayout w:type="fixed"/>
        <w:tblCellMar>
          <w:top w:w="28" w:type="dxa"/>
          <w:left w:w="28" w:type="dxa"/>
          <w:bottom w:w="28" w:type="dxa"/>
          <w:right w:w="28" w:type="dxa"/>
        </w:tblCellMar>
      </w:tblPr>
      <w:tblGrid>
        <w:gridCol w:w="1199"/>
        <w:gridCol w:w="943"/>
        <w:gridCol w:w="948"/>
        <w:gridCol w:w="109"/>
        <w:gridCol w:w="109"/>
        <w:gridCol w:w="109"/>
        <w:gridCol w:w="258"/>
        <w:gridCol w:w="462"/>
        <w:gridCol w:w="469"/>
        <w:gridCol w:w="109"/>
        <w:gridCol w:w="109"/>
        <w:gridCol w:w="109"/>
        <w:gridCol w:w="258"/>
        <w:gridCol w:w="387"/>
        <w:gridCol w:w="394"/>
        <w:gridCol w:w="109"/>
        <w:gridCol w:w="109"/>
        <w:gridCol w:w="109"/>
        <w:gridCol w:w="211"/>
        <w:gridCol w:w="97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Stockholders</w:t>
            </w:r>
            <w:r>
              <w:rPr>
                <w:color w:val="000000"/>
              </w:rPr>
              <w:t xml:space="preserve">’ </w:t>
            </w: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1,267,537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471,185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88,040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Deferred tax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Tangible stockholders</w:t>
            </w:r>
            <w:r>
              <w:rPr>
                <w:color w:val="000000"/>
              </w:rPr>
              <w:t xml:space="preserve">’ </w:t>
            </w:r>
            <w:r>
              <w:rPr>
                <w:rFonts w:ascii="Times New Roman;serif" w:hAnsi="Times New Roman;serif"/>
                <w:b/>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861,852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921,525</w:t>
            </w:r>
          </w:p>
        </w:tc>
      </w:tr>
      <w:tr>
        <w:trPr/>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color w:val="000000"/>
          <w:sz w:val="22"/>
        </w:rPr>
        <w:t xml:space="preserve">Adjusted pro forma gross written premiums – </w:t>
      </w:r>
      <w:r>
        <w:rPr>
          <w:rFonts w:ascii="Times New Roman;serif" w:hAnsi="Times New Roman;serif"/>
          <w:b w:val="false"/>
          <w:color w:val="000000"/>
          <w:sz w:val="22"/>
        </w:rPr>
        <w:t>We define adjusted pro forma gross written premiums as pro forma gross written premiums adjusted for the impact of changes in Apollo syndicate participation. We use this measure to evaluate premium growth trends on a consistent participation basis across periods. Adjusted pro forma gross written premiums is a non-GAAP financial measure and should not be considered a substitute for gross written premiums calculated in accordance with GAAP.</w:t>
      </w:r>
    </w:p>
    <w:tbl>
      <w:tblPr>
        <w:tblW w:w="10205" w:type="dxa"/>
        <w:jc w:val="left"/>
        <w:tblInd w:w="0" w:type="dxa"/>
        <w:tblLayout w:type="fixed"/>
        <w:tblCellMar>
          <w:top w:w="28" w:type="dxa"/>
          <w:left w:w="28" w:type="dxa"/>
          <w:bottom w:w="28" w:type="dxa"/>
          <w:right w:w="28" w:type="dxa"/>
        </w:tblCellMar>
      </w:tblPr>
      <w:tblGrid>
        <w:gridCol w:w="1203"/>
        <w:gridCol w:w="960"/>
        <w:gridCol w:w="961"/>
        <w:gridCol w:w="263"/>
        <w:gridCol w:w="900"/>
        <w:gridCol w:w="136"/>
        <w:gridCol w:w="109"/>
        <w:gridCol w:w="109"/>
        <w:gridCol w:w="109"/>
        <w:gridCol w:w="263"/>
        <w:gridCol w:w="900"/>
        <w:gridCol w:w="136"/>
        <w:gridCol w:w="109"/>
        <w:gridCol w:w="109"/>
        <w:gridCol w:w="109"/>
        <w:gridCol w:w="345"/>
        <w:gridCol w:w="1182"/>
        <w:gridCol w:w="178"/>
        <w:gridCol w:w="109"/>
        <w:gridCol w:w="109"/>
        <w:gridCol w:w="109"/>
        <w:gridCol w:w="317"/>
        <w:gridCol w:w="1242"/>
        <w:gridCol w:w="238"/>
      </w:tblGrid>
      <w:tr>
        <w:trPr/>
        <w:tc>
          <w:tcPr>
            <w:tcW w:w="120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70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Syndicate 1969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Syndicate 1971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Apollo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Skyward Group</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gross written premiums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65,854 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661,105 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pro forma gross written premiums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68,947 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653,861 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9"/>
        <w:gridCol w:w="940"/>
        <w:gridCol w:w="942"/>
        <w:gridCol w:w="243"/>
        <w:gridCol w:w="954"/>
        <w:gridCol w:w="125"/>
        <w:gridCol w:w="109"/>
        <w:gridCol w:w="109"/>
        <w:gridCol w:w="109"/>
        <w:gridCol w:w="261"/>
        <w:gridCol w:w="895"/>
        <w:gridCol w:w="135"/>
        <w:gridCol w:w="109"/>
        <w:gridCol w:w="109"/>
        <w:gridCol w:w="109"/>
        <w:gridCol w:w="316"/>
        <w:gridCol w:w="1239"/>
        <w:gridCol w:w="163"/>
        <w:gridCol w:w="109"/>
        <w:gridCol w:w="109"/>
        <w:gridCol w:w="109"/>
        <w:gridCol w:w="285"/>
        <w:gridCol w:w="1322"/>
        <w:gridCol w:w="215"/>
      </w:tblGrid>
      <w:tr>
        <w:trPr/>
        <w:tc>
          <w:tcPr>
            <w:tcW w:w="118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71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Syndicate 1969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Syndicate 1971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Apollo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Skyward Group</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gross written premiums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1,268,821 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pro forma gross written premiums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1,248,431 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color w:val="000000"/>
          <w:sz w:val="22"/>
        </w:rPr>
        <w:t xml:space="preserve">Adjusted pro forma fee generating gross written premiums – </w:t>
      </w:r>
      <w:r>
        <w:rPr>
          <w:rFonts w:ascii="Times New Roman;serif" w:hAnsi="Times New Roman;serif"/>
          <w:b w:val="false"/>
          <w:color w:val="000000"/>
          <w:sz w:val="22"/>
        </w:rPr>
        <w:t>We define adjusted pro forma fee generating gross written premiums as pro forma fee generating gross written premiums adjusted for the impact of changes in Apollo syndicate participation percentages. We believe this measure provides a more meaningful comparison of fee generating business on a consistent participation basis across periods. Adjusted pro forma fee generating gross written premiums is a non-GAAP financial measure and may not be comparable to similarly titled measures used by other companies.</w:t>
      </w:r>
    </w:p>
    <w:tbl>
      <w:tblPr>
        <w:tblW w:w="10205" w:type="dxa"/>
        <w:jc w:val="left"/>
        <w:tblInd w:w="0" w:type="dxa"/>
        <w:tblLayout w:type="fixed"/>
        <w:tblCellMar>
          <w:top w:w="28" w:type="dxa"/>
          <w:left w:w="28" w:type="dxa"/>
          <w:bottom w:w="28" w:type="dxa"/>
          <w:right w:w="28" w:type="dxa"/>
        </w:tblCellMar>
      </w:tblPr>
      <w:tblGrid>
        <w:gridCol w:w="1804"/>
        <w:gridCol w:w="1580"/>
        <w:gridCol w:w="1583"/>
        <w:gridCol w:w="312"/>
        <w:gridCol w:w="1223"/>
        <w:gridCol w:w="160"/>
        <w:gridCol w:w="109"/>
        <w:gridCol w:w="109"/>
        <w:gridCol w:w="109"/>
        <w:gridCol w:w="342"/>
        <w:gridCol w:w="1174"/>
        <w:gridCol w:w="177"/>
        <w:gridCol w:w="109"/>
        <w:gridCol w:w="109"/>
        <w:gridCol w:w="109"/>
        <w:gridCol w:w="211"/>
        <w:gridCol w:w="826"/>
        <w:gridCol w:w="159"/>
      </w:tblGrid>
      <w:tr>
        <w:trPr/>
        <w:tc>
          <w:tcPr>
            <w:tcW w:w="180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52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Aligned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Partner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fee generating gross written premiums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pro forma fee generating gross written premiums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191,527 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Skyward Specialty Insurance Group, Inc.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119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Reconciliation of Non-GAAP Financial Measures</w:t>
      </w:r>
    </w:p>
    <w:tbl>
      <w:tblPr>
        <w:tblW w:w="10205" w:type="dxa"/>
        <w:jc w:val="left"/>
        <w:tblInd w:w="0" w:type="dxa"/>
        <w:tblLayout w:type="fixed"/>
        <w:tblCellMar>
          <w:top w:w="28" w:type="dxa"/>
          <w:left w:w="28" w:type="dxa"/>
          <w:bottom w:w="28" w:type="dxa"/>
          <w:right w:w="28" w:type="dxa"/>
        </w:tblCellMar>
      </w:tblPr>
      <w:tblGrid>
        <w:gridCol w:w="1803"/>
        <w:gridCol w:w="1579"/>
        <w:gridCol w:w="1582"/>
        <w:gridCol w:w="312"/>
        <w:gridCol w:w="1223"/>
        <w:gridCol w:w="160"/>
        <w:gridCol w:w="109"/>
        <w:gridCol w:w="109"/>
        <w:gridCol w:w="109"/>
        <w:gridCol w:w="312"/>
        <w:gridCol w:w="1223"/>
        <w:gridCol w:w="160"/>
        <w:gridCol w:w="109"/>
        <w:gridCol w:w="109"/>
        <w:gridCol w:w="109"/>
        <w:gridCol w:w="211"/>
        <w:gridCol w:w="826"/>
        <w:gridCol w:w="160"/>
      </w:tblGrid>
      <w:tr>
        <w:trPr/>
        <w:tc>
          <w:tcPr>
            <w:tcW w:w="18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52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Aligned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Partner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fee generating gross written premiums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pro forma fee generating gross written premiums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5079</Words>
  <Characters>28016</Characters>
  <CharactersWithSpaces>31960</CharactersWithSpaces>
  <Paragraphs>1701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