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22026_080553.xml.htm"/>
      <w:bookmarkStart w:id="1" w:name="ksform405122026_0805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Ashe Gena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GESSNER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Skyward Specialty Insurance Group, Inc.</w:t>
              </w:r>
            </w:hyperlink>
            <w:r>
              <w:rPr/>
              <w:t xml:space="preserve"> [ </w:t>
            </w:r>
            <w:r>
              <w:rPr>
                <w:rFonts w:ascii="Times;serif" w:hAnsi="Times;serif"/>
                <w:color w:val="0000FF"/>
                <w:sz w:val="24"/>
                <w:shd w:fill="FFFFFF" w:val="clear"/>
              </w:rPr>
              <w:t>SKWD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46.35</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46.35</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46.35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2025 RSU Award</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1,797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settles for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Sales to cover taxes and fees incurred in connection with the vesting and settlement of the Reporting Person's RSUs reported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May 7, 2025, the Reporting Person was granted an RSU Award in the amount of 1,797 RSUs. Subject to the terms of the RSU Agreement, this award fully vested on May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elected to sell shares to cover the associated tax liability incurred due to the vesting and settlement of the RSUs reported on this Form 4.The Issuer delayed the settlement, pursuant to the terms of the RSU Award Agreement, so that the sales to cover the tax liability occurred during an open trading window.</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E. Skelton,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9943" TargetMode="External"/><Relationship Id="rId5" Type="http://schemas.openxmlformats.org/officeDocument/2006/relationships/hyperlink" Target="http://www.sec.gov/cgi-bin/browse-edgar?action=getcompany&amp;CIK=00015194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734</Words>
  <Characters>3837</Characters>
  <CharactersWithSpaces>4480</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