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20"/>
        <w:spacing w:after="0" w:line="20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line="211"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 w:lineRule="exact"/>
        <w:rPr>
          <w:sz w:val="24"/>
          <w:szCs w:val="24"/>
          <w:color w:val="auto"/>
        </w:rPr>
      </w:pPr>
    </w:p>
    <w:p>
      <w:pPr>
        <w:ind w:left="3700"/>
        <w:spacing w:after="0"/>
        <w:rPr>
          <w:sz w:val="20"/>
          <w:szCs w:val="20"/>
          <w:color w:val="auto"/>
        </w:rPr>
      </w:pPr>
      <w:r>
        <w:rPr>
          <w:rFonts w:ascii="Arial" w:cs="Arial" w:eastAsia="Arial" w:hAnsi="Arial"/>
          <w:sz w:val="22"/>
          <w:szCs w:val="22"/>
          <w:color w:val="auto"/>
        </w:rPr>
        <w:t>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left="500" w:right="1520" w:hanging="290"/>
        <w:spacing w:after="0" w:line="330" w:lineRule="auto"/>
        <w:tabs>
          <w:tab w:leader="none" w:pos="59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640" w:right="1460" w:hanging="430"/>
        <w:spacing w:after="0" w:line="215" w:lineRule="auto"/>
        <w:tabs>
          <w:tab w:leader="none" w:pos="64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 to ____________</w:t>
      </w:r>
    </w:p>
    <w:p>
      <w:pPr>
        <w:spacing w:after="0" w:line="2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001-41591</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SKYWARD SPECIALTY INSURANCE GROUP,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47625</wp:posOffset>
            </wp:positionV>
            <wp:extent cx="1722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65"/>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6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14-1957288</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76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7500" w:type="dxa"/>
            <w:vAlign w:val="bottom"/>
            <w:gridSpan w:val="5"/>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29"/>
        </w:trPr>
        <w:tc>
          <w:tcPr>
            <w:tcW w:w="42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800 Gessner Road, Suite 600</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vMerge w:val="restart"/>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77024-4284</w:t>
            </w:r>
          </w:p>
        </w:tc>
        <w:tc>
          <w:tcPr>
            <w:tcW w:w="0" w:type="dxa"/>
            <w:vAlign w:val="bottom"/>
          </w:tcPr>
          <w:p>
            <w:pPr>
              <w:spacing w:after="0"/>
              <w:rPr>
                <w:sz w:val="1"/>
                <w:szCs w:val="1"/>
                <w:color w:val="auto"/>
              </w:rPr>
            </w:pPr>
          </w:p>
        </w:tc>
      </w:tr>
      <w:tr>
        <w:trPr>
          <w:trHeight w:val="233"/>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52"/>
        </w:trPr>
        <w:tc>
          <w:tcPr>
            <w:tcW w:w="4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(713) 935-4800</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00" w:type="dxa"/>
            <w:vAlign w:val="bottom"/>
            <w:gridSpan w:val="5"/>
          </w:tcPr>
          <w:p>
            <w:pPr>
              <w:jc w:val="center"/>
              <w:ind w:left="36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3"/>
        </w:trPr>
        <w:tc>
          <w:tcPr>
            <w:tcW w:w="42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SKWD</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26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p>
      <w:pPr>
        <w:spacing w:after="0" w:line="2" w:lineRule="exact"/>
        <w:rPr>
          <w:sz w:val="24"/>
          <w:szCs w:val="24"/>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3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800" w:type="dxa"/>
            <w:vAlign w:val="bottom"/>
          </w:tcPr>
          <w:p>
            <w:pPr>
              <w:jc w:val="right"/>
              <w:ind w:right="267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800" w:type="dxa"/>
            <w:vAlign w:val="bottom"/>
          </w:tcPr>
          <w:p>
            <w:pPr>
              <w:jc w:val="right"/>
              <w:ind w:right="19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220" w:type="dxa"/>
            <w:vAlign w:val="bottom"/>
          </w:tcPr>
          <w:p>
            <w:pPr>
              <w:spacing w:after="0"/>
              <w:rPr>
                <w:sz w:val="24"/>
                <w:szCs w:val="24"/>
                <w:color w:val="auto"/>
              </w:rPr>
            </w:pPr>
          </w:p>
        </w:tc>
        <w:tc>
          <w:tcPr>
            <w:tcW w:w="58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2, 2024, the registrant had 40,096,132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440" w:right="319" w:bottom="114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14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817"/>
        </w:trPr>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78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and Description</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Balance Sheets as of June 30, 2024 and December 31, 2023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for the Three and Six-Month</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Periods Ended June 30, 2024 and 2023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21"/>
                <w:szCs w:val="2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Changes in Stockholders’ Equity for the Three and Six-Month Periods Ended June</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2024 and 2023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Six-Month Periods Ended June 30, 2024 and 2023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Item 1A. Risk Factors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6. 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0" w:type="dxa"/>
            <w:vAlign w:val="bottom"/>
            <w:shd w:val="clear" w:color="auto" w:fill="CCEEFF"/>
          </w:tcPr>
          <w:p>
            <w:pPr>
              <w:spacing w:after="0"/>
              <w:rPr>
                <w:sz w:val="19"/>
                <w:szCs w:val="19"/>
                <w:color w:val="auto"/>
              </w:rPr>
            </w:pPr>
          </w:p>
        </w:tc>
      </w:tr>
      <w:tr>
        <w:trPr>
          <w:trHeight w:val="8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3"/>
          </w:tcPr>
          <w:p>
            <w:pPr>
              <w:ind w:left="440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90"/>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available-for-sale, at fair value (amortized cost of $1,239,724 and $1,047,713,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1,200,273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0" w:type="dxa"/>
            <w:vAlign w:val="bottom"/>
          </w:tcPr>
          <w:p>
            <w:pPr>
              <w:spacing w:after="0"/>
              <w:rPr>
                <w:sz w:val="1"/>
                <w:szCs w:val="1"/>
                <w:color w:val="auto"/>
              </w:rPr>
            </w:pPr>
          </w:p>
        </w:tc>
      </w:tr>
      <w:tr>
        <w:trPr>
          <w:trHeight w:val="175"/>
        </w:trPr>
        <w:tc>
          <w:tcPr>
            <w:tcW w:w="8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held-to-maturity, at amortized cost (net of allowance for credit losses of $225 and</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39,962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$329, respectively)</w:t>
            </w:r>
          </w:p>
        </w:tc>
        <w:tc>
          <w:tcPr>
            <w:tcW w:w="1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118,249</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 at fair value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270,226</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1,716,337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1,613,687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179,235</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667,837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596,334</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255,138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186,121</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87,868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75,341</w:t>
            </w:r>
          </w:p>
        </w:tc>
        <w:tc>
          <w:tcPr>
            <w:tcW w:w="0" w:type="dxa"/>
            <w:vAlign w:val="bottom"/>
          </w:tcPr>
          <w:p>
            <w:pPr>
              <w:spacing w:after="0"/>
              <w:rPr>
                <w:sz w:val="1"/>
                <w:szCs w:val="1"/>
                <w:color w:val="auto"/>
              </w:rPr>
            </w:pPr>
          </w:p>
        </w:tc>
      </w:tr>
      <w:tr>
        <w:trPr>
          <w:trHeight w:val="223"/>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3,435,494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2,953,435</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losses and loss adjustment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1,470,106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1,314,501</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711,854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552,532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37,057</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and premium payables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207,638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held for others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58,588</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2,711,874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2,292,404</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40,096,132 and 39,863,756 shares issued</w:t>
            </w: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6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713,542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710,855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notes receivable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723,620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661,031</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3,435,494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2,953,435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left="340" w:right="2620"/>
        <w:spacing w:after="0" w:line="393" w:lineRule="auto"/>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 CONDENSED CONSOLIDATED STATEMENTS OF OPERATIONS AND COMPREHENSIVE INCOME (UNAUDITED)</w:t>
      </w:r>
    </w:p>
    <w:tbl>
      <w:tblPr>
        <w:tblLayout w:type="fixed"/>
        <w:tblInd w:w="0" w:type="dxa"/>
        <w:tblCellMar>
          <w:top w:w="0" w:type="dxa"/>
          <w:left w:w="0" w:type="dxa"/>
          <w:bottom w:w="0" w:type="dxa"/>
          <w:right w:w="0" w:type="dxa"/>
        </w:tblCellMar>
      </w:tblPr>
      <w:tr>
        <w:trPr>
          <w:trHeight w:val="228"/>
        </w:trPr>
        <w:tc>
          <w:tcPr>
            <w:tcW w:w="4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earned premiums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257,583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493,925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377,178</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loss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279,942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544,910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400,451</w:t>
            </w: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239,305</w:t>
            </w: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108,338</w:t>
            </w: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23"/>
        </w:trPr>
        <w:tc>
          <w:tcPr>
            <w:tcW w:w="4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457,578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355,713</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44,738</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35,008</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33,606</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35,008</w:t>
            </w:r>
          </w:p>
        </w:tc>
      </w:tr>
      <w:tr>
        <w:trPr>
          <w:trHeight w:val="21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35" w:right="339" w:bottom="1440" w:gutter="0" w:footer="0" w:header="0"/>
        </w:sectPr>
      </w:pPr>
    </w:p>
    <w:p>
      <w:pPr>
        <w:ind w:left="240"/>
        <w:spacing w:after="0"/>
        <w:rPr>
          <w:sz w:val="20"/>
          <w:szCs w:val="20"/>
          <w:color w:val="auto"/>
        </w:rPr>
      </w:pPr>
      <w:r>
        <w:rPr>
          <w:rFonts w:ascii="Times New Roman" w:cs="Times New Roman" w:eastAsia="Times New Roman" w:hAnsi="Times New Roman"/>
          <w:sz w:val="18"/>
          <w:szCs w:val="18"/>
          <w:color w:val="auto"/>
        </w:rPr>
        <w:t>Unrealized gains and losses on investments:</w:t>
      </w:r>
    </w:p>
    <w:p>
      <w:pPr>
        <w:spacing w:after="0" w:line="31" w:lineRule="exact"/>
        <w:rPr>
          <w:sz w:val="20"/>
          <w:szCs w:val="20"/>
          <w:color w:val="auto"/>
        </w:rPr>
      </w:pPr>
    </w:p>
    <w:p>
      <w:pPr>
        <w:ind w:left="540" w:right="460" w:hanging="188"/>
        <w:spacing w:after="0" w:line="281" w:lineRule="auto"/>
        <w:rPr>
          <w:sz w:val="20"/>
          <w:szCs w:val="20"/>
          <w:color w:val="auto"/>
        </w:rPr>
      </w:pPr>
      <w:r>
        <w:rPr>
          <w:rFonts w:ascii="Times New Roman" w:cs="Times New Roman" w:eastAsia="Times New Roman" w:hAnsi="Times New Roman"/>
          <w:sz w:val="18"/>
          <w:szCs w:val="18"/>
          <w:color w:val="auto"/>
        </w:rPr>
        <w:t>Net change in unrealized (losses) gains on investments, net of tax</w:t>
      </w:r>
    </w:p>
    <w:p>
      <w:pPr>
        <w:spacing w:after="0" w:line="1" w:lineRule="exact"/>
        <w:rPr>
          <w:sz w:val="20"/>
          <w:szCs w:val="20"/>
          <w:color w:val="auto"/>
        </w:rPr>
      </w:pPr>
    </w:p>
    <w:p>
      <w:pPr>
        <w:ind w:left="540" w:right="320" w:hanging="188"/>
        <w:spacing w:after="0" w:line="282" w:lineRule="auto"/>
        <w:rPr>
          <w:sz w:val="20"/>
          <w:szCs w:val="20"/>
          <w:color w:val="auto"/>
        </w:rPr>
      </w:pPr>
      <w:r>
        <w:rPr>
          <w:rFonts w:ascii="Times New Roman" w:cs="Times New Roman" w:eastAsia="Times New Roman" w:hAnsi="Times New Roman"/>
          <w:sz w:val="18"/>
          <w:szCs w:val="18"/>
          <w:color w:val="auto"/>
        </w:rPr>
        <w:t>Reclassification adjustment for losses on securities no longer held,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8"/>
              </w:rPr>
              <w:t>(1,451)</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(4,375)</w:t>
            </w: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(6,869)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r>
      <w:tr>
        <w:trPr>
          <w:trHeight w:val="484"/>
        </w:trPr>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(406)</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(1,165)</w:t>
            </w: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(1,314)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-615315</wp:posOffset>
            </wp:positionV>
            <wp:extent cx="71323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5060" w:space="720"/>
            <w:col w:w="546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8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59,571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37,209</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39,177,457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36,603,779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39,142,825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34,746,874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41,168,082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38,143,585</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41,110,384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37,503,914</w:t>
            </w:r>
          </w:p>
        </w:tc>
        <w:tc>
          <w:tcPr>
            <w:tcW w:w="0" w:type="dxa"/>
            <w:vAlign w:val="bottom"/>
          </w:tcPr>
          <w:p>
            <w:pPr>
              <w:spacing w:after="0"/>
              <w:rPr>
                <w:sz w:val="1"/>
                <w:szCs w:val="1"/>
                <w:color w:val="auto"/>
              </w:rPr>
            </w:pPr>
          </w:p>
        </w:tc>
      </w:tr>
      <w:tr>
        <w:trPr>
          <w:trHeight w:val="28"/>
        </w:trPr>
        <w:tc>
          <w:tcPr>
            <w:tcW w:w="4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105410</wp:posOffset>
            </wp:positionV>
            <wp:extent cx="7106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5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39,995,027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37,658,111</w:t>
            </w:r>
          </w:p>
        </w:tc>
      </w:tr>
      <w:tr>
        <w:trPr>
          <w:trHeight w:val="23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15,952</w:t>
            </w:r>
          </w:p>
        </w:tc>
      </w:tr>
      <w:tr>
        <w:trPr>
          <w:trHeight w:val="196"/>
        </w:trPr>
        <w:tc>
          <w:tcPr>
            <w:tcW w:w="77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June 30</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40,096,132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37,674,063</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7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June 30</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377</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711,309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641,368</w:t>
            </w: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23"/>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713,542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642,988</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Stock notes receivable:</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(29,279)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(35,744)</w:t>
            </w: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23"/>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(41,284)</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15,076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(92,137)</w:t>
            </w:r>
          </w:p>
        </w:tc>
      </w:tr>
      <w:tr>
        <w:trPr>
          <w:trHeight w:val="23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w:t>
            </w:r>
          </w:p>
        </w:tc>
      </w:tr>
      <w:tr>
        <w:trPr>
          <w:trHeight w:val="223"/>
        </w:trPr>
        <w:tc>
          <w:tcPr>
            <w:tcW w:w="7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(72,685)</w:t>
            </w:r>
          </w:p>
        </w:tc>
      </w:tr>
      <w:tr>
        <w:trPr>
          <w:trHeight w:val="248"/>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522,678</w:t>
            </w:r>
          </w:p>
        </w:tc>
      </w:tr>
      <w:tr>
        <w:trPr>
          <w:trHeight w:val="20"/>
        </w:trPr>
        <w:tc>
          <w:tcPr>
            <w:tcW w:w="7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5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0" w:type="dxa"/>
            <w:vAlign w:val="bottom"/>
          </w:tcPr>
          <w:p>
            <w:pPr>
              <w:spacing w:after="0"/>
              <w:rPr>
                <w:sz w:val="1"/>
                <w:szCs w:val="1"/>
                <w:color w:val="auto"/>
              </w:rPr>
            </w:pPr>
          </w:p>
        </w:tc>
      </w:tr>
      <w:tr>
        <w:trPr>
          <w:trHeight w:val="223"/>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Common shares: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39,863,756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16,599,666</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4,769,284</w:t>
            </w:r>
          </w:p>
        </w:tc>
        <w:tc>
          <w:tcPr>
            <w:tcW w:w="0" w:type="dxa"/>
            <w:vAlign w:val="bottom"/>
          </w:tcPr>
          <w:p>
            <w:pPr>
              <w:spacing w:after="0"/>
              <w:rPr>
                <w:sz w:val="1"/>
                <w:szCs w:val="1"/>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16,305,113</w:t>
            </w:r>
          </w:p>
        </w:tc>
        <w:tc>
          <w:tcPr>
            <w:tcW w:w="0" w:type="dxa"/>
            <w:vAlign w:val="bottom"/>
          </w:tcPr>
          <w:p>
            <w:pPr>
              <w:spacing w:after="0"/>
              <w:rPr>
                <w:sz w:val="1"/>
                <w:szCs w:val="1"/>
                <w:color w:val="auto"/>
              </w:rPr>
            </w:pPr>
          </w:p>
        </w:tc>
      </w:tr>
      <w:tr>
        <w:trPr>
          <w:trHeight w:val="248"/>
        </w:trPr>
        <w:tc>
          <w:tcPr>
            <w:tcW w:w="7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40,096,132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37,674,063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7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7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7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577,289</w:t>
            </w:r>
          </w:p>
        </w:tc>
        <w:tc>
          <w:tcPr>
            <w:tcW w:w="0" w:type="dxa"/>
            <w:vAlign w:val="bottom"/>
          </w:tcPr>
          <w:p>
            <w:pPr>
              <w:spacing w:after="0"/>
              <w:rPr>
                <w:sz w:val="1"/>
                <w:szCs w:val="1"/>
                <w:color w:val="auto"/>
              </w:rPr>
            </w:pPr>
          </w:p>
        </w:tc>
      </w:tr>
      <w:tr>
        <w:trPr>
          <w:trHeight w:val="23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61,967</w:t>
            </w:r>
          </w:p>
        </w:tc>
        <w:tc>
          <w:tcPr>
            <w:tcW w:w="0" w:type="dxa"/>
            <w:vAlign w:val="bottom"/>
          </w:tcPr>
          <w:p>
            <w:pPr>
              <w:spacing w:after="0"/>
              <w:rPr>
                <w:sz w:val="1"/>
                <w:szCs w:val="1"/>
                <w:color w:val="auto"/>
              </w:rPr>
            </w:pPr>
          </w:p>
        </w:tc>
      </w:tr>
      <w:tr>
        <w:trPr>
          <w:trHeight w:val="248"/>
        </w:trPr>
        <w:tc>
          <w:tcPr>
            <w:tcW w:w="7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642,988</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notes receivable: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0" w:type="dxa"/>
            <w:vAlign w:val="bottom"/>
          </w:tcPr>
          <w:p>
            <w:pPr>
              <w:spacing w:after="0"/>
              <w:rPr>
                <w:sz w:val="1"/>
                <w:szCs w:val="1"/>
                <w:color w:val="auto"/>
              </w:rPr>
            </w:pPr>
          </w:p>
        </w:tc>
      </w:tr>
      <w:tr>
        <w:trPr>
          <w:trHeight w:val="23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effect on adoption of ASU No. 2016-13</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(72,685)</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723,620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522,678</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67,754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35,008</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73,469</w:t>
            </w:r>
          </w:p>
        </w:tc>
      </w:tr>
      <w:tr>
        <w:trPr>
          <w:trHeight w:val="223"/>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108,477</w:t>
            </w: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fixed maturity securities, available-for-sale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(266,800)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(192,749)</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illiquid investments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equity method investments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direct and indirect loans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60,075</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from equity method investments</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equity method and other long-term investments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short-term investments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(69,512)</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receivable/payable for securities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30"/>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provided by deposit accounting</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w:t>
            </w: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investment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(198,084)</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share purchases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stock notes receivable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Draw on revolving line of credit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term loan</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trust preferred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initial public offering</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66,262</w:t>
            </w:r>
          </w:p>
        </w:tc>
      </w:tr>
      <w:tr>
        <w:trPr>
          <w:trHeight w:val="223"/>
        </w:trPr>
        <w:tc>
          <w:tcPr>
            <w:tcW w:w="77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66,455</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125,011</w:t>
            </w:r>
          </w:p>
        </w:tc>
      </w:tr>
      <w:tr>
        <w:trPr>
          <w:trHeight w:val="223"/>
        </w:trPr>
        <w:tc>
          <w:tcPr>
            <w:tcW w:w="77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Cash and cash equivalents and restricted cash at end of period</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108,267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101,859</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federal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52"/>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The sum of cash and cash equivalents and restricted cash from the consolidated balance sheets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7540" w:firstLine="8"/>
        <w:spacing w:after="0" w:line="378"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 Basis of Presentation</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2023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2023 was derived from the Company’s audited annual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pacing w:after="0" w:line="64"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amortized cost and the fair value by investment category at June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Gross</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35,568</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436,382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94,274</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363,584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347,302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46,307</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241,261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240,440</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1,200,273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38,640</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38,640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amortized cost and fair value of available-for-sale fixed maturity securities by contractual maturity at June 30,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39,420</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311,737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301,370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191,013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185,279</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40,155</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411,487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393,609</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241,261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240,440</w:t>
            </w:r>
          </w:p>
        </w:tc>
      </w:tr>
      <w:tr>
        <w:trPr>
          <w:trHeight w:val="24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1,239,724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1,200,273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fixed maturity securities, held-to-maturity, at June 30, 2024 consisted entirely of asset backed securities that were not due at a single maturity date.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gross unrealized losses and the corresponding fair values of investments, aggregated by length of time that individual securities had been in a continuous unrealized loss position as of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w w:val="99"/>
              </w:rPr>
              <w:t>Losses</w:t>
            </w:r>
          </w:p>
        </w:tc>
        <w:tc>
          <w:tcPr>
            <w:tcW w:w="0" w:type="dxa"/>
            <w:vAlign w:val="bottom"/>
          </w:tcPr>
          <w:p>
            <w:pPr>
              <w:spacing w:after="0"/>
              <w:rPr>
                <w:sz w:val="1"/>
                <w:szCs w:val="1"/>
                <w:color w:val="auto"/>
              </w:rPr>
            </w:pPr>
          </w:p>
        </w:tc>
      </w:tr>
      <w:tr>
        <w:trPr>
          <w:trHeight w:val="214"/>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179,426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289,577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(16,407)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(7,281)</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124,446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235,511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(18,351)</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(1,934)</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51,137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55,351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106,488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331,902</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443,427</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(42,921)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775,329</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(46,776)</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0" w:type="dxa"/>
            <w:vAlign w:val="bottom"/>
          </w:tcPr>
          <w:p>
            <w:pPr>
              <w:spacing w:after="0"/>
              <w:rPr>
                <w:sz w:val="1"/>
                <w:szCs w:val="1"/>
                <w:color w:val="auto"/>
              </w:rPr>
            </w:pPr>
          </w:p>
        </w:tc>
      </w:tr>
      <w:tr>
        <w:trPr>
          <w:trHeight w:val="205"/>
        </w:trPr>
        <w:tc>
          <w:tcPr>
            <w:tcW w:w="3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36,594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36,594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331,902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480,021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811,923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(48,118)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Pr>
          <w:p>
            <w:pPr>
              <w:spacing w:after="0"/>
              <w:rPr>
                <w:sz w:val="16"/>
                <w:szCs w:val="16"/>
                <w:color w:val="auto"/>
              </w:rPr>
            </w:pPr>
          </w:p>
        </w:tc>
        <w:tc>
          <w:tcPr>
            <w:tcW w:w="24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3"/>
              <w:spacing w:after="0" w:line="135"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3"/>
              <w:spacing w:after="0" w:line="135"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3"/>
              <w:spacing w:after="0" w:line="135"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6"/>
        </w:trPr>
        <w:tc>
          <w:tcPr>
            <w:tcW w:w="3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w w:val="99"/>
              </w:rPr>
              <w:t>Losses</w:t>
            </w: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441,858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563,220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(42,553)</w:t>
            </w: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155"/>
        </w:trPr>
        <w:tc>
          <w:tcPr>
            <w:tcW w:w="34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796 lots of fixed maturity securities in an unrealized loss position. The Company does not have an intent to sell these securities and it is not more likely than not that the Company will be required to sell these securities before maturity or recovery of its cost basis. The Company determined that no credit impairment existed in the gross unrealized holding losses because the credit ratings of these securities were consistent with the credit ratings when purchased and/or at origination, there were no adverse changes in financial condition of the issuer and no adverse credit quality events in underlying assets. The Company attributed the unrealized losses to the changes in interest rates.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(losses) gains for the three and 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1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(losses) gains on investments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 loans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w:t>
            </w: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proceeds from sales of available-for-sale fixed maturity securities and equity securities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098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2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17,583</w:t>
            </w:r>
          </w:p>
        </w:tc>
      </w:tr>
      <w:tr>
        <w:trPr>
          <w:trHeight w:val="45"/>
        </w:trPr>
        <w:tc>
          <w:tcPr>
            <w:tcW w:w="7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three and 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w:t>
            </w: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Indirect loans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and cash</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15,999</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13,229</w:t>
            </w: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net unrealized (losses) gains on the Company’s investment portfolio, net of deferred income taxes, included in other comprehensive loss for the three and six months ended June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(7,013)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8"/>
              </w:rPr>
              <w:t>1,473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48"/>
        </w:trPr>
        <w:tc>
          <w:tcPr>
            <w:tcW w:w="4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(5,540)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for identical assets or liabilities in active markets at the measurement date.</w:t>
      </w:r>
    </w:p>
    <w:p>
      <w:pPr>
        <w:spacing w:after="0" w:line="54" w:lineRule="exact"/>
        <w:rPr>
          <w:sz w:val="20"/>
          <w:szCs w:val="20"/>
          <w:color w:val="auto"/>
        </w:rPr>
      </w:pPr>
    </w:p>
    <w:p>
      <w:pPr>
        <w:ind w:left="1060" w:right="2560" w:hanging="728"/>
        <w:spacing w:after="0" w:line="282" w:lineRule="auto"/>
        <w:rPr>
          <w:sz w:val="20"/>
          <w:szCs w:val="20"/>
          <w:color w:val="auto"/>
        </w:rPr>
      </w:pPr>
      <w:r>
        <w:rPr>
          <w:rFonts w:ascii="Times New Roman" w:cs="Times New Roman" w:eastAsia="Times New Roman" w:hAnsi="Times New Roman"/>
          <w:sz w:val="18"/>
          <w:szCs w:val="18"/>
          <w:color w:val="auto"/>
        </w:rPr>
        <w:t>Level 2 - Inputs are other than quoted prices included in Level 1 that are observable for the asset or liability through corroboration with market data at the measurement date.</w:t>
      </w:r>
    </w:p>
    <w:p>
      <w:pPr>
        <w:spacing w:after="0" w:line="54" w:lineRule="exact"/>
        <w:rPr>
          <w:sz w:val="20"/>
          <w:szCs w:val="20"/>
          <w:color w:val="auto"/>
        </w:rPr>
      </w:pPr>
    </w:p>
    <w:p>
      <w:pPr>
        <w:ind w:left="1060" w:right="2860" w:hanging="72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management’s best estimate of what market participants would use in pricing the asset or liability at the measurement date.</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for financial instruments in the accompanying consolidated financial statements and in these notes: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 mutual funds and common stock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uses unadjusted quoted prices for identical instruments in an active exchange to measure fair value which represent Level 1 inputs.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stocks, municipal securities, corporate securities and miscellaneous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mortgage-backed securities, residential mortgage-backed securities and other asset-backed securities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judgement and uncertainty.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range and weighted average, weighted by relative fair value, of the spread as of June 30,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1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9.75 %</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r>
      <w:tr>
        <w:trPr>
          <w:trHeight w:val="54"/>
        </w:trPr>
        <w:tc>
          <w:tcPr>
            <w:tcW w:w="68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investments within the fair value hierarchy at June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35,568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35,568</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436,382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436,382</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94,274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94,274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347,302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347,302</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46,307</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240,440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240,440</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35,568</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1,164,705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1,200,273</w:t>
            </w: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38,640</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38,640</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69,439</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3,177</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40,207</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109,646</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3,177</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112,823</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43,670</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215,041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215,041</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360,255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1,167,882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1,610,447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383,420</w:t>
            </w: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281,626</w:t>
            </w: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185,727</w:t>
            </w:r>
          </w:p>
        </w:tc>
      </w:tr>
      <w:tr>
        <w:trPr>
          <w:trHeight w:val="223"/>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973,485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1,017,651</w:t>
            </w: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r>
      <w:tr>
        <w:trPr>
          <w:trHeight w:val="223"/>
        </w:trPr>
        <w:tc>
          <w:tcPr>
            <w:tcW w:w="50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67,425</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w:t>
            </w:r>
          </w:p>
        </w:tc>
      </w:tr>
      <w:tr>
        <w:trPr>
          <w:trHeight w:val="223"/>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118,249</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270,226</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1,497,213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changes in the fair value of instruments carried at fair value with a Level 3 measurement during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Mortgage Loans</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for the period recognized in net investment (losses) gains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(6,919)</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44,309</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gains for the period recognized in net investment (losses) gains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480" w:type="dxa"/>
            <w:vAlign w:val="bottom"/>
            <w:vMerge w:val="continue"/>
          </w:tcPr>
          <w:p>
            <w:pPr>
              <w:spacing w:after="0"/>
              <w:rPr>
                <w:sz w:val="10"/>
                <w:szCs w:val="10"/>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0" w:type="dxa"/>
            <w:vAlign w:val="bottom"/>
          </w:tcPr>
          <w:p>
            <w:pPr>
              <w:spacing w:after="0"/>
              <w:rPr>
                <w:sz w:val="1"/>
                <w:szCs w:val="1"/>
                <w:color w:val="auto"/>
              </w:rPr>
            </w:pPr>
          </w:p>
        </w:tc>
      </w:tr>
      <w:tr>
        <w:trPr>
          <w:trHeight w:val="221"/>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gains for the period recognized in net investment (losses) gains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43,670</w:t>
            </w:r>
          </w:p>
        </w:tc>
        <w:tc>
          <w:tcPr>
            <w:tcW w:w="0" w:type="dxa"/>
            <w:vAlign w:val="bottom"/>
          </w:tcPr>
          <w:p>
            <w:pPr>
              <w:spacing w:after="0"/>
              <w:rPr>
                <w:sz w:val="1"/>
                <w:szCs w:val="1"/>
                <w:color w:val="auto"/>
              </w:rPr>
            </w:pP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losses for the period recognized in net investment (losses) gains attributable to the change in unrealized gains or losses</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c>
          <w:tcPr>
            <w:tcW w:w="0" w:type="dxa"/>
            <w:vAlign w:val="bottom"/>
          </w:tcPr>
          <w:p>
            <w:pPr>
              <w:spacing w:after="0"/>
              <w:rPr>
                <w:sz w:val="1"/>
                <w:szCs w:val="1"/>
                <w:color w:val="auto"/>
              </w:rPr>
            </w:pPr>
          </w:p>
        </w:tc>
      </w:tr>
      <w:tr>
        <w:trPr>
          <w:trHeight w:val="236"/>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Mortgage Loans</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for the period recognized in net investment (losses) gains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42,335</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losses for the period recognized in net investment (losses) gains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480" w:type="dxa"/>
            <w:vAlign w:val="bottom"/>
            <w:vMerge w:val="continue"/>
          </w:tcPr>
          <w:p>
            <w:pPr>
              <w:spacing w:after="0"/>
              <w:rPr>
                <w:sz w:val="10"/>
                <w:szCs w:val="10"/>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1"/>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(losses) gains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0" w:type="dxa"/>
            <w:vAlign w:val="bottom"/>
          </w:tcPr>
          <w:p>
            <w:pPr>
              <w:spacing w:after="0"/>
              <w:rPr>
                <w:sz w:val="1"/>
                <w:szCs w:val="1"/>
                <w:color w:val="auto"/>
              </w:rPr>
            </w:pP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gains for the period recognized in net investment (losses) gains attributable to the change in unrealized gains or losses</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methods and assumptions were used in estimating the fair value disclosures of other financial instruments:</w:t>
      </w:r>
    </w:p>
    <w:p>
      <w:pPr>
        <w:spacing w:after="0" w:line="11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Fixed maturity securities, held-to-maturity: </w:t>
      </w:r>
      <w:r>
        <w:rPr>
          <w:rFonts w:ascii="Times New Roman" w:cs="Times New Roman" w:eastAsia="Times New Roman" w:hAnsi="Times New Roman"/>
          <w:sz w:val="18"/>
          <w:szCs w:val="18"/>
          <w:color w:val="auto"/>
        </w:rPr>
        <w:t>Fixed maturity securities, held-to-maturity consists of senior and junior notes with target rates of return.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June 30, 2024, the Company determined the fair value of these instruments using the income approach utilizing inputs that are unobservable (Level 3).</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The carrying value approximates the estimated fair value for notes payable as the notes payable accrue interest at current market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a spread. The Company determines fair value using the income approach utilizing inputs that are observable (Level 2).</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Subordinated debt consists of two debt instruments, the Junior Subordinated Interest Debentures, due September 15, 2036,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Subordinated Notes, due May 24, 2039. The carrying value of the Junior Subordinated Interest Debentures approximates the estimated fair value as the instrument accrues interest at current market rates plus a spread. Unsecured Subordinated Notes have a fixed interest rate. The Company determines the fair value of these instruments using the income approach utilizing inputs that are observable (Level 2).</w:t>
      </w:r>
    </w:p>
    <w:p>
      <w:pPr>
        <w:spacing w:after="0" w:line="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carrying and fair values of notes payable and subordinated debt as of June 30,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500" w:type="dxa"/>
            <w:vAlign w:val="bottom"/>
          </w:tcPr>
          <w:p>
            <w:pPr>
              <w:spacing w:after="0"/>
              <w:rPr>
                <w:sz w:val="14"/>
                <w:szCs w:val="14"/>
                <w:color w:val="auto"/>
              </w:rPr>
            </w:pPr>
          </w:p>
        </w:tc>
        <w:tc>
          <w:tcPr>
            <w:tcW w:w="96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Pr>
          <w:p>
            <w:pPr>
              <w:spacing w:after="0"/>
              <w:rPr>
                <w:sz w:val="14"/>
                <w:szCs w:val="14"/>
                <w:color w:val="auto"/>
              </w:rPr>
            </w:pPr>
          </w:p>
        </w:tc>
        <w:tc>
          <w:tcPr>
            <w:tcW w:w="116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5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Subordinated debt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interest debentures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Unsecured subordinated notes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18,936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18,936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instruments qualify as insurance-related products and are specifically exempted from fair value disclosure requirements.</w:t>
      </w:r>
    </w:p>
    <w:p>
      <w:pPr>
        <w:spacing w:after="0" w:line="113"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invested in Separately Managed Accounts (“SMA1” and “SMA2”). As of June 30, 2024 and December 31, 2023, the Company held direct investments in mortgage loans from various creditors through SMA1 and SMA2.</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mortgage loan portfolios are primarily senior loans on real estate across the U.S. The loans earn interest at a fixed spread above a prime rate, mature in approximately 2 to 3 years from loan origination and the principal amounts of the loans range between 64% to 90% property’s appraised value at the time the loans were made.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Company’s mortgage loans as of June 30, 2024 and December 31, 2023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15,244</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6,785</w:t>
            </w:r>
          </w:p>
        </w:tc>
      </w:tr>
      <w:tr>
        <w:trPr>
          <w:trHeight w:val="248"/>
        </w:trPr>
        <w:tc>
          <w:tcPr>
            <w:tcW w:w="8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Company’s gross investment income for mortgage loans for the three and 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5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and six months ended June 30, 2024 and 2023.</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approximately $6.4 million and $7.1 million of mortgage loans, respectively, were in the process of foreclosure. As of June 30, 2024, $6.4 million of mortgage loans were not producing income for the previous 12 months.</w:t>
      </w:r>
    </w:p>
    <w:p>
      <w:pPr>
        <w:spacing w:after="0" w:line="50"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carrying value and ownership percentage of the Company’s equity method investments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2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JVM Funds LLC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18,425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3"/>
        </w:trPr>
        <w:tc>
          <w:tcPr>
            <w:tcW w:w="4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71,510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74,628</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(loss) from equity method investments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II LP units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JVM Funds LLC</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 Black Swan LP units</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48"/>
        </w:trPr>
        <w:tc>
          <w:tcPr>
            <w:tcW w:w="5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unfunded commitment of equity method investments as of June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4,227</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80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5,627</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1"/>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recorded investment in RISCOM compared to its share of underlying equity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RISCOM:</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2,816</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JVM Funds LLC compared to its share of underlying equity as of June 30,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JVM Funds LLC:</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17,744</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19,304</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18,425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20,061</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Indirect Loans and Loan Collateral</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held indirect investments in collateralized loans and loan collateral through SMA1 and SMA2.</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SMA1 and SMA2 as of June 30, 2024 and December 31, 2023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23,311</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SMA2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7,082</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indirect loans and loan collateral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30,393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b w:val="1"/>
          <w:bCs w:val="1"/>
          <w:u w:val="single" w:color="auto"/>
          <w:color w:val="auto"/>
        </w:rPr>
        <w:t>Notes Payable &amp; Subordinated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to obtain a new unsecured revolving credit facility (the “Revolving Credit Facility”) with a syndicate of participating banks during the first quarter of 2023. The Revolving Credit Facility provided the Company with up to a $150.0 million revolving credit facility, with an accordion that can increase the capacity by $50.0 million, and a letter of credit sub-facility of up to $30.0 million. As of December 31, 2023, the Company drew $50.0 million on the Revolving Credit Facility. During the six months ended June 30, 2024, the Company drew an additional $50.0 million on the Revolving Credit Facility and used the proceeds to pay off the principal on its existing Debentures (defined below).</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Secured Overnight Financing Rate (“SOFR”) plus a margin of between 150 and 190 basis points based on the ratio of debt to total capital and a credit spread adjustment of 10 basis points. The following table sets forth the outstanding draws on the Revolving Credit Facility as of June 30,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540" w:type="dxa"/>
            <w:vAlign w:val="bottom"/>
            <w:tcBorders>
              <w:top w:val="single" w:sz="8" w:color="auto"/>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Margin</w:t>
            </w: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Six-month SOFR</w:t>
            </w:r>
          </w:p>
        </w:tc>
        <w:tc>
          <w:tcPr>
            <w:tcW w:w="1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Net interest rate</w:t>
            </w: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5.25 %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r>
      <w:tr>
        <w:trPr>
          <w:trHeight w:val="23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29,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20"/>
                <w:szCs w:val="20"/>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5.23 %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r>
      <w:tr>
        <w:trPr>
          <w:trHeight w:val="49"/>
        </w:trPr>
        <w:tc>
          <w:tcPr>
            <w:tcW w:w="4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subject to covenants on the Revolving Credit Facility based on minimum net worth, maximum debt to capital ratio, minimum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Rating and minimum liquidity. As of June 30, 2024, the Company was in compliance with all covenants.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2006, the Company received $58.0 million of proceeds from a debenture offering through a statutory trust, Delos Capital Trust (the “Trust”). The sole asset of the Trust consists of Fixed/Floating Rate Junior Subordinated Deferrable Interest Debentures (the “Debentures”) with a principal amount of $59.8 million issued by the Company and cash of $1.8 million from the issuance of Trust common shares purchased by the Company equal to 3% of the Trust capitalization. On March 15, 2024, the Company redeemed the Debentures and paid $1.4 million of accrued interest.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Company’s income tax expense and effective tax rates for the three and 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9,730</w:t>
            </w:r>
          </w:p>
        </w:tc>
      </w:tr>
      <w:tr>
        <w:trPr>
          <w:trHeight w:val="23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45"/>
        </w:trPr>
        <w:tc>
          <w:tcPr>
            <w:tcW w:w="45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will differ from the statutory rate of 21 percent due to permanent differences for disallowed expenses for tax and beneficial adjustments for tax-exempt income, dividends-received deduction and non-deductible expenses.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paid federal income taxes of $14.0 million during the three and six months ended June 30, 2024 and $4.2 million during the three and six months ended June 30, 2023.</w:t>
      </w:r>
    </w:p>
    <w:p>
      <w:pPr>
        <w:spacing w:after="0" w:line="5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Losses and Loss Adjustment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unpaid losses and loss adjustment expenses (“LAE”) as reported in the condensed consolidated balance sheets as of and for the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1,314,501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1,141,757</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on unpaid claims, beginning of period</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(455,484)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(435,986)</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 net of reinsurance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859,017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705,771</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net of reinsurance, related to: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240,010</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303,450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240,010</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net of reinsurance, related to: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r>
      <w:tr>
        <w:trPr>
          <w:trHeight w:val="23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158,857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133,757</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162,881</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reserves for losses and LAE, end of period</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964,408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782,900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claims, end of period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505,698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441,227</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end of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1,470,106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1,224,127</w:t>
            </w: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
        </w:trPr>
        <w:tc>
          <w:tcPr>
            <w:tcW w:w="7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disaggregated revenues from contracts with customers for the three and six months ended June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SUA commission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SUA fee income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commission and fee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w:t>
            </w:r>
          </w:p>
        </w:tc>
      </w:tr>
      <w:tr>
        <w:trPr>
          <w:trHeight w:val="21"/>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contract assets from commission and fee income as of June 30, 2024 and December 31, 2023 were $1.7 million and $1.0 million, respectively.</w:t>
      </w:r>
    </w:p>
    <w:p>
      <w:pPr>
        <w:spacing w:after="0" w:line="50" w:lineRule="exact"/>
        <w:rPr>
          <w:sz w:val="20"/>
          <w:szCs w:val="20"/>
          <w:color w:val="auto"/>
        </w:rPr>
      </w:pPr>
    </w:p>
    <w:p>
      <w:pPr>
        <w:ind w:left="420" w:hanging="412"/>
        <w:spacing w:after="0"/>
        <w:tabs>
          <w:tab w:leader="none" w:pos="4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Underwriting, Acquisition and Insurance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underwriting, acquisition and insurance expenses for the three and six months ended June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44,371</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63,967</w:t>
            </w:r>
          </w:p>
        </w:tc>
      </w:tr>
      <w:tr>
        <w:trPr>
          <w:trHeight w:val="248"/>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underwriting, acquisition and insurance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76,679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effects of reinsurance on written and earned premiums and losses and loss adjustment expenses for the three and six months ended June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26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30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404,443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335,398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283,762</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70,786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(148,601)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(137,628)</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297,129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257,583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194,347</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106,954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300" w:type="dxa"/>
            <w:vAlign w:val="bottom"/>
          </w:tcPr>
          <w:p>
            <w:pPr>
              <w:spacing w:after="0"/>
              <w:rPr>
                <w:sz w:val="19"/>
                <w:szCs w:val="19"/>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30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771,239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662,570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640,275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546,419</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280" w:type="dxa"/>
            <w:vAlign w:val="bottom"/>
          </w:tcPr>
          <w:p>
            <w:pPr>
              <w:spacing w:after="0"/>
              <w:rPr>
                <w:sz w:val="19"/>
                <w:szCs w:val="19"/>
                <w:color w:val="auto"/>
              </w:rPr>
            </w:pP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183,624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132,972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142,217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87,345</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(370,634)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(301,617)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(366,614)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(256,586)</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584,229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493,925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9"/>
              </w:rPr>
              <w:t>415,878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377,178</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192,573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164,775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reinsurance recoverables and ceded unearned premium as of June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unpaid losses and LAE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505,698</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455,484</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paid losses and LAE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143,576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122,287</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portfolio transfer</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667,837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596,334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Ceded unearned premium</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255,138</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186,121</w:t>
            </w:r>
          </w:p>
        </w:tc>
      </w:tr>
      <w:tr>
        <w:trPr>
          <w:trHeight w:val="20"/>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
        </w:trPr>
        <w:tc>
          <w:tcPr>
            <w:tcW w:w="8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June 30, 2024, the market value of these accounts was approximately $196.9 million. The trust amount will be adjusted periodically, by mutual agreement, based on claim payments and loss reserve recoverables.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ceded reinsurance contracts that transfer only significant timing risk and do not transfer sufficient underwriting risk are accounted for using the deposit method of accounting. The Company’s deposit asset at June 30, 2024 and December 31, 2023 was $24.6 million and $29.9 million, respectively, and was included in other assets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80" w:hanging="272"/>
        <w:spacing w:after="0"/>
        <w:tabs>
          <w:tab w:leader="none" w:pos="2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compilation of basic and diluted net earnings per share for the three and 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share and per share amounts)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30,970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67,754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Undistributed income allocated to participating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25"/>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stockholders (numerator for</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30,970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 back: Undistributed income allocated to participating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05"/>
        </w:trPr>
        <w:tc>
          <w:tcPr>
            <w:tcW w:w="49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income (numerator for diluted earnings per share under the</w:t>
            </w: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30,970</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67,754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two-class method)</w:t>
            </w:r>
          </w:p>
        </w:tc>
        <w:tc>
          <w:tcPr>
            <w:tcW w:w="2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39,177,457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36,603,779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39,142,825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34,746,874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preferred shares</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1,449,343</w:t>
            </w:r>
          </w:p>
        </w:tc>
        <w:tc>
          <w:tcPr>
            <w:tcW w:w="0" w:type="dxa"/>
            <w:vAlign w:val="bottom"/>
          </w:tcPr>
          <w:p>
            <w:pPr>
              <w:spacing w:after="0"/>
              <w:rPr>
                <w:sz w:val="1"/>
                <w:szCs w:val="1"/>
                <w:color w:val="auto"/>
              </w:rPr>
            </w:pPr>
          </w:p>
        </w:tc>
      </w:tr>
      <w:tr>
        <w:trPr>
          <w:trHeight w:val="270"/>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Dilutive effect of stock notes</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722,153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763,590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717,217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740,396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stock units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900,119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512,331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368,353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349,777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54,970</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 weighted-average common share equivalents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41,168,082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38,143,585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41,110,384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37,503,914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0.79</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54"/>
        </w:trPr>
        <w:tc>
          <w:tcPr>
            <w:tcW w:w="4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anti-dilutive instruments that were excluded from the calculation of diluted weighted-average common share equivalents during the three and six months ended June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0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135,027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331,484</w:t>
            </w:r>
          </w:p>
        </w:tc>
      </w:tr>
      <w:tr>
        <w:trPr>
          <w:trHeight w:val="23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357,059</w:t>
            </w:r>
          </w:p>
        </w:tc>
      </w:tr>
      <w:tr>
        <w:trPr>
          <w:trHeight w:val="45"/>
        </w:trPr>
        <w:tc>
          <w:tcPr>
            <w:tcW w:w="4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common share equivalents of contingently issuable instruments that were excluded from basic earnings per share in the three and six months ended June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0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866,428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1,054,510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866,428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1,054,510</w:t>
            </w:r>
          </w:p>
        </w:tc>
      </w:tr>
      <w:tr>
        <w:trPr>
          <w:trHeight w:val="54"/>
        </w:trPr>
        <w:tc>
          <w:tcPr>
            <w:tcW w:w="49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RISCOM</w:t>
      </w:r>
    </w:p>
    <w:p>
      <w:pPr>
        <w:spacing w:after="0" w:line="31" w:lineRule="exact"/>
        <w:rPr>
          <w:sz w:val="20"/>
          <w:szCs w:val="20"/>
          <w:color w:val="auto"/>
        </w:rPr>
      </w:pPr>
    </w:p>
    <w:p>
      <w:pPr>
        <w:jc w:val="both"/>
        <w:ind w:right="20" w:firstLine="324"/>
        <w:spacing w:after="0" w:line="260" w:lineRule="auto"/>
        <w:rPr>
          <w:sz w:val="20"/>
          <w:szCs w:val="20"/>
          <w:color w:val="auto"/>
        </w:rPr>
      </w:pPr>
      <w:r>
        <w:rPr>
          <w:rFonts w:ascii="Times New Roman" w:cs="Times New Roman" w:eastAsia="Times New Roman" w:hAnsi="Times New Roman"/>
          <w:sz w:val="18"/>
          <w:szCs w:val="18"/>
          <w:color w:val="auto"/>
        </w:rPr>
        <w:t>RISCOM provides the Company with wholesale brokerage services. RISCOM and the Company also have a managing general agency agreement. The Company holds a 20% ownership interest in RISCOM.</w:t>
      </w:r>
    </w:p>
    <w:p>
      <w:pPr>
        <w:spacing w:after="0" w:line="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earned premium and gross commission expense related to these agreements for the three and six months ended June 30, 2024 and 2023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42,101</w:t>
            </w: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13,002</w:t>
            </w:r>
          </w:p>
        </w:tc>
      </w:tr>
      <w:tr>
        <w:trPr>
          <w:trHeight w:val="45"/>
        </w:trPr>
        <w:tc>
          <w:tcPr>
            <w:tcW w:w="5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Premiums receivable as of June 30, 2024 and December 31, 2023 were $14.5 million and $10.6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Advisory and professional services fees and expense reimbursements paid to various affiliated stockholders and directors for the three and six months ended June 30, 2024 were $0.1 million and $0.2 million, compared to $0.5 million and $2.6 million, respectively, for the three and six months ended June 30, 2023.</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4 and 5 for investments involving affiliated companies and additional related party transactions.</w:t>
      </w:r>
    </w:p>
    <w:p>
      <w:pPr>
        <w:spacing w:after="0" w:line="113" w:lineRule="exact"/>
        <w:rPr>
          <w:sz w:val="20"/>
          <w:szCs w:val="20"/>
          <w:color w:val="auto"/>
        </w:rPr>
      </w:pPr>
    </w:p>
    <w:p>
      <w:pPr>
        <w:ind w:right="8280" w:firstLine="8"/>
        <w:spacing w:after="0" w:line="378" w:lineRule="auto"/>
        <w:tabs>
          <w:tab w:leader="none" w:pos="40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 Litigation</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sale of business assets and subsidiaries, the Company has provided indemnifications to certain of the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term “Skyward Specialty” as used below refers only to Skyward Specialty Insurance Group, Inc. and the terms “our Company,” “we,” “us,” and “our” as used below refer to Skyward Specialty Insurance Group and its consolidated subsidiaries. The term “second quarter” as used below refers to the three and six months ended June 30 for the time period then ended. We discuss certain key metrics which provide useful information about our business and the operational factors underlying our financial performance. Many of these metrics are generally standard among insurance companies and help to provide comparability with our peers. Select insurance, accounting, operating and financial terms for Skyward Specialty are defined in the sections entitled “Select Insurance and Financial Terms” and “Key Operating and Financial Metrics” included in our 2023 Form 10-K for the year ended December 31, 2023 (the “2023 Form 10-K”).</w:t>
      </w:r>
    </w:p>
    <w:p>
      <w:pPr>
        <w:spacing w:after="0" w:line="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 certain forward-looking statements that are subject to risks, uncertainties and other factors described in "Risk Factors" in our 2023 Form 10-K. Our actual results could differ materially from those anticipated in these forward-looking statements as a result of many factors.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results of operations for the three and six months ended June 30, 2024 are not necessarily indicative of the results that may be expected for the full year ended December 31, 2024,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2023 Form 10-K.</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accompanying condensed consolidated financial statements and related notes have been prepared in accordance with United States (“U.S.”) generally accepted accounting principles (“GAAP”).</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Founded in 2006, Skyward Specialty is a specialty insurance holding company incorporated in Delaware. We have one reportable segment through which we offer a broad array of commercial property and casualty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our eight distinct underwriting divisions has dedicated underwriting leadership supported by high-quality technical staff with deep experience in their respective niches. We believe this structure and expertise allows us to serve the needs of our customers effectively and be a value-add partner to our distributors, while earning attractive risk-adjusted returns.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insurance company subsidiaries are group rated and have financial strength ratings of “A” (Excellent) with stable outlook from the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and six months ended June 30,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496,243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954,863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782,492</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(199,114)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(208,257)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(370,634)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(366,614)</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297,129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584,229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415,878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257,583</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194,347</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493,925</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377,178</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30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159,054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302,968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239,305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76,679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56,683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146,453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108,338</w:t>
            </w:r>
          </w:p>
        </w:tc>
        <w:tc>
          <w:tcPr>
            <w:tcW w:w="0" w:type="dxa"/>
            <w:vAlign w:val="bottom"/>
          </w:tcPr>
          <w:p>
            <w:pPr>
              <w:spacing w:after="0"/>
              <w:rPr>
                <w:sz w:val="1"/>
                <w:szCs w:val="1"/>
                <w:color w:val="auto"/>
              </w:rPr>
            </w:pPr>
          </w:p>
        </w:tc>
      </w:tr>
      <w:tr>
        <w:trPr>
          <w:trHeight w:val="223"/>
        </w:trPr>
        <w:tc>
          <w:tcPr>
            <w:tcW w:w="460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Underwriting income</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23,903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15,499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48,583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33,267</w:t>
            </w:r>
          </w:p>
        </w:tc>
        <w:tc>
          <w:tcPr>
            <w:tcW w:w="0" w:type="dxa"/>
            <w:vAlign w:val="bottom"/>
          </w:tcPr>
          <w:p>
            <w:pPr>
              <w:spacing w:after="0"/>
              <w:rPr>
                <w:sz w:val="1"/>
                <w:szCs w:val="1"/>
                <w:color w:val="auto"/>
              </w:rPr>
            </w:pPr>
          </w:p>
        </w:tc>
      </w:tr>
      <w:tr>
        <w:trPr>
          <w:trHeight w:val="74"/>
        </w:trPr>
        <w:tc>
          <w:tcPr>
            <w:tcW w:w="4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13,229</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6,478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6,312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44,738</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30,970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19,452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67,754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35,008</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64,025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31,503</w:t>
            </w: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ratio</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6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loss and LAE ratio</w:t>
            </w:r>
            <w:r>
              <w:rPr>
                <w:rFonts w:ascii="Times New Roman" w:cs="Times New Roman" w:eastAsia="Times New Roman" w:hAnsi="Times New Roman"/>
                <w:sz w:val="23"/>
                <w:szCs w:val="23"/>
                <w:color w:val="auto"/>
                <w:vertAlign w:val="superscript"/>
              </w:rPr>
              <w:t>(1)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48"/>
        </w:trPr>
        <w:tc>
          <w:tcPr>
            <w:tcW w:w="46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combined ratio</w:t>
            </w:r>
            <w:r>
              <w:rPr>
                <w:rFonts w:ascii="Times New Roman" w:cs="Times New Roman" w:eastAsia="Times New Roman" w:hAnsi="Times New Roman"/>
                <w:sz w:val="23"/>
                <w:szCs w:val="23"/>
                <w:color w:val="auto"/>
                <w:vertAlign w:val="superscript"/>
              </w:rPr>
              <w:t>(1)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6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return on tangible equity</w:t>
            </w:r>
            <w:r>
              <w:rPr>
                <w:rFonts w:ascii="Times New Roman" w:cs="Times New Roman" w:eastAsia="Times New Roman" w:hAnsi="Times New Roman"/>
                <w:sz w:val="23"/>
                <w:szCs w:val="23"/>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adjusted return on equity</w:t>
            </w:r>
            <w:r>
              <w:rPr>
                <w:rFonts w:ascii="Times New Roman" w:cs="Times New Roman" w:eastAsia="Times New Roman" w:hAnsi="Times New Roman"/>
                <w:sz w:val="23"/>
                <w:szCs w:val="23"/>
                <w:color w:val="auto"/>
                <w:vertAlign w:val="superscript"/>
              </w:rPr>
              <w:t>(1)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81"/>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r>
              <w:rPr>
                <w:rFonts w:ascii="Times New Roman" w:cs="Times New Roman" w:eastAsia="Times New Roman" w:hAnsi="Times New Roman"/>
                <w:sz w:val="23"/>
                <w:szCs w:val="23"/>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r>
    </w:tbl>
    <w:p>
      <w:pPr>
        <w:ind w:left="180" w:hanging="141"/>
        <w:spacing w:after="0" w:line="210" w:lineRule="auto"/>
        <w:tabs>
          <w:tab w:leader="none" w:pos="180" w:val="left"/>
        </w:tabs>
        <w:numPr>
          <w:ilvl w:val="0"/>
          <w:numId w:val="29"/>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adjusted operating income to net income for the three and six months ended June 30,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4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r>
      <w:tr>
        <w:trPr>
          <w:trHeight w:val="223"/>
        </w:trPr>
        <w:tc>
          <w:tcPr>
            <w:tcW w:w="2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Borders>
              <w:bottom w:val="single" w:sz="8" w:color="auto"/>
            </w:tcBorders>
          </w:tcPr>
          <w:p>
            <w:pPr>
              <w:spacing w:after="0"/>
              <w:rPr>
                <w:sz w:val="19"/>
                <w:szCs w:val="19"/>
                <w:color w:val="auto"/>
              </w:rPr>
            </w:pPr>
          </w:p>
        </w:tc>
      </w:tr>
      <w:tr>
        <w:trPr>
          <w:trHeight w:val="22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Pre-tax</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After-tax</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After-tax</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After-tax</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Pre-tax</w:t>
            </w:r>
          </w:p>
        </w:tc>
        <w:tc>
          <w:tcPr>
            <w:tcW w:w="1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After-tax</w:t>
            </w: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40,355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67,754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35,008</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230"/>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impact of LPT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9"/>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42,991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64,025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underwriting income to income before federal income tax for the three and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9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federal income tax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44,738</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29"/>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30"/>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w:t>
            </w:r>
          </w:p>
        </w:tc>
      </w:tr>
      <w:tr>
        <w:trPr>
          <w:trHeight w:val="229"/>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r>
      <w:tr>
        <w:trPr>
          <w:trHeight w:val="229"/>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Underwriting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23,903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48,583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33,267</w:t>
            </w:r>
          </w:p>
        </w:tc>
      </w:tr>
      <w:tr>
        <w:trPr>
          <w:trHeight w:val="21"/>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Loss Ratio / Adjusted Combined Ratio</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adjusted loss and LAE ratio and adjusted combined ratio to the loss and LAE ratio and combined ratio for the three and six months ended June 30, 2024 and 2023:</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493,925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377,178</w:t>
            </w:r>
          </w:p>
        </w:tc>
      </w:tr>
      <w:tr>
        <w:trPr>
          <w:trHeight w:val="230"/>
        </w:trPr>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302,968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239,305</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Pre-tax net impact of loss portfolio transfer</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losses and LAE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159,295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240,009</w:t>
            </w:r>
          </w:p>
        </w:tc>
      </w:tr>
      <w:tr>
        <w:trPr>
          <w:trHeight w:val="236"/>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impact of LPT</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loss ratio</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91.1 %</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impact of LPT</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combined ratio</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Stockholders’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tangible stockholders’ equity to stockholders’ equity for the periods ended June 30,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80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522,678</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89,181</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433,497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annualized adjusted return on equity to annualized return on equity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132,214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64,068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128,050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63,006</w:t>
            </w: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Denominator: average stockholders’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707,946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514,912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692,326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472,170</w:t>
            </w: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54"/>
        </w:trPr>
        <w:tc>
          <w:tcPr>
            <w:tcW w:w="4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Return on Tangible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Annualized return on tangible equity for the three and six months ended June 30, 2024 and 2023 reconciles to annualized return on equity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123,880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77,808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135,508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70,016</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619,944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425,570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604,174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382,645</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tangible equity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54"/>
        </w:trPr>
        <w:tc>
          <w:tcPr>
            <w:tcW w:w="4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Tangible Equity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Annualized adjusted return on tangible equity for the three and six months ended June 30, 2024 and 2023 reconciles to annualized return on equity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132,214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64,068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128,050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63,006</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619,944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425,570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604,174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382,645</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54"/>
        </w:trPr>
        <w:tc>
          <w:tcPr>
            <w:tcW w:w="4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gross written premiums by underwriting division for the three and 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460" w:type="dxa"/>
            <w:vAlign w:val="bottom"/>
            <w:tcBorders>
              <w:top w:val="single" w:sz="8" w:color="auto"/>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3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 &amp; Agriculture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Industry Solutions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496,225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422,304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73,921</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Excludes exited business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9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400" w:type="dxa"/>
            <w:vAlign w:val="bottom"/>
            <w:tcBorders>
              <w:top w:val="single" w:sz="8" w:color="auto"/>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3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 &amp; Agriculture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225,361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Industry Solutions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162,371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954,880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782,559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172,321</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Excludes exited business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gross written premiums for the second quarter and first half of 2024, when compared to the same 2023 periods, was driven by double-digit premium growth primarily from our captives, transactional E&amp;S and surety underwriting divisions. The double-digit premium growth was due to new business and increased rates. Our global property &amp; agriculture division contributed double digit premium growth in the first half of 2024, when compared to the same 2023 period, primarily driven by new business in agriculture.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written premiums for the second quarter of 2024 were $297.1 million compared to $213.7 million for the same 2023 period, an increase of $83.4 million or 39.0%. Net written premiums for the first half of 2024 were $584.2 million compared to $415.9 million for the same 2023 period, an increase of $168.3 million or 40.5%. The increases in net written premiums were primarily driven by the same reasons that drove the increases in gross written premiums discussed above.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earned premiums for the second quarter of 2024 were $257.6 million compared to $194.3 million for the same 2023 period, an increase of $63.3 million, or 32.5%. Net earned premiums for the first half of 2024 were $493.9 million compared to $377.2 million for the same 2023 period, an increase of $116.7 million or 31.0%. The increases in net earned premiums were primarily driven by the same reasons that drove the increases in gross written premiums discussed above.</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reinsurance programs, see the “Reinsurance” discussion included in this Item 2</w:t>
      </w:r>
      <w:r>
        <w:rPr>
          <w:rFonts w:ascii="Times New Roman" w:cs="Times New Roman" w:eastAsia="Times New Roman" w:hAnsi="Times New Roman"/>
          <w:sz w:val="18"/>
          <w:szCs w:val="18"/>
          <w:i w:val="1"/>
          <w:i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LAE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loss and LAE ratios and adjusted loss and LAE ratios for the three and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Losses and LAE:</w:t>
      </w:r>
    </w:p>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Prior accident year development - LPT</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losses and LAE</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losses and LAE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adjusted losses and LAE</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4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8"/>
                <w:szCs w:val="18"/>
                <w:color w:val="auto"/>
                <w:w w:val="97"/>
              </w:rPr>
              <w:t>Losses</w:t>
            </w:r>
          </w:p>
        </w:tc>
        <w:tc>
          <w:tcPr>
            <w:tcW w:w="122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rPr>
              <w:t>Losses</w:t>
            </w: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32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14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7"/>
              </w:rPr>
              <w:t>and LAE</w:t>
            </w: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Premiums</w:t>
            </w:r>
          </w:p>
        </w:tc>
        <w:tc>
          <w:tcPr>
            <w:tcW w:w="220" w:type="dxa"/>
            <w:vAlign w:val="bottom"/>
          </w:tcPr>
          <w:p>
            <w:pPr>
              <w:spacing w:after="0"/>
              <w:rPr>
                <w:sz w:val="20"/>
                <w:szCs w:val="20"/>
                <w:color w:val="auto"/>
              </w:rPr>
            </w:pPr>
          </w:p>
        </w:tc>
        <w:tc>
          <w:tcPr>
            <w:tcW w:w="14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and LAE</w:t>
            </w: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Premiums</w:t>
            </w:r>
          </w:p>
        </w:tc>
        <w:tc>
          <w:tcPr>
            <w:tcW w:w="0" w:type="dxa"/>
            <w:vAlign w:val="bottom"/>
          </w:tcPr>
          <w:p>
            <w:pPr>
              <w:spacing w:after="0"/>
              <w:rPr>
                <w:sz w:val="1"/>
                <w:szCs w:val="1"/>
                <w:color w:val="auto"/>
              </w:rPr>
            </w:pPr>
          </w:p>
        </w:tc>
      </w:tr>
      <w:tr>
        <w:trPr>
          <w:trHeight w:val="524"/>
        </w:trPr>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156,295</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118,062</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70"/>
        </w:trPr>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159,054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124,405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156,295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0" w:type="dxa"/>
            <w:vAlign w:val="bottom"/>
          </w:tcPr>
          <w:p>
            <w:pPr>
              <w:spacing w:after="0"/>
              <w:rPr>
                <w:sz w:val="1"/>
                <w:szCs w:val="1"/>
                <w:color w:val="auto"/>
              </w:rPr>
            </w:pPr>
          </w:p>
        </w:tc>
      </w:tr>
      <w:tr>
        <w:trPr>
          <w:trHeight w:val="270"/>
        </w:trPr>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159,295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124,867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-1533525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-1190625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-847725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-530860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-187960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580" w:space="720"/>
            <w:col w:w="5940"/>
          </w:cols>
          <w:pgMar w:left="320" w:top="135" w:right="339" w:bottom="1440" w:gutter="0" w:footer="0" w:header="0"/>
          <w:type w:val="continuous"/>
        </w:sectPr>
      </w:pPr>
    </w:p>
    <w:p>
      <w:pPr>
        <w:ind w:left="160" w:hanging="134"/>
        <w:spacing w:after="0"/>
        <w:tabs>
          <w:tab w:leader="none" w:pos="160" w:val="left"/>
        </w:tabs>
        <w:numPr>
          <w:ilvl w:val="0"/>
          <w:numId w:val="30"/>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Current accident year</w:t>
      </w:r>
    </w:p>
    <w:p>
      <w:pPr>
        <w:spacing w:after="0" w:line="55" w:lineRule="exact"/>
        <w:rPr>
          <w:rFonts w:ascii="Times New Roman" w:cs="Times New Roman" w:eastAsia="Times New Roman" w:hAnsi="Times New Roman"/>
          <w:sz w:val="17"/>
          <w:szCs w:val="17"/>
          <w:i w:val="1"/>
          <w:iCs w:val="1"/>
          <w:color w:val="auto"/>
          <w:vertAlign w:val="superscript"/>
        </w:rPr>
      </w:pPr>
    </w:p>
    <w:p>
      <w:pPr>
        <w:ind w:left="180" w:hanging="154"/>
        <w:spacing w:after="0" w:line="191" w:lineRule="auto"/>
        <w:tabs>
          <w:tab w:leader="none" w:pos="180" w:val="left"/>
        </w:tabs>
        <w:numPr>
          <w:ilvl w:val="0"/>
          <w:numId w:val="3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Losses and LAE:</w:t>
      </w:r>
    </w:p>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Prior accident year development - LPT</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losses and LAE</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losses and LAE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adjusted losses and LAE</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4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8"/>
                <w:szCs w:val="18"/>
                <w:color w:val="auto"/>
                <w:w w:val="97"/>
              </w:rPr>
              <w:t>Losses</w:t>
            </w:r>
          </w:p>
        </w:tc>
        <w:tc>
          <w:tcPr>
            <w:tcW w:w="122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rPr>
              <w:t>Losses</w:t>
            </w: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32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4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7"/>
              </w:rPr>
              <w:t>and LAE</w:t>
            </w: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Premiums</w:t>
            </w:r>
          </w:p>
        </w:tc>
        <w:tc>
          <w:tcPr>
            <w:tcW w:w="220" w:type="dxa"/>
            <w:vAlign w:val="bottom"/>
          </w:tcPr>
          <w:p>
            <w:pPr>
              <w:spacing w:after="0"/>
              <w:rPr>
                <w:sz w:val="21"/>
                <w:szCs w:val="21"/>
                <w:color w:val="auto"/>
              </w:rPr>
            </w:pPr>
          </w:p>
        </w:tc>
        <w:tc>
          <w:tcPr>
            <w:tcW w:w="14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and LAE</w:t>
            </w: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Premiums</w:t>
            </w:r>
          </w:p>
        </w:tc>
        <w:tc>
          <w:tcPr>
            <w:tcW w:w="0" w:type="dxa"/>
            <w:vAlign w:val="bottom"/>
          </w:tcPr>
          <w:p>
            <w:pPr>
              <w:spacing w:after="0"/>
              <w:rPr>
                <w:sz w:val="1"/>
                <w:szCs w:val="1"/>
                <w:color w:val="auto"/>
              </w:rPr>
            </w:pPr>
          </w:p>
        </w:tc>
      </w:tr>
      <w:tr>
        <w:trPr>
          <w:trHeight w:val="520"/>
        </w:trPr>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299,450</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229,964</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0"/>
        </w:trPr>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302,968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239,305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299,450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270"/>
        </w:trPr>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303,450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-1534160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-1191260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-848360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-530860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-187960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580" w:space="720"/>
            <w:col w:w="5940"/>
          </w:cols>
          <w:pgMar w:left="320" w:top="135" w:right="339" w:bottom="1440" w:gutter="0" w:footer="0" w:header="0"/>
          <w:type w:val="continuous"/>
        </w:sectPr>
      </w:pPr>
    </w:p>
    <w:p>
      <w:pPr>
        <w:ind w:left="160" w:hanging="134"/>
        <w:spacing w:after="0"/>
        <w:tabs>
          <w:tab w:leader="none" w:pos="160" w:val="left"/>
        </w:tabs>
        <w:numPr>
          <w:ilvl w:val="0"/>
          <w:numId w:val="31"/>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Current accident year</w:t>
      </w:r>
    </w:p>
    <w:p>
      <w:pPr>
        <w:spacing w:after="0" w:line="55" w:lineRule="exact"/>
        <w:rPr>
          <w:rFonts w:ascii="Times New Roman" w:cs="Times New Roman" w:eastAsia="Times New Roman" w:hAnsi="Times New Roman"/>
          <w:sz w:val="17"/>
          <w:szCs w:val="17"/>
          <w:i w:val="1"/>
          <w:iCs w:val="1"/>
          <w:color w:val="auto"/>
          <w:vertAlign w:val="superscript"/>
        </w:rPr>
      </w:pPr>
    </w:p>
    <w:p>
      <w:pPr>
        <w:ind w:left="180" w:hanging="154"/>
        <w:spacing w:after="0" w:line="191" w:lineRule="auto"/>
        <w:tabs>
          <w:tab w:leader="none" w:pos="180" w:val="left"/>
        </w:tabs>
        <w:numPr>
          <w:ilvl w:val="0"/>
          <w:numId w:val="3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loss ratios for the second quarter and first half of 2024 improved 2.3 points and 2.1 points, respectively, when compared to the same 2023 periods, driven by less severity of convective storms. The non-cat loss and LAE ratio for the second quarter of 2024 was comparable to the same 2023 period. The non-cat loss and LAE ratio for the first half of 2024 improved 0.3 points when compared to the same 2023 period, primarily driven by the shift in the mix of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expense ratios for the three and 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25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Premiums</w:t>
            </w:r>
          </w:p>
        </w:tc>
        <w:tc>
          <w:tcPr>
            <w:tcW w:w="220" w:type="dxa"/>
            <w:vAlign w:val="bottom"/>
          </w:tcPr>
          <w:p>
            <w:pPr>
              <w:spacing w:after="0"/>
              <w:rPr>
                <w:sz w:val="21"/>
                <w:szCs w:val="21"/>
                <w:color w:val="auto"/>
              </w:rPr>
            </w:pPr>
          </w:p>
        </w:tc>
        <w:tc>
          <w:tcPr>
            <w:tcW w:w="14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Expenses</w:t>
            </w: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Premiums</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35,931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40,748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76,679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(2,053)</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74,626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250"/>
              <w:spacing w:after="0" w:line="177"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80"/>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Net Earned</w:t>
            </w:r>
          </w:p>
        </w:tc>
        <w:tc>
          <w:tcPr>
            <w:tcW w:w="220" w:type="dxa"/>
            <w:vAlign w:val="bottom"/>
          </w:tcPr>
          <w:p>
            <w:pPr>
              <w:spacing w:after="0"/>
              <w:rPr>
                <w:sz w:val="15"/>
                <w:szCs w:val="15"/>
                <w:color w:val="auto"/>
              </w:rPr>
            </w:pPr>
          </w:p>
        </w:tc>
        <w:tc>
          <w:tcPr>
            <w:tcW w:w="148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8"/>
                <w:szCs w:val="18"/>
                <w:color w:val="auto"/>
              </w:rPr>
              <w:t>Expenses</w:t>
            </w:r>
          </w:p>
        </w:tc>
        <w:tc>
          <w:tcPr>
            <w:tcW w:w="124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w w:val="98"/>
              </w:rPr>
              <w:t>Net Earned</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Premiums</w:t>
            </w:r>
          </w:p>
        </w:tc>
        <w:tc>
          <w:tcPr>
            <w:tcW w:w="22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Premiums</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78,545</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146,453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(4,079)</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142,374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expense ratio for the second quarter and first half of 2024 increased 1.0 point and 1.1 points, respectively, when compared to the same 2023 periods, primarily driven by the business mix shift partially offset by earnings leverage.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expense ratios for the periods presented exclude the impact of IPO related stock compensation and secondary offering expenses, which are reported in other expenses in our condensed consolidated statements of operations and comprehensive income.</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Results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Beginning January 1, 2024 we simplified the investment portfolio classifications to align with our strategy and the underlying risk characteristics of the portfolio. The prior period has been reclassified to conform to the current period presentation.</w:t>
      </w:r>
    </w:p>
    <w:p>
      <w:pPr>
        <w:spacing w:after="0" w:line="54"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8"/>
          <w:szCs w:val="18"/>
          <w:color w:val="auto"/>
        </w:rPr>
        <w:t>The following table sets forth the components of net investment income and net investment gains (losses) for the three and six months ended June 30, 2024 and 2023:</w:t>
      </w:r>
    </w:p>
    <w:tbl>
      <w:tblPr>
        <w:tblLayout w:type="fixed"/>
        <w:tblInd w:w="20" w:type="dxa"/>
        <w:tblCellMar>
          <w:top w:w="0" w:type="dxa"/>
          <w:left w:w="0" w:type="dxa"/>
          <w:bottom w:w="0" w:type="dxa"/>
          <w:right w:w="0" w:type="dxa"/>
        </w:tblCellMar>
      </w:tblPr>
      <w:tr>
        <w:trPr>
          <w:trHeight w:val="224"/>
        </w:trPr>
        <w:tc>
          <w:tcPr>
            <w:tcW w:w="49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60" w:type="dxa"/>
            <w:vAlign w:val="bottom"/>
            <w:tcBorders>
              <w:top w:val="single" w:sz="8" w:color="auto"/>
              <w:bottom w:val="single" w:sz="8" w:color="CCEEFF"/>
            </w:tcBorders>
            <w:vMerge w:val="continue"/>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&amp; 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0" w:type="dxa"/>
            <w:vAlign w:val="bottom"/>
          </w:tcPr>
          <w:p>
            <w:pPr>
              <w:spacing w:after="0"/>
              <w:rPr>
                <w:sz w:val="1"/>
                <w:szCs w:val="1"/>
                <w:color w:val="auto"/>
              </w:rPr>
            </w:pPr>
          </w:p>
        </w:tc>
      </w:tr>
      <w:tr>
        <w:trPr>
          <w:trHeight w:val="221"/>
        </w:trPr>
        <w:tc>
          <w:tcPr>
            <w:tcW w:w="496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22,138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40,435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13,229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unrealized (losses) gains on securities still held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(1,760)</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5,017</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7,231</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8,784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(losses) gains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23"/>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investment income for the second quarter and first half of 2024 increased $13.6 million and $27.2 million, respectively when compared to the same 2023 periods.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increase in income from our fixed income portfolio for the second quarter and first half of 2024, when compared to the same 2023 periods, was due to (i) a larger asset base as we continued to increase our allocation to this part of our investment portfolio and (ii) a higher book yield of 4.4% at June 30, 2024 compared to 3.9% at June 30, 2023. The increases in income from short-term investments &amp; cash and cash equivalents for the second quarter and first half of 2024 when compared to the same 2023 periods, were due to higher investment yields and a larger asset base. The fair value of our alternative and strategic investments portfolio for the second quarter and first half of 2024 increased when compared to the same 2023 period, due to an increase in the fair value of limited partnership investments.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We reviewed our available-for-sale fixed maturities at June 30, 2024 and determined that no credit impairment existed in the gross unrealized holding losses. See Note 2, “Investments” to our condensed consolidated financial statements included in Item 1 of this Form 10-Q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Investment Portfolio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investment portfolio at carrying value at June 30, 2024 and December 31, 2023:</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8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top w:val="single" w:sz="8" w:color="auto"/>
              <w:bottom w:val="single" w:sz="8" w:color="auto"/>
            </w:tcBorders>
          </w:tcPr>
          <w:p>
            <w:pPr>
              <w:spacing w:after="0"/>
              <w:rPr>
                <w:sz w:val="21"/>
                <w:szCs w:val="2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17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Carrying Value</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215,041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3"/>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1,789,326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1,679,578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
        </w:trPr>
        <w:tc>
          <w:tcPr>
            <w:tcW w:w="4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income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fixed income portfolio primarily consists of investment grade fixed income securities, which are predominantly highly-rated and liquid bonds, and commercial mortgage loans.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fixed income securities at June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9"/>
                <w:szCs w:val="19"/>
                <w:color w:val="auto"/>
              </w:rPr>
            </w:pP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6"/>
              </w:rPr>
              <w:t>Carrying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Carrying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436,382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347,302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23"/>
        </w:trPr>
        <w:tc>
          <w:tcPr>
            <w:tcW w:w="5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1,200,273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95.3 %</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1,243,943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1,067,721</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credit rating of our available-for-sale fixed income portfolio was “AA-” by Standard &amp; Poor’s Financial Services, LLC (“Standard &amp; Poor’s”) at June 30, 2024 and December 31, 2023. The following table sets forth the credit quality of our available-for-sale fixed income portfolio at June 30, 2024 and December 31, 2023, as rated by Standard &amp; Poor’s or equivalent designation: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Fair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534,283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493,252</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137,565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233,487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154,096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 and Lower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30,910</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1,200,273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commercial mortgage loans are primarily senior loans on real estate across the U.S.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average duration of our fixed income portfolio was approximately 4.19 years and 4.24 years, respectively, as of June 30, 2024 and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Equities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equities portfolio primarily consists of domestic preferred stocks, common equities, exchange traded funds, limited partnerships, limited liability corporations and other types of equity interests, 100.0% of which are publicly traded.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and strategic investments</w:t>
      </w:r>
    </w:p>
    <w:p>
      <w:pPr>
        <w:spacing w:after="0" w:line="1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value as asset values are monetized and the income is distributed. Strategic investments consists of equity interests in private entities within the insurance industry.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and six months ended June 30, 2024 was $9.4 million and $19.6 million, respectively, compared to $5.6 million and $9.7 million, respectively, for the same 2023 periods. Our effective tax rates for the three and six months ended June 30, 2024 were 23.3% and 22.4%, respectively, compared to 22.2% and 21.7%, respectively, for the same 2023 periods. For additional information, see Note 7 of our condensed consolidated financial statements included in Item 1 of this Form 10-Q.</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for the six months ended June 30, 2024 and 2023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115,220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108,477</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(198,084)</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cash provided by operating activities in 2024 and 2023 was primarily due to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in 2024 and 2023 was primarily driven by purchases of fixed maturity securities and short-term investments.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in 2024 was driven by net payments on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29, 2023, we entered into an unsecured revolving credit facility (the “Revolving Credit Facility”) with a syndicate of participating banks. The Revolving Credit Facility provides us with up to a $150.0 million revolving credit facility, with an accordion that can increase the capacity by $50.0 million, and a letter of credit sub-facility of up to $30.0 million.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2024, we drew $50.0 million on the Revolving Credit Facility and used the proceeds and existing cash to fund the redemption of the Debentures (see “Debentures” below for additional information regarding the redemption). As of March 31, 2024, we had $100.0 million outstanding under the Revolving Credit Facility with another $50.0 million of undrawn capacity.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SOFR plus a margin of between 150 and 190 basis points based on the ratio of debt to total capital and a credit spread adjustment of 10 basis points. The following table sets forth the outstanding draws on the Revolving Credit Facility as of June 30,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540" w:type="dxa"/>
            <w:vAlign w:val="bottom"/>
            <w:tcBorders>
              <w:top w:val="single" w:sz="8" w:color="auto"/>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Margin</w:t>
            </w: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Six-month SOFR</w:t>
            </w:r>
          </w:p>
        </w:tc>
        <w:tc>
          <w:tcPr>
            <w:tcW w:w="1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Net interest rate</w:t>
            </w: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5.25 %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r>
      <w:tr>
        <w:trPr>
          <w:trHeight w:val="23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29,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20"/>
                <w:szCs w:val="20"/>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5.23 %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r>
      <w:tr>
        <w:trPr>
          <w:trHeight w:val="49"/>
        </w:trPr>
        <w:tc>
          <w:tcPr>
            <w:tcW w:w="4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covenants on the Revolving Credit Facility based on minimum net worth, maximum debt to capital ratio, minimum A.M. Best Rating and minimum liquidity. As of June 30, 2024, we are in compliance with all covenants.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On March 15, 2024, the Company redeemed the Debentures and paid $1.4 million of accrued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2019, we issued unsecured subordinated notes (the “Notes”) with an aggregate principal amount of $20.0 million. Interest on the subordinated notes is 7.25% fixed for the first eight years and 8.25% fixed thereafter. Early retirement of the debt ahead of the eight-year commitment requires all interest payments to be paid in full, as well as the return of all capital. Principal payment is due at maturity on May 24, 2039 and interest is payable quarterly.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June 30, 2024 the ratio of total debt outstanding, including the Revolving Credit Facility, the Trust Preferred and the Notes, to total capitalization (defined as total debt plus stockholders’ equity) was 14.1% and at December 31, 2023, the ratio of total debt outstanding, including the Term Loan, the Revolver, the Trust Preferred and the Notes, to total capitalization was 16.3%.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50" w:lineRule="exact"/>
        <w:rPr>
          <w:sz w:val="20"/>
          <w:szCs w:val="20"/>
          <w:color w:val="auto"/>
        </w:rPr>
      </w:pPr>
    </w:p>
    <w:p>
      <w:pPr>
        <w:ind w:left="660" w:right="20" w:hanging="328"/>
        <w:spacing w:after="0" w:line="28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Quota share reinsurance </w:t>
      </w:r>
      <w:r>
        <w:rPr>
          <w:rFonts w:ascii="Times New Roman" w:cs="Times New Roman" w:eastAsia="Times New Roman" w:hAnsi="Times New Roman"/>
          <w:sz w:val="18"/>
          <w:szCs w:val="18"/>
          <w:color w:val="auto"/>
        </w:rPr>
        <w:t>refers to a reinsurance contract whereby the reinsurer agrees to assume a specified percentage of the ceding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arising out of a defined class of business in exchange for a corresponding percentage of premiums, net of a ceding commission.</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of loss reinsurance </w:t>
      </w:r>
      <w:r>
        <w:rPr>
          <w:rFonts w:ascii="Times New Roman" w:cs="Times New Roman" w:eastAsia="Times New Roman" w:hAnsi="Times New Roman"/>
          <w:sz w:val="18"/>
          <w:szCs w:val="18"/>
          <w:color w:val="auto"/>
        </w:rPr>
        <w:t>refers to a reinsurance contract whereby the reinsurer agrees to assume all or a portion of the ceding company’s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 individual claim or an event in excess of a specified amount in exchange for a premium payable amount negotiated between the parties, which includes our catastrophe reinsurance program.</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Facultative coverage </w:t>
      </w:r>
      <w:r>
        <w:rPr>
          <w:rFonts w:ascii="Times New Roman" w:cs="Times New Roman" w:eastAsia="Times New Roman" w:hAnsi="Times New Roman"/>
          <w:sz w:val="18"/>
          <w:szCs w:val="18"/>
          <w:color w:val="auto"/>
        </w:rPr>
        <w:t>refers to a reinsurance contract on individual risks as opposed to a group or class of business. It is used for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reasons, including supplementing the limits provided by the treaty coverage or covering risks or perils excluded from treaty reinsurance.</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our net retention on a written basis (calculated as net written premiums as a percentage of gross written premiums) was 59.9% and 61.2%, respectively, compared to 50.6% and 53.1%, respectively, for the same 2023 periods.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reinsurance programs as of June 30,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28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$0.90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Auto</w:t>
            </w:r>
            <w:r>
              <w:rPr>
                <w:rFonts w:ascii="Times New Roman" w:cs="Times New Roman" w:eastAsia="Times New Roman" w:hAnsi="Times New Roman"/>
                <w:sz w:val="23"/>
                <w:szCs w:val="23"/>
                <w:color w:val="auto"/>
                <w:vertAlign w:val="superscript"/>
              </w:rPr>
              <w:t>(1)</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$1.00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Excess Casualty</w:t>
            </w:r>
            <w:r>
              <w:rPr>
                <w:rFonts w:ascii="Times New Roman" w:cs="Times New Roman" w:eastAsia="Times New Roman" w:hAnsi="Times New Roman"/>
                <w:sz w:val="23"/>
                <w:szCs w:val="23"/>
                <w:color w:val="auto"/>
                <w:vertAlign w:val="superscript"/>
              </w:rPr>
              <w:t>(1)(2)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Liability</w:t>
            </w:r>
            <w:r>
              <w:rPr>
                <w:rFonts w:ascii="Times New Roman" w:cs="Times New Roman" w:eastAsia="Times New Roman" w:hAnsi="Times New Roman"/>
                <w:sz w:val="23"/>
                <w:szCs w:val="23"/>
                <w:color w:val="auto"/>
                <w:vertAlign w:val="superscript"/>
              </w:rPr>
              <w:t>(1)</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$1.50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Lines</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$5.21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w:t>
            </w:r>
            <w:r>
              <w:rPr>
                <w:rFonts w:ascii="Times New Roman" w:cs="Times New Roman" w:eastAsia="Times New Roman" w:hAnsi="Times New Roman"/>
                <w:sz w:val="23"/>
                <w:szCs w:val="23"/>
                <w:color w:val="auto"/>
                <w:vertAlign w:val="superscript"/>
              </w:rPr>
              <w:t>(3)</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$3.00 million per occurrence</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Representation and Warranty</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Surety</w:t>
            </w:r>
            <w:r>
              <w:rPr>
                <w:rFonts w:ascii="Times New Roman" w:cs="Times New Roman" w:eastAsia="Times New Roman" w:hAnsi="Times New Roman"/>
                <w:sz w:val="23"/>
                <w:szCs w:val="23"/>
                <w:color w:val="auto"/>
                <w:vertAlign w:val="superscript"/>
              </w:rPr>
              <w:t>(2)</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$4.00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$2.33 million per occurrence</w:t>
            </w:r>
          </w:p>
        </w:tc>
      </w:tr>
    </w:tbl>
    <w:p>
      <w:pPr>
        <w:spacing w:after="0" w:line="15" w:lineRule="exact"/>
        <w:rPr>
          <w:sz w:val="20"/>
          <w:szCs w:val="20"/>
          <w:color w:val="auto"/>
        </w:rPr>
      </w:pPr>
    </w:p>
    <w:p>
      <w:pPr>
        <w:ind w:left="180" w:hanging="154"/>
        <w:spacing w:after="0"/>
        <w:tabs>
          <w:tab w:leader="none" w:pos="180" w:val="left"/>
        </w:tabs>
        <w:numPr>
          <w:ilvl w:val="0"/>
          <w:numId w:val="3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Legal defense expenses can force exposure above the maximum company retention for Excess Casualty, Commercial Auto and General Liability.</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3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Reinsurance is subject to a loss ratio cap or aggregate level of loss cover that exceeds a modeled 1:250-year PML event.</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3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Catastrophe loss protection is purchased up to $36.0 million in excess of $15.0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21, 2024, R&amp;Q Insurance Holdings Ltd, (“R&amp;Q”) the parent company of Randall &amp; Quilter (R&amp;Q Bermuda (SAC) Ltd or “R&amp;Q SAC Ltd”) the third-party reinsurer domiciled in Bermuda that is the counterparty for our loss portfolio transfer (“LPT”), filed for provisional liquidation with the Bermuda authorities. Due to the complexity of the legal structure of R&amp;Q SAC Ltd and uncertainty relative to the situation, management continues to evaluate the potential financial impact, if 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Financial Strength Ratings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2024, A.M. Best upgraded Skyward Specialty’s financial strength rating to A (Excellent) from A- (Excellent) and revised the outlook to stable from positive.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June 30, 2024,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in the quarter ended June 30, 2024 from those disclosed in our 2023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Exhibits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60" w:type="dxa"/>
            <w:vAlign w:val="bottom"/>
            <w:gridSpan w:val="11"/>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3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900" w:type="dxa"/>
            <w:vAlign w:val="bottom"/>
            <w:tcBorders>
              <w:top w:val="single" w:sz="8" w:color="auto"/>
            </w:tcBorders>
            <w:gridSpan w:val="15"/>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12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80" w:type="dxa"/>
            <w:vAlign w:val="bottom"/>
            <w:tcBorders>
              <w:top w:val="single" w:sz="8" w:color="0000FF"/>
            </w:tcBorders>
            <w:gridSpan w:val="13"/>
          </w:tcPr>
          <w:p>
            <w:pPr>
              <w:spacing w:after="0" w:line="129" w:lineRule="exact"/>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8-K filed with the Commission on January 18, 2023).</w:t>
              </w:r>
            </w:hyperlink>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5"/>
          </w:tcPr>
          <w:p>
            <w:pPr>
              <w:spacing w:after="0" w:line="18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Amended and Restated Bylaws (incorporated by reference to Exhibit 3.2 to the Company’s Current Report on Form 8-K filed with the</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Commission on January 18, 2023).</w:t>
              </w:r>
            </w:hyperlink>
          </w:p>
        </w:tc>
        <w:tc>
          <w:tcPr>
            <w:tcW w:w="7140" w:type="dxa"/>
            <w:vAlign w:val="bottom"/>
            <w:tcBorders>
              <w:top w:val="single" w:sz="8" w:color="0000FF"/>
            </w:tcBorders>
            <w:gridSpan w:val="9"/>
          </w:tcPr>
          <w:p>
            <w:pPr>
              <w:spacing w:after="0"/>
              <w:rPr>
                <w:sz w:val="11"/>
                <w:szCs w:val="11"/>
                <w:color w:val="auto"/>
              </w:rPr>
            </w:pPr>
          </w:p>
        </w:tc>
        <w:tc>
          <w:tcPr>
            <w:tcW w:w="1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5"/>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Amended and Restated Stockholders’ Agreement, by and among the Company and the stockholders listed therein (incorporated by</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reference to Exhibit 4.1 to the Company’s Registration Statement on Form S-1, filed with the SEC on November 14, 2022).</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for Nonemployee Directors and form of notice under the Company's 2022 Long-Term</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Incentive Plan.</w:t>
            </w:r>
          </w:p>
        </w:tc>
        <w:tc>
          <w:tcPr>
            <w:tcW w:w="8240" w:type="dxa"/>
            <w:vAlign w:val="bottom"/>
            <w:tcBorders>
              <w:top w:val="single" w:sz="8" w:color="0000FF"/>
            </w:tcBorders>
            <w:gridSpan w:val="7"/>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tcBorders>
              <w:top w:val="single" w:sz="8" w:color="0000FF"/>
            </w:tcBorders>
            <w:gridSpan w:val="6"/>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 Rule 13a-14(a) or Rule 15d-14(a) of the Securities Exchange Act</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of 1934, as adopted pursuant to Section 302 of the Sarbanes-Oxley Act of 2002.</w:t>
            </w:r>
          </w:p>
        </w:tc>
        <w:tc>
          <w:tcPr>
            <w:tcW w:w="408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5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8"/>
                <w:szCs w:val="18"/>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8"/>
        </w:trPr>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0"/>
                <w:szCs w:val="20"/>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340" w:hanging="961"/>
        <w:spacing w:after="0"/>
        <w:tabs>
          <w:tab w:leader="none" w:pos="1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360" w:hanging="352"/>
        <w:spacing w:after="0" w:line="284" w:lineRule="auto"/>
        <w:tabs>
          <w:tab w:leader="none" w:pos="358"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 information called for is not required or is shown either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or in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14312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3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0"/>
        </w:trPr>
        <w:tc>
          <w:tcPr>
            <w:tcW w:w="3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3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0"/>
        </w:trPr>
        <w:tc>
          <w:tcPr>
            <w:tcW w:w="3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3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RESTRICTED STOCK UNITS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LONG-TERM INCENTIVE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 /Participant Name/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Notice evidences the award of restricted stock units (each, an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of Skyward Specialty Insurance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Skyward Specialty Insurance Group, Inc. 2022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conditioned upon your agreement to the terms of the attached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-7620</wp:posOffset>
            </wp:positionV>
            <wp:extent cx="228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RSUs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-7620</wp:posOffset>
            </wp:positionV>
            <wp:extent cx="2286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-7620</wp:posOffset>
            </wp:positionV>
            <wp:extent cx="2286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RSUs are nonvested and forfeitable as of the Grant Date. So long as your Service (as defined in the Agreement) is continuous from the Grant Date through the applicable Vesting Date, 100% of the RSUs will become vested on the Vesting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your Service is terminated due to your death or Total and Permanent Disability, 100% of the RSUs that had not yet become vested will become vested. Additionally, subject to your continued Service through the date of a Change in Control that occurs prior to the Vesting Date, 100% of the RSUs will become vested immediately prior to and contingent upon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360" w:val="left"/>
        </w:tabs>
        <w:rPr>
          <w:sz w:val="20"/>
          <w:szCs w:val="20"/>
          <w:color w:val="auto"/>
        </w:rPr>
      </w:pPr>
      <w:r>
        <w:rPr>
          <w:rFonts w:ascii="Times New Roman" w:cs="Times New Roman" w:eastAsia="Times New Roman" w:hAnsi="Times New Roman"/>
          <w:sz w:val="18"/>
          <w:szCs w:val="18"/>
          <w:color w:val="auto"/>
        </w:rPr>
        <w:t>Skyward Specialty Insurance Group, Inc.</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202" w:lineRule="exact"/>
        <w:rPr>
          <w:sz w:val="20"/>
          <w:szCs w:val="20"/>
          <w:color w:val="auto"/>
        </w:rPr>
      </w:pPr>
    </w:p>
    <w:p>
      <w:pPr>
        <w:ind w:left="80"/>
        <w:spacing w:after="0"/>
        <w:tabs>
          <w:tab w:leader="none" w:pos="5360" w:val="left"/>
        </w:tabs>
        <w:rPr>
          <w:sz w:val="20"/>
          <w:szCs w:val="20"/>
          <w:color w:val="auto"/>
        </w:rPr>
      </w:pPr>
      <w:r>
        <w:rPr>
          <w:rFonts w:ascii="Times New Roman" w:cs="Times New Roman" w:eastAsia="Times New Roman" w:hAnsi="Times New Roman"/>
          <w:sz w:val="18"/>
          <w:szCs w:val="18"/>
          <w:color w:val="auto"/>
        </w:rPr>
        <w:t>Signature of Grantee</w:t>
      </w:r>
      <w:r>
        <w:rPr>
          <w:sz w:val="20"/>
          <w:szCs w:val="20"/>
          <w:color w:val="auto"/>
        </w:rPr>
        <w:tab/>
      </w: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17" w:right="339" w:bottom="1440" w:gutter="0" w:footer="0" w:header="0"/>
        </w:sectPr>
      </w:pPr>
    </w:p>
    <w:bookmarkStart w:id="39" w:name="page40"/>
    <w:bookmarkEnd w:id="39"/>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8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RESTRICTED STOCK UNITS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LONG-TERM INCENTIVE PLAN</w:t>
      </w:r>
    </w:p>
    <w:p>
      <w:pPr>
        <w:spacing w:after="0" w:line="180"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Terminology</w:t>
      </w:r>
      <w:r>
        <w:rPr>
          <w:rFonts w:ascii="Times New Roman" w:cs="Times New Roman" w:eastAsia="Times New Roman" w:hAnsi="Times New Roman"/>
          <w:sz w:val="18"/>
          <w:szCs w:val="18"/>
          <w:color w:val="auto"/>
        </w:rPr>
        <w:t>. Unless otherwise provided in this Agreement, capitalized terms used herein are defined in the Glossary at the end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6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3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Except as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14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3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Payments.</w:t>
      </w:r>
      <w:r>
        <w:rPr>
          <w:rFonts w:ascii="Times New Roman" w:cs="Times New Roman" w:eastAsia="Times New Roman" w:hAnsi="Times New Roman"/>
          <w:sz w:val="18"/>
          <w:szCs w:val="18"/>
          <w:color w:val="auto"/>
        </w:rPr>
        <w:t xml:space="preserve"> If, prior to the settlement date, the Company declares a dividend on the shares of Common Stock, then, on the payment date of the dividend, the Grantee's Account shall be credited with dividend equivalents in an amount equal to the dividends that would have been paid to the Grantee if one share of Common Stock had been issued on the Grant Date for each RSU granted to the Grantee as set forth in this Agreement. Dividend equivalents, when credited, shall be withheld by the Company for the Grantee's Account and shall be subject to the same vesting and forfeiture restrictions as the RSUs to which they are attributable and shall be paid on the same date that the RSUs to which they are attributable are settled and paid in accordance with Section 6 hereof. If your vested RSUs have been settled after the record date but prior to the dividend payment date, any RSUs that would be credited pursuant to the preceding sentence shall be settled on or as soon as practicable after the dividend payment date.</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RSUs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RSUs. The Company will issue to you, in settlement of your RSUs, the number of whole shares of Common Stock that equals the number of whole RSUs that become vested (and any dividend equivalents),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4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 Your RSUs (and any dividend equivalents) will be settled by the Company, via the issuance of Common Stock as described herein, on the date that the RSUs become vested and nonforfeitable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If the Original Issuance Date falls on a date that is not a business day, delivery shall instead occur on the next following business day. In addition, if:</w:t>
      </w:r>
    </w:p>
    <w:p>
      <w:pPr>
        <w:spacing w:after="0" w:line="13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86"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 and</w:t>
      </w:r>
    </w:p>
    <w:p>
      <w:pPr>
        <w:sectPr>
          <w:pgSz w:w="11900" w:h="16838" w:orient="portrait"/>
          <w:cols w:equalWidth="0" w:num="1">
            <w:col w:w="11240"/>
          </w:cols>
          <w:pgMar w:left="320" w:top="927" w:right="339" w:bottom="1440" w:gutter="0" w:footer="0" w:header="0"/>
        </w:sectPr>
      </w:pPr>
    </w:p>
    <w:bookmarkStart w:id="40" w:name="page41"/>
    <w:bookmarkEnd w:id="40"/>
    <w:p>
      <w:pPr>
        <w:jc w:val="both"/>
        <w:ind w:left="-656" w:firstLine="1952"/>
        <w:spacing w:after="0" w:line="254" w:lineRule="auto"/>
        <w:tabs>
          <w:tab w:leader="none" w:pos="1926"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decides, prior to the Original Issuance Date, not to permit you to enter into a “same day sale” commitment with a broker-dealer (including but not limited to a commitment under a 10b5-1 Arrangement), then the shares that would otherwise be issued to you on the Original Issuance Date may not be delivered on such Original Issuance Date and may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RSU are no longer subject to a “substantial risk of forfeiture” within the meaning of Treasury Regulations Section 1.409A-1(d).</w:t>
      </w:r>
    </w:p>
    <w:p>
      <w:pPr>
        <w:spacing w:after="0" w:line="151"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You acknowledge that, regardless of any action taken by the Company, the ultimate liability for all tax-related items related to your participation in the Plan and legally applicable to you or deemed by the Company in its discretion to be an appropriate charge to you even if legally applicable to the Company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is and remains your responsibility and may exceed the amount, if any, actually withheld by the Company. You further acknowledge that the Company (i) makes no representations or undertakings regarding the treatment of any Tax-Related Items in connection with any aspect of the RSUs, including, but not limited to, the grant or vesting of the RSUs or any related dividend equivalents, the subsequent sale of shares of Common Stock acquired upon vesting, and the receipt of any dividends; and (ii) does not commit to and is under no obligation to structure the terms of the grant or any aspect of the RSUs to reduce or eliminate your liability for Tax-Related Items or achieve any particular tax result.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Corporate Transactions and Other Events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28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 Stock Split and Reverse Stock Split</w:t>
      </w:r>
      <w:r>
        <w:rPr>
          <w:rFonts w:ascii="Times New Roman" w:cs="Times New Roman" w:eastAsia="Times New Roman" w:hAnsi="Times New Roman"/>
          <w:sz w:val="18"/>
          <w:szCs w:val="18"/>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39" w:lineRule="exact"/>
        <w:rPr>
          <w:rFonts w:ascii="Times New Roman" w:cs="Times New Roman" w:eastAsia="Times New Roman" w:hAnsi="Times New Roman"/>
          <w:sz w:val="18"/>
          <w:szCs w:val="18"/>
          <w:color w:val="auto"/>
        </w:rPr>
      </w:pPr>
    </w:p>
    <w:p>
      <w:pPr>
        <w:jc w:val="both"/>
        <w:ind w:left="-656" w:firstLine="1304"/>
        <w:spacing w:after="0" w:line="255" w:lineRule="auto"/>
        <w:tabs>
          <w:tab w:leader="none" w:pos="128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Other Events</w:t>
      </w:r>
      <w:r>
        <w:rPr>
          <w:rFonts w:ascii="Times New Roman" w:cs="Times New Roman" w:eastAsia="Times New Roman" w:hAnsi="Times New Roman"/>
          <w:sz w:val="18"/>
          <w:szCs w:val="18"/>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Service Relationship</w:t>
      </w:r>
      <w:r>
        <w:rPr>
          <w:rFonts w:ascii="Times New Roman" w:cs="Times New Roman" w:eastAsia="Times New Roman" w:hAnsi="Times New Roman"/>
          <w:sz w:val="18"/>
          <w:szCs w:val="18"/>
          <w:color w:val="auto"/>
        </w:rPr>
        <w:t>. Nothing in the Plan or this Agreement shall alter your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42" w:lineRule="exact"/>
        <w:rPr>
          <w:rFonts w:ascii="Times New Roman" w:cs="Times New Roman" w:eastAsia="Times New Roman" w:hAnsi="Times New Roman"/>
          <w:sz w:val="18"/>
          <w:szCs w:val="18"/>
          <w:color w:val="auto"/>
        </w:rPr>
      </w:pPr>
    </w:p>
    <w:p>
      <w:pPr>
        <w:ind w:left="-656" w:firstLine="656"/>
        <w:spacing w:after="0" w:line="282"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You shall not have any of the rights of a stockholder with respect to any shares of Common Stock that may be issued in settlement of the RSUs until such shares of Common Stock have been issued to you.</w:t>
      </w:r>
    </w:p>
    <w:p>
      <w:pPr>
        <w:spacing w:after="0" w:line="12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6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56"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Issuance of Shares</w:t>
      </w:r>
      <w:r>
        <w:rPr>
          <w:rFonts w:ascii="Times New Roman" w:cs="Times New Roman" w:eastAsia="Times New Roman" w:hAnsi="Times New Roman"/>
          <w:sz w:val="18"/>
          <w:szCs w:val="18"/>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w:t>
      </w:r>
    </w:p>
    <w:p>
      <w:pPr>
        <w:sectPr>
          <w:pgSz w:w="11900" w:h="16838" w:orient="portrait"/>
          <w:cols w:equalWidth="0" w:num="1">
            <w:col w:w="10584"/>
          </w:cols>
          <w:pgMar w:left="976" w:top="931"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47" w:lineRule="exact"/>
        <w:rPr>
          <w:sz w:val="20"/>
          <w:szCs w:val="20"/>
          <w:color w:val="auto"/>
        </w:rPr>
      </w:pPr>
    </w:p>
    <w:p>
      <w:pPr>
        <w:jc w:val="both"/>
        <w:ind w:firstLine="656"/>
        <w:spacing w:after="0" w:line="254" w:lineRule="auto"/>
        <w:tabs>
          <w:tab w:leader="none" w:pos="12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35"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Savings Clause</w:t>
      </w:r>
      <w:r>
        <w:rPr>
          <w:rFonts w:ascii="Times New Roman" w:cs="Times New Roman" w:eastAsia="Times New Roman" w:hAnsi="Times New Roman"/>
          <w:sz w:val="18"/>
          <w:szCs w:val="18"/>
          <w:color w:val="auto"/>
        </w:rPr>
        <w:t>. This Agreement is intended to comply with, or otherwise be exempt from, the requirements of Section 409A of the Code and shall be construed and administered in accordance with such intent. Notwithstanding any other provision of this Agreement, payments provided under this Agreement may only be made upon an event and in a manner that complies with Section 409A of the Code or an applicable exemption. Any payments considered deferred compensation to be made under this Agreement in connection with a termination of employment shall only be made if such termination of employment constitutes a "separation from service" under Code Section 409A. The Company makes no representations that the payments and benefits provided under this Agreement comply with Code Section 409A and in no event shall the Company be liable for all or any portion of any taxes, penalties, interest or other expenses that may be incurred by the Participant on account of non-compliance with Code Section 409A. Notwithstanding the foregoing, if it is determined that the RSUs are considered deferred compensation subject to Code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170"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39"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Plan</w:t>
      </w:r>
      <w:r>
        <w:rPr>
          <w:rFonts w:ascii="Times New Roman" w:cs="Times New Roman" w:eastAsia="Times New Roman" w:hAnsi="Times New Roman"/>
          <w:sz w:val="18"/>
          <w:szCs w:val="18"/>
          <w:color w:val="auto"/>
        </w:rPr>
        <w:t>. This Agreement is intended to conform in all respects with, and is subject to all applicable provisions of, the Plan. Inconsistencies between this Agreement and the Plan shall be resolved in accordance</w:t>
      </w:r>
    </w:p>
    <w:p>
      <w:pPr>
        <w:sectPr>
          <w:pgSz w:w="11900" w:h="16838" w:orient="portrait"/>
          <w:cols w:equalWidth="0" w:num="1">
            <w:col w:w="11240"/>
          </w:cols>
          <w:pgMar w:left="320" w:top="931" w:right="33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with the terms of the Plan. In the event of any ambiguity in this Agreement or any matters as to which this Agreement is silent, the Plan shall govern. A copy of the Plan is available upon request to the Administrator.</w:t>
      </w:r>
    </w:p>
    <w:p>
      <w:pPr>
        <w:spacing w:after="0" w:line="121" w:lineRule="exact"/>
        <w:rPr>
          <w:sz w:val="20"/>
          <w:szCs w:val="20"/>
          <w:color w:val="auto"/>
        </w:rPr>
      </w:pPr>
    </w:p>
    <w:p>
      <w:pPr>
        <w:ind w:firstLine="656"/>
        <w:spacing w:after="0" w:line="282" w:lineRule="auto"/>
        <w:tabs>
          <w:tab w:leader="none" w:pos="12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34"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3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48"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66"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6"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64" w:lineRule="exact"/>
        <w:rPr>
          <w:rFonts w:ascii="Times New Roman" w:cs="Times New Roman" w:eastAsia="Times New Roman" w:hAnsi="Times New Roman"/>
          <w:sz w:val="18"/>
          <w:szCs w:val="18"/>
          <w:color w:val="auto"/>
        </w:rPr>
      </w:pPr>
    </w:p>
    <w:p>
      <w:pPr>
        <w:ind w:right="20" w:firstLine="656"/>
        <w:spacing w:after="0" w:line="282" w:lineRule="auto"/>
        <w:tabs>
          <w:tab w:leader="none" w:pos="12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restricted stock units or the effectuation of any acquisition, equity or debt financing, joint venture, merger,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-2473960</wp:posOffset>
            </wp:positionV>
            <wp:extent cx="285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jc w:val="both"/>
        <w:spacing w:after="0" w:line="252" w:lineRule="auto"/>
        <w:rPr>
          <w:sz w:val="20"/>
          <w:szCs w:val="20"/>
          <w:color w:val="auto"/>
        </w:rPr>
      </w:pPr>
      <w:r>
        <w:rPr>
          <w:rFonts w:ascii="Times New Roman" w:cs="Times New Roman" w:eastAsia="Times New Roman" w:hAnsi="Times New Roman"/>
          <w:sz w:val="18"/>
          <w:szCs w:val="18"/>
          <w:color w:val="auto"/>
        </w:rPr>
        <w:t>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Glossary begins on next page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31"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185" w:lineRule="exact"/>
        <w:rPr>
          <w:sz w:val="20"/>
          <w:szCs w:val="20"/>
          <w:color w:val="auto"/>
        </w:rPr>
      </w:pPr>
    </w:p>
    <w:p>
      <w:pPr>
        <w:ind w:firstLine="1304"/>
        <w:spacing w:after="0" w:line="286" w:lineRule="auto"/>
        <w:tabs>
          <w:tab w:leader="none" w:pos="19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of Directors of Skyward Specialty Insurance Group, Inc. or such committee or committees appointed by the Board to administer the Plan.</w:t>
      </w:r>
    </w:p>
    <w:p>
      <w:pPr>
        <w:spacing w:after="0" w:line="12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162"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meaning set forth in the Plan.</w:t>
      </w:r>
    </w:p>
    <w:p>
      <w:pPr>
        <w:spacing w:after="0" w:line="19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162"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US$0.01 par value per share, of Skyward Specialty Insurance Group, Inc.</w:t>
      </w:r>
    </w:p>
    <w:p>
      <w:pPr>
        <w:spacing w:after="0" w:line="184" w:lineRule="exact"/>
        <w:rPr>
          <w:rFonts w:ascii="Times New Roman" w:cs="Times New Roman" w:eastAsia="Times New Roman" w:hAnsi="Times New Roman"/>
          <w:sz w:val="18"/>
          <w:szCs w:val="18"/>
          <w:color w:val="auto"/>
        </w:rPr>
      </w:pPr>
    </w:p>
    <w:p>
      <w:pPr>
        <w:ind w:firstLine="1304"/>
        <w:spacing w:after="0" w:line="286" w:lineRule="auto"/>
        <w:tabs>
          <w:tab w:leader="none" w:pos="193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12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RSUs made to you as set forth in the relevant Notice.</w:t>
      </w:r>
    </w:p>
    <w:p>
      <w:pPr>
        <w:spacing w:after="0" w:line="184" w:lineRule="exact"/>
        <w:rPr>
          <w:rFonts w:ascii="Times New Roman" w:cs="Times New Roman" w:eastAsia="Times New Roman" w:hAnsi="Times New Roman"/>
          <w:sz w:val="18"/>
          <w:szCs w:val="18"/>
          <w:color w:val="auto"/>
        </w:rPr>
      </w:pPr>
    </w:p>
    <w:p>
      <w:pPr>
        <w:ind w:firstLine="1304"/>
        <w:spacing w:after="0" w:line="286" w:lineRule="auto"/>
        <w:tabs>
          <w:tab w:leader="none" w:pos="193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 grant of RSUs made to you.</w:t>
      </w:r>
    </w:p>
    <w:p>
      <w:pPr>
        <w:spacing w:after="0" w:line="12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Skyward Specialty Insurance Group, Inc. 2022 Long-Term Incentive Plan, as amended from time to time.</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the Company’s commitment to issue one share of Common Stock at a future date, subject to the terms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the Plan.</w:t>
      </w:r>
    </w:p>
    <w:p>
      <w:pPr>
        <w:spacing w:after="0" w:line="162"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149"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3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ectPr>
          <w:pgSz w:w="11900" w:h="16838" w:orient="portrait"/>
          <w:cols w:equalWidth="0" w:num="1">
            <w:col w:w="11240"/>
          </w:cols>
          <w:pgMar w:left="320" w:top="92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Robinson, certify that:</w:t>
      </w:r>
    </w:p>
    <w:p>
      <w:pPr>
        <w:spacing w:after="0" w:line="11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8, 2024</w:t>
            </w: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Haushill, certify that:</w:t>
      </w:r>
    </w:p>
    <w:p>
      <w:pPr>
        <w:spacing w:after="0" w:line="11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8, 2024</w:t>
            </w: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Skyward Specialty Insurance Group, Inc. (the “Company”) for the six months ended June 30, 2024,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72" w:lineRule="exact"/>
        <w:rPr>
          <w:sz w:val="20"/>
          <w:szCs w:val="20"/>
          <w:color w:val="auto"/>
        </w:rPr>
      </w:pPr>
    </w:p>
    <w:p>
      <w:pPr>
        <w:ind w:left="580" w:hanging="248"/>
        <w:spacing w:after="0"/>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8, 2024</w:t>
            </w: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8, 2024</w:t>
            </w: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decimal"/>
      <w:start w:val="2"/>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1."/>
      <w:numFmt w:val="decimal"/>
      <w:start w:val="2"/>
    </w:lvl>
  </w:abstractNum>
  <w:abstractNum w:abstractNumId="8">
    <w:nsid w:val="189A769B"/>
    <w:multiLevelType w:val="hybridMultilevel"/>
    <w:lvl w:ilvl="0">
      <w:lvlJc w:val="left"/>
      <w:lvlText w:val="%1."/>
      <w:numFmt w:val="decimal"/>
      <w:start w:val="3"/>
    </w:lvl>
  </w:abstractNum>
  <w:abstractNum w:abstractNumId="9">
    <w:nsid w:val="54E49EB4"/>
    <w:multiLevelType w:val="hybridMultilevel"/>
    <w:lvl w:ilvl="0">
      <w:lvlJc w:val="left"/>
      <w:lvlText w:val="%1."/>
      <w:numFmt w:val="decimal"/>
      <w:start w:val="3"/>
    </w:lvl>
  </w:abstractNum>
  <w:abstractNum w:abstractNumId="10">
    <w:nsid w:val="71F32454"/>
    <w:multiLevelType w:val="hybridMultilevel"/>
    <w:lvl w:ilvl="0">
      <w:lvlJc w:val="left"/>
      <w:lvlText w:val="%1."/>
      <w:numFmt w:val="decimal"/>
      <w:start w:val="3"/>
    </w:lvl>
  </w:abstractNum>
  <w:abstractNum w:abstractNumId="11">
    <w:nsid w:val="2CA88611"/>
    <w:multiLevelType w:val="hybridMultilevel"/>
    <w:lvl w:ilvl="0">
      <w:lvlJc w:val="left"/>
      <w:lvlText w:val="%1."/>
      <w:numFmt w:val="decimal"/>
      <w:start w:val="3"/>
    </w:lvl>
  </w:abstractNum>
  <w:abstractNum w:abstractNumId="12">
    <w:nsid w:val="836C40E"/>
    <w:multiLevelType w:val="hybridMultilevel"/>
    <w:lvl w:ilvl="0">
      <w:lvlJc w:val="left"/>
      <w:lvlText w:val="%1."/>
      <w:numFmt w:val="decimal"/>
      <w:start w:val="3"/>
    </w:lvl>
  </w:abstractNum>
  <w:abstractNum w:abstractNumId="13">
    <w:nsid w:val="2901D82"/>
    <w:multiLevelType w:val="hybridMultilevel"/>
    <w:lvl w:ilvl="0">
      <w:lvlJc w:val="left"/>
      <w:lvlText w:val="%1."/>
      <w:numFmt w:val="decimal"/>
      <w:start w:val="3"/>
    </w:lvl>
  </w:abstractNum>
  <w:abstractNum w:abstractNumId="14">
    <w:nsid w:val="3A95F874"/>
    <w:multiLevelType w:val="hybridMultilevel"/>
    <w:lvl w:ilvl="0">
      <w:lvlJc w:val="left"/>
      <w:lvlText w:val="%1."/>
      <w:numFmt w:val="decimal"/>
      <w:start w:val="4"/>
    </w:lvl>
  </w:abstractNum>
  <w:abstractNum w:abstractNumId="15">
    <w:nsid w:val="8138641"/>
    <w:multiLevelType w:val="hybridMultilevel"/>
    <w:lvl w:ilvl="0">
      <w:lvlJc w:val="left"/>
      <w:lvlText w:val="%1."/>
      <w:numFmt w:val="decimal"/>
      <w:start w:val="4"/>
    </w:lvl>
  </w:abstractNum>
  <w:abstractNum w:abstractNumId="16">
    <w:nsid w:val="1E7FF521"/>
    <w:multiLevelType w:val="hybridMultilevel"/>
    <w:lvl w:ilvl="0">
      <w:lvlJc w:val="left"/>
      <w:lvlText w:val="%1."/>
      <w:numFmt w:val="decimal"/>
      <w:start w:val="5"/>
    </w:lvl>
  </w:abstractNum>
  <w:abstractNum w:abstractNumId="17">
    <w:nsid w:val="7C3DBD3D"/>
    <w:multiLevelType w:val="hybridMultilevel"/>
    <w:lvl w:ilvl="0">
      <w:lvlJc w:val="left"/>
      <w:lvlText w:val="%1."/>
      <w:numFmt w:val="decimal"/>
      <w:start w:val="5"/>
    </w:lvl>
  </w:abstractNum>
  <w:abstractNum w:abstractNumId="18">
    <w:nsid w:val="737B8DDC"/>
    <w:multiLevelType w:val="hybridMultilevel"/>
    <w:lvl w:ilvl="0">
      <w:lvlJc w:val="left"/>
      <w:lvlText w:val="%1."/>
      <w:numFmt w:val="decimal"/>
      <w:start w:val="5"/>
    </w:lvl>
  </w:abstractNum>
  <w:abstractNum w:abstractNumId="19">
    <w:nsid w:val="6CEAF087"/>
    <w:multiLevelType w:val="hybridMultilevel"/>
    <w:lvl w:ilvl="0">
      <w:lvlJc w:val="left"/>
      <w:lvlText w:val="%1."/>
      <w:numFmt w:val="decimal"/>
      <w:start w:val="7"/>
    </w:lvl>
  </w:abstractNum>
  <w:abstractNum w:abstractNumId="20">
    <w:nsid w:val="22221A70"/>
    <w:multiLevelType w:val="hybridMultilevel"/>
    <w:lvl w:ilvl="0">
      <w:lvlJc w:val="left"/>
      <w:lvlText w:val="%1."/>
      <w:numFmt w:val="decimal"/>
      <w:start w:val="8"/>
    </w:lvl>
  </w:abstractNum>
  <w:abstractNum w:abstractNumId="21">
    <w:nsid w:val="4516DDE9"/>
    <w:multiLevelType w:val="hybridMultilevel"/>
    <w:lvl w:ilvl="0">
      <w:lvlJc w:val="left"/>
      <w:lvlText w:val="%1."/>
      <w:numFmt w:val="decimal"/>
      <w:start w:val="9"/>
    </w:lvl>
  </w:abstractNum>
  <w:abstractNum w:abstractNumId="22">
    <w:nsid w:val="3006C83E"/>
    <w:multiLevelType w:val="hybridMultilevel"/>
    <w:lvl w:ilvl="0">
      <w:lvlJc w:val="left"/>
      <w:lvlText w:val="%1."/>
      <w:numFmt w:val="decimal"/>
      <w:start w:val="10"/>
    </w:lvl>
  </w:abstractNum>
  <w:abstractNum w:abstractNumId="23">
    <w:nsid w:val="614FD4A1"/>
    <w:multiLevelType w:val="hybridMultilevel"/>
    <w:lvl w:ilvl="0">
      <w:lvlJc w:val="left"/>
      <w:lvlText w:val="%1."/>
      <w:numFmt w:val="decimal"/>
      <w:start w:val="11"/>
    </w:lvl>
  </w:abstractNum>
  <w:abstractNum w:abstractNumId="24">
    <w:nsid w:val="419AC241"/>
    <w:multiLevelType w:val="hybridMultilevel"/>
    <w:lvl w:ilvl="0">
      <w:lvlJc w:val="left"/>
      <w:lvlText w:val="%1."/>
      <w:numFmt w:val="decimal"/>
      <w:start w:val="11"/>
    </w:lvl>
  </w:abstractNum>
  <w:abstractNum w:abstractNumId="25">
    <w:nsid w:val="5577F8E1"/>
    <w:multiLevelType w:val="hybridMultilevel"/>
    <w:lvl w:ilvl="0">
      <w:lvlJc w:val="left"/>
      <w:lvlText w:val="%1."/>
      <w:numFmt w:val="decimal"/>
      <w:start w:val="12"/>
    </w:lvl>
  </w:abstractNum>
  <w:abstractNum w:abstractNumId="26">
    <w:nsid w:val="440BADFC"/>
    <w:multiLevelType w:val="hybridMultilevel"/>
    <w:lvl w:ilvl="0">
      <w:lvlJc w:val="left"/>
      <w:lvlText w:val="%1."/>
      <w:numFmt w:val="decimal"/>
      <w:start w:val="13"/>
    </w:lvl>
  </w:abstractNum>
  <w:abstractNum w:abstractNumId="27">
    <w:nsid w:val="5072367"/>
    <w:multiLevelType w:val="hybridMultilevel"/>
    <w:lvl w:ilvl="0">
      <w:lvlJc w:val="left"/>
      <w:lvlText w:val="%1."/>
      <w:numFmt w:val="decimal"/>
      <w:start w:val="14"/>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lowerLetter"/>
      <w:start w:val="1"/>
    </w:lvl>
    <w:lvl w:ilvl="1">
      <w:lvlJc w:val="left"/>
      <w:lvlText w:val="%2"/>
      <w:numFmt w:val="decimal"/>
      <w:start w:val="104"/>
    </w:lvl>
  </w:abstractNum>
  <w:abstractNum w:abstractNumId="34">
    <w:nsid w:val="51EAD36B"/>
    <w:multiLevelType w:val="hybridMultilevel"/>
    <w:lvl w:ilvl="0">
      <w:lvlJc w:val="left"/>
      <w:lvlText w:val="(%1)"/>
      <w:numFmt w:val="lowerLetter"/>
      <w:start w:val="2"/>
    </w:lvl>
    <w:lvl w:ilvl="1">
      <w:lvlJc w:val="left"/>
      <w:lvlText w:val="%2"/>
      <w:numFmt w:val="decimal"/>
      <w:start w:val="1"/>
    </w:lvl>
  </w:abstractNum>
  <w:abstractNum w:abstractNumId="35">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6">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7">
    <w:nsid w:val="153EA43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8">
    <w:nsid w:val="3855585C"/>
    <w:multiLevelType w:val="hybridMultilevel"/>
    <w:lvl w:ilvl="0">
      <w:lvlJc w:val="left"/>
      <w:lvlText w:val="%1."/>
      <w:numFmt w:val="decimal"/>
      <w:start w:val="13"/>
    </w:lvl>
  </w:abstractNum>
  <w:abstractNum w:abstractNumId="39">
    <w:nsid w:val="70A64E2A"/>
    <w:multiLevelType w:val="hybridMultilevel"/>
    <w:lvl w:ilvl="0">
      <w:lvlJc w:val="left"/>
      <w:lvlText w:val="%1."/>
      <w:numFmt w:val="decimal"/>
      <w:start w:val="19"/>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3" Type="http://schemas.openxmlformats.org/officeDocument/2006/relationships/hyperlink" Target="https://www.sec.gov/Archives/edgar/data/1519449/000110465923004624/tm233575d1_ex3-1.htm" TargetMode="External"/><Relationship Id="rId74" Type="http://schemas.openxmlformats.org/officeDocument/2006/relationships/hyperlink" Target="https://www.sec.gov/Archives/edgar/data/1519449/000110465923004624/tm233575d1_ex3-2.htm" TargetMode="External"/><Relationship Id="rId75" Type="http://schemas.openxmlformats.org/officeDocument/2006/relationships/hyperlink" Target="https://www.sec.gov/Archives/edgar/data/1519449/000110465922117762/tm228594d1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2024-08-08T09:09:44Z</dcterms:created>
  <dcterms:modified xsi:type="dcterms:W3CDTF">2024-08-08T09:09:44Z</dcterms:modified>
</cp:coreProperties>
</file>