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3, 2026</w:t>
      </w:r>
    </w:p>
    <w:p>
      <w:pPr>
        <w:spacing w:after="0" w:line="32"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Skyward Specialty Insurance Group,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7"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4220" w:type="dxa"/>
            <w:vAlign w:val="bottom"/>
          </w:tcPr>
          <w:p>
            <w:pPr>
              <w:jc w:val="center"/>
              <w:ind w:right="18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300" w:type="dxa"/>
            <w:vAlign w:val="bottom"/>
          </w:tcPr>
          <w:p>
            <w:pPr>
              <w:jc w:val="center"/>
              <w:ind w:left="1874"/>
              <w:spacing w:after="0"/>
              <w:rPr>
                <w:sz w:val="20"/>
                <w:szCs w:val="20"/>
                <w:color w:val="auto"/>
              </w:rPr>
            </w:pPr>
            <w:r>
              <w:rPr>
                <w:rFonts w:ascii="Times New Roman" w:cs="Times New Roman" w:eastAsia="Times New Roman" w:hAnsi="Times New Roman"/>
                <w:sz w:val="17"/>
                <w:szCs w:val="17"/>
                <w:b w:val="1"/>
                <w:bCs w:val="1"/>
                <w:color w:val="auto"/>
                <w:w w:val="99"/>
              </w:rPr>
              <w:t>14-1957288</w:t>
            </w:r>
          </w:p>
        </w:tc>
      </w:tr>
      <w:tr>
        <w:trPr>
          <w:trHeight w:val="207"/>
        </w:trPr>
        <w:tc>
          <w:tcPr>
            <w:tcW w:w="4220" w:type="dxa"/>
            <w:vAlign w:val="bottom"/>
          </w:tcPr>
          <w:p>
            <w:pPr>
              <w:jc w:val="center"/>
              <w:ind w:right="1894"/>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300" w:type="dxa"/>
            <w:vAlign w:val="bottom"/>
          </w:tcPr>
          <w:p>
            <w:pPr>
              <w:jc w:val="center"/>
              <w:ind w:left="1894"/>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8"/>
        </w:trPr>
        <w:tc>
          <w:tcPr>
            <w:tcW w:w="4220" w:type="dxa"/>
            <w:vAlign w:val="bottom"/>
          </w:tcPr>
          <w:p>
            <w:pPr>
              <w:jc w:val="center"/>
              <w:ind w:right="1894"/>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300" w:type="dxa"/>
            <w:vAlign w:val="bottom"/>
          </w:tcPr>
          <w:p>
            <w:pPr>
              <w:jc w:val="center"/>
              <w:ind w:left="1874"/>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800 Gessner Road, Suite 600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Texas 77024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(713) 935-4800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198" w:lineRule="exact"/>
        <w:rPr>
          <w:sz w:val="24"/>
          <w:szCs w:val="24"/>
          <w:color w:val="auto"/>
        </w:rPr>
      </w:pPr>
    </w:p>
    <w:p>
      <w:pPr>
        <w:jc w:val="center"/>
        <w:spacing w:after="0" w:line="274" w:lineRule="auto"/>
        <w:rPr>
          <w:sz w:val="20"/>
          <w:szCs w:val="20"/>
          <w:color w:val="auto"/>
        </w:rPr>
      </w:pPr>
      <w:r>
        <w:rPr>
          <w:rFonts w:ascii="Times New Roman" w:cs="Times New Roman" w:eastAsia="Times New Roman" w:hAnsi="Times New Roman"/>
          <w:sz w:val="17"/>
          <w:szCs w:val="17"/>
          <w:b w:val="1"/>
          <w:bCs w:val="1"/>
          <w:color w:val="auto"/>
        </w:rPr>
        <w:t>Skyward Specialty Insurance Group, Inc. 2022 Long-Term Incentive Plan Skyward Specialty Insurance Group, Inc. 2022 Employee Stock Purchase Plan (Full title of the plans)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Andrew Robinson, Chief Executive Officer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800 Gessner Road, Suite 600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Texas 77024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(713) 935-4800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196"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5480" w:type="dxa"/>
            <w:vAlign w:val="bottom"/>
          </w:tcPr>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394"/>
        </w:trPr>
        <w:tc>
          <w:tcPr>
            <w:tcW w:w="2840" w:type="dxa"/>
            <w:vAlign w:val="bottom"/>
          </w:tcPr>
          <w:p>
            <w:pPr>
              <w:jc w:val="center"/>
              <w:ind w:right="634"/>
              <w:spacing w:after="0"/>
              <w:rPr>
                <w:sz w:val="20"/>
                <w:szCs w:val="20"/>
                <w:color w:val="auto"/>
              </w:rPr>
            </w:pPr>
            <w:r>
              <w:rPr>
                <w:rFonts w:ascii="Times New Roman" w:cs="Times New Roman" w:eastAsia="Times New Roman" w:hAnsi="Times New Roman"/>
                <w:sz w:val="17"/>
                <w:szCs w:val="17"/>
                <w:b w:val="1"/>
                <w:bCs w:val="1"/>
                <w:color w:val="auto"/>
              </w:rPr>
              <w:t>Patrick O’Malley</w:t>
            </w:r>
          </w:p>
        </w:tc>
        <w:tc>
          <w:tcPr>
            <w:tcW w:w="5480" w:type="dxa"/>
            <w:vAlign w:val="bottom"/>
          </w:tcPr>
          <w:p>
            <w:pPr>
              <w:jc w:val="center"/>
              <w:ind w:left="2334"/>
              <w:spacing w:after="0"/>
              <w:rPr>
                <w:sz w:val="20"/>
                <w:szCs w:val="20"/>
                <w:color w:val="auto"/>
              </w:rPr>
            </w:pPr>
            <w:r>
              <w:rPr>
                <w:rFonts w:ascii="Times New Roman" w:cs="Times New Roman" w:eastAsia="Times New Roman" w:hAnsi="Times New Roman"/>
                <w:sz w:val="17"/>
                <w:szCs w:val="17"/>
                <w:b w:val="1"/>
                <w:bCs w:val="1"/>
                <w:color w:val="auto"/>
              </w:rPr>
              <w:t>Patricia Ryan</w:t>
            </w:r>
          </w:p>
        </w:tc>
      </w:tr>
      <w:tr>
        <w:trPr>
          <w:trHeight w:val="207"/>
        </w:trPr>
        <w:tc>
          <w:tcPr>
            <w:tcW w:w="2840" w:type="dxa"/>
            <w:vAlign w:val="bottom"/>
          </w:tcPr>
          <w:p>
            <w:pPr>
              <w:jc w:val="center"/>
              <w:ind w:right="634"/>
              <w:spacing w:after="0"/>
              <w:rPr>
                <w:sz w:val="20"/>
                <w:szCs w:val="20"/>
                <w:color w:val="auto"/>
              </w:rPr>
            </w:pPr>
            <w:r>
              <w:rPr>
                <w:rFonts w:ascii="Times New Roman" w:cs="Times New Roman" w:eastAsia="Times New Roman" w:hAnsi="Times New Roman"/>
                <w:sz w:val="17"/>
                <w:szCs w:val="17"/>
                <w:b w:val="1"/>
                <w:bCs w:val="1"/>
                <w:color w:val="auto"/>
              </w:rPr>
              <w:t>DLA Piper LLP (US)</w:t>
            </w:r>
          </w:p>
        </w:tc>
        <w:tc>
          <w:tcPr>
            <w:tcW w:w="5480" w:type="dxa"/>
            <w:vAlign w:val="bottom"/>
          </w:tcPr>
          <w:p>
            <w:pPr>
              <w:jc w:val="center"/>
              <w:ind w:left="2334"/>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tc>
      </w:tr>
      <w:tr>
        <w:trPr>
          <w:trHeight w:val="207"/>
        </w:trPr>
        <w:tc>
          <w:tcPr>
            <w:tcW w:w="2840" w:type="dxa"/>
            <w:vAlign w:val="bottom"/>
          </w:tcPr>
          <w:p>
            <w:pPr>
              <w:jc w:val="center"/>
              <w:ind w:right="634"/>
              <w:spacing w:after="0"/>
              <w:rPr>
                <w:sz w:val="20"/>
                <w:szCs w:val="20"/>
                <w:color w:val="auto"/>
              </w:rPr>
            </w:pPr>
            <w:r>
              <w:rPr>
                <w:rFonts w:ascii="Times New Roman" w:cs="Times New Roman" w:eastAsia="Times New Roman" w:hAnsi="Times New Roman"/>
                <w:sz w:val="17"/>
                <w:szCs w:val="17"/>
                <w:b w:val="1"/>
                <w:bCs w:val="1"/>
                <w:color w:val="auto"/>
              </w:rPr>
              <w:t>1251 Avenue of the Americas</w:t>
            </w:r>
          </w:p>
        </w:tc>
        <w:tc>
          <w:tcPr>
            <w:tcW w:w="5480" w:type="dxa"/>
            <w:vAlign w:val="bottom"/>
          </w:tcPr>
          <w:p>
            <w:pPr>
              <w:jc w:val="center"/>
              <w:ind w:left="2334"/>
              <w:spacing w:after="0"/>
              <w:rPr>
                <w:sz w:val="20"/>
                <w:szCs w:val="20"/>
                <w:color w:val="auto"/>
              </w:rPr>
            </w:pPr>
            <w:r>
              <w:rPr>
                <w:rFonts w:ascii="Times New Roman" w:cs="Times New Roman" w:eastAsia="Times New Roman" w:hAnsi="Times New Roman"/>
                <w:sz w:val="17"/>
                <w:szCs w:val="17"/>
                <w:b w:val="1"/>
                <w:bCs w:val="1"/>
                <w:color w:val="auto"/>
              </w:rPr>
              <w:t>800 Gessner Road, Suite 600</w:t>
            </w:r>
          </w:p>
        </w:tc>
      </w:tr>
      <w:tr>
        <w:trPr>
          <w:trHeight w:val="207"/>
        </w:trPr>
        <w:tc>
          <w:tcPr>
            <w:tcW w:w="284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New York, NY 10020-1104</w:t>
            </w:r>
          </w:p>
        </w:tc>
        <w:tc>
          <w:tcPr>
            <w:tcW w:w="5480" w:type="dxa"/>
            <w:vAlign w:val="bottom"/>
          </w:tcPr>
          <w:p>
            <w:pPr>
              <w:jc w:val="center"/>
              <w:ind w:left="2354"/>
              <w:spacing w:after="0"/>
              <w:rPr>
                <w:sz w:val="20"/>
                <w:szCs w:val="20"/>
                <w:color w:val="auto"/>
              </w:rPr>
            </w:pPr>
            <w:r>
              <w:rPr>
                <w:rFonts w:ascii="Times New Roman" w:cs="Times New Roman" w:eastAsia="Times New Roman" w:hAnsi="Times New Roman"/>
                <w:sz w:val="17"/>
                <w:szCs w:val="17"/>
                <w:b w:val="1"/>
                <w:bCs w:val="1"/>
                <w:color w:val="auto"/>
              </w:rPr>
              <w:t>Houston, Texas 77024</w:t>
            </w:r>
          </w:p>
        </w:tc>
      </w:tr>
      <w:tr>
        <w:trPr>
          <w:trHeight w:val="228"/>
        </w:trPr>
        <w:tc>
          <w:tcPr>
            <w:tcW w:w="2840" w:type="dxa"/>
            <w:vAlign w:val="bottom"/>
          </w:tcPr>
          <w:p>
            <w:pPr>
              <w:jc w:val="center"/>
              <w:ind w:right="634"/>
              <w:spacing w:after="0"/>
              <w:rPr>
                <w:sz w:val="20"/>
                <w:szCs w:val="20"/>
                <w:color w:val="auto"/>
              </w:rPr>
            </w:pPr>
            <w:r>
              <w:rPr>
                <w:rFonts w:ascii="Times New Roman" w:cs="Times New Roman" w:eastAsia="Times New Roman" w:hAnsi="Times New Roman"/>
                <w:sz w:val="17"/>
                <w:szCs w:val="17"/>
                <w:b w:val="1"/>
                <w:bCs w:val="1"/>
                <w:color w:val="auto"/>
              </w:rPr>
              <w:t>(212) 335-4500</w:t>
            </w:r>
          </w:p>
        </w:tc>
        <w:tc>
          <w:tcPr>
            <w:tcW w:w="5480" w:type="dxa"/>
            <w:vAlign w:val="bottom"/>
          </w:tcPr>
          <w:p>
            <w:pPr>
              <w:jc w:val="center"/>
              <w:ind w:left="2354"/>
              <w:spacing w:after="0"/>
              <w:rPr>
                <w:sz w:val="20"/>
                <w:szCs w:val="20"/>
                <w:color w:val="auto"/>
              </w:rPr>
            </w:pPr>
            <w:r>
              <w:rPr>
                <w:rFonts w:ascii="Times New Roman" w:cs="Times New Roman" w:eastAsia="Times New Roman" w:hAnsi="Times New Roman"/>
                <w:sz w:val="17"/>
                <w:szCs w:val="17"/>
                <w:b w:val="1"/>
                <w:bCs w:val="1"/>
                <w:color w:val="auto"/>
              </w:rPr>
              <w:t>(713) 935-4800</w:t>
            </w:r>
          </w:p>
        </w:tc>
      </w:tr>
    </w:tbl>
    <w:p>
      <w:pPr>
        <w:spacing w:after="0" w:line="189"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74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4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14"/>
        </w:trPr>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4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0"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140335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568325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Pursuant to General Instruction E to Form S-8 under the Securities Act of 1933, this Registration Statement on Form S-8 (this “Registration Statement”) is being filed with the Securities and Exchange Commission (the “Commission”) for the purpose of registering an additional 858,647 shares of the common stock of Skyward Specialty Insurance Group, Inc. (the “Registrant”), par value $0.01 per share (“Common Stock”), issuable under the following employee benefit plans for which a registration statement of the Registrant on Form S-8 (File No. 333-269208) is effective: (i) the 2022 Long-Term Incentive Plan (the “2022 Plan”), added 810,224 shares of Common Stock, which pursuant to the terms of an automatic annual increase provision in the 2022 Plan were added to the shares authorized for issuance on January 1, 2026, and (ii) the 2022 Employee Stock Purchase Plan (the “ESPP”) added 48,423 shares of Common Stock, which was determined by the Compensation Committee in its discretion.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filed as part of this Registration Statement pursuant to the instructions to Part I of Form S-8.</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filed or to be filed (other than portions of those documents furnished or otherwise not deemed filed) by the Registrant with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 are incorporated into this Registration Statement by reference, as of their respective dates:</w:t>
      </w:r>
    </w:p>
    <w:p>
      <w:pPr>
        <w:spacing w:after="0" w:line="200" w:lineRule="exact"/>
        <w:rPr>
          <w:sz w:val="20"/>
          <w:szCs w:val="20"/>
          <w:color w:val="auto"/>
        </w:rPr>
      </w:pPr>
    </w:p>
    <w:p>
      <w:pPr>
        <w:ind w:left="620" w:hanging="306"/>
        <w:spacing w:after="0"/>
        <w:tabs>
          <w:tab w:leader="none" w:pos="620" w:val="left"/>
        </w:tabs>
        <w:numPr>
          <w:ilvl w:val="0"/>
          <w:numId w:val="1"/>
        </w:numPr>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Registration Statement on Form S-8 (File No. 333-269208) as filed with the SEC on January 12, 2023;</w:t>
        </w:r>
      </w:hyperlink>
    </w:p>
    <w:p>
      <w:pPr>
        <w:spacing w:after="0" w:line="30" w:lineRule="exact"/>
        <w:rPr>
          <w:rFonts w:ascii="Times New Roman" w:cs="Times New Roman" w:eastAsia="Times New Roman" w:hAnsi="Times New Roman"/>
          <w:sz w:val="17"/>
          <w:szCs w:val="17"/>
          <w:u w:val="single" w:color="auto"/>
          <w:color w:val="0000EE"/>
        </w:rPr>
      </w:pPr>
    </w:p>
    <w:p>
      <w:pPr>
        <w:ind w:left="620" w:hanging="306"/>
        <w:spacing w:after="0"/>
        <w:tabs>
          <w:tab w:leader="none" w:pos="620" w:val="left"/>
        </w:tabs>
        <w:numPr>
          <w:ilvl w:val="0"/>
          <w:numId w:val="1"/>
        </w:numPr>
        <w:rPr>
          <w:rFonts w:ascii="Times New Roman" w:cs="Times New Roman" w:eastAsia="Times New Roman" w:hAnsi="Times New Roman"/>
          <w:sz w:val="17"/>
          <w:szCs w:val="17"/>
          <w:u w:val="single" w:color="auto"/>
          <w:color w:val="0000EE"/>
        </w:rPr>
      </w:pPr>
      <w:hyperlink r:id="rId14">
        <w:r>
          <w:rPr>
            <w:rFonts w:ascii="Times New Roman" w:cs="Times New Roman" w:eastAsia="Times New Roman" w:hAnsi="Times New Roman"/>
            <w:sz w:val="17"/>
            <w:szCs w:val="17"/>
            <w:u w:val="single" w:color="auto"/>
            <w:color w:val="0000EE"/>
          </w:rPr>
          <w:t>Registration Statement on Form S-8 (File No. 333-278524) as filed with the SEC on April 5, 2024;</w:t>
        </w:r>
      </w:hyperlink>
    </w:p>
    <w:p>
      <w:pPr>
        <w:spacing w:after="0" w:line="11" w:lineRule="exact"/>
        <w:rPr>
          <w:rFonts w:ascii="Times New Roman" w:cs="Times New Roman" w:eastAsia="Times New Roman" w:hAnsi="Times New Roman"/>
          <w:sz w:val="17"/>
          <w:szCs w:val="17"/>
          <w:u w:val="single" w:color="auto"/>
          <w:color w:val="0000EE"/>
        </w:rPr>
      </w:pPr>
    </w:p>
    <w:p>
      <w:pPr>
        <w:ind w:left="620" w:hanging="306"/>
        <w:spacing w:after="0"/>
        <w:tabs>
          <w:tab w:leader="none" w:pos="620" w:val="left"/>
        </w:tabs>
        <w:numPr>
          <w:ilvl w:val="0"/>
          <w:numId w:val="1"/>
        </w:numPr>
        <w:rPr>
          <w:rFonts w:ascii="Times New Roman" w:cs="Times New Roman" w:eastAsia="Times New Roman" w:hAnsi="Times New Roman"/>
          <w:sz w:val="17"/>
          <w:szCs w:val="17"/>
          <w:u w:val="single" w:color="auto"/>
          <w:color w:val="0000EE"/>
        </w:rPr>
      </w:pPr>
      <w:hyperlink r:id="rId15">
        <w:r>
          <w:rPr>
            <w:rFonts w:ascii="Times New Roman" w:cs="Times New Roman" w:eastAsia="Times New Roman" w:hAnsi="Times New Roman"/>
            <w:sz w:val="17"/>
            <w:szCs w:val="17"/>
            <w:u w:val="single" w:color="auto"/>
            <w:color w:val="0000EE"/>
          </w:rPr>
          <w:t>Annual Report on Form 10-K for the fiscal year ended December 31, 2025, as filed with the SEC on March 2, 2026;</w:t>
        </w:r>
      </w:hyperlink>
    </w:p>
    <w:p>
      <w:pPr>
        <w:spacing w:after="0" w:line="11" w:lineRule="exact"/>
        <w:rPr>
          <w:rFonts w:ascii="Times New Roman" w:cs="Times New Roman" w:eastAsia="Times New Roman" w:hAnsi="Times New Roman"/>
          <w:sz w:val="17"/>
          <w:szCs w:val="17"/>
          <w:u w:val="single" w:color="auto"/>
          <w:color w:val="0000EE"/>
        </w:rPr>
      </w:pPr>
    </w:p>
    <w:p>
      <w:pPr>
        <w:ind w:left="620" w:hanging="306"/>
        <w:spacing w:after="0" w:line="254"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Quarterly Reports on Form 10-Q for the quarter ended March 31, 2025, as filed with the SEC on </w:t>
      </w:r>
      <w:hyperlink r:id="rId16">
        <w:r>
          <w:rPr>
            <w:rFonts w:ascii="Times New Roman" w:cs="Times New Roman" w:eastAsia="Times New Roman" w:hAnsi="Times New Roman"/>
            <w:sz w:val="17"/>
            <w:szCs w:val="17"/>
            <w:u w:val="single" w:color="auto"/>
            <w:color w:val="0000EE"/>
          </w:rPr>
          <w:t>May 7, 2025</w:t>
        </w:r>
      </w:hyperlink>
      <w:r>
        <w:rPr>
          <w:rFonts w:ascii="Times New Roman" w:cs="Times New Roman" w:eastAsia="Times New Roman" w:hAnsi="Times New Roman"/>
          <w:sz w:val="17"/>
          <w:szCs w:val="17"/>
          <w:color w:val="auto"/>
        </w:rPr>
        <w:t xml:space="preserve">, for the quarter ended June 30, 2025, as filed with the SEC on </w:t>
      </w:r>
      <w:hyperlink r:id="rId17">
        <w:r>
          <w:rPr>
            <w:rFonts w:ascii="Times New Roman" w:cs="Times New Roman" w:eastAsia="Times New Roman" w:hAnsi="Times New Roman"/>
            <w:sz w:val="17"/>
            <w:szCs w:val="17"/>
            <w:u w:val="single" w:color="auto"/>
            <w:color w:val="0000EE"/>
          </w:rPr>
          <w:t>August 7, 2025</w:t>
        </w:r>
      </w:hyperlink>
      <w:r>
        <w:rPr>
          <w:rFonts w:ascii="Times New Roman" w:cs="Times New Roman" w:eastAsia="Times New Roman" w:hAnsi="Times New Roman"/>
          <w:sz w:val="17"/>
          <w:szCs w:val="17"/>
          <w:color w:val="auto"/>
        </w:rPr>
        <w:t xml:space="preserve">, and for the quarter ended September 30, 2025, as filed with the SEC on </w:t>
      </w:r>
      <w:hyperlink r:id="rId18">
        <w:r>
          <w:rPr>
            <w:rFonts w:ascii="Times New Roman" w:cs="Times New Roman" w:eastAsia="Times New Roman" w:hAnsi="Times New Roman"/>
            <w:sz w:val="17"/>
            <w:szCs w:val="17"/>
            <w:u w:val="single" w:color="auto"/>
            <w:color w:val="0000EE"/>
          </w:rPr>
          <w:t>November 6, 2025</w:t>
        </w:r>
      </w:hyperlink>
      <w:r>
        <w:rPr>
          <w:rFonts w:ascii="Times New Roman" w:cs="Times New Roman" w:eastAsia="Times New Roman" w:hAnsi="Times New Roman"/>
          <w:sz w:val="17"/>
          <w:szCs w:val="17"/>
          <w:color w:val="auto"/>
        </w:rPr>
        <w:t>;</w:t>
      </w:r>
    </w:p>
    <w:p>
      <w:pPr>
        <w:ind w:left="620" w:hanging="306"/>
        <w:spacing w:after="0" w:line="254" w:lineRule="auto"/>
        <w:tabs>
          <w:tab w:leader="none" w:pos="620" w:val="left"/>
        </w:tabs>
        <w:numPr>
          <w:ilvl w:val="0"/>
          <w:numId w:val="1"/>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Current Reports on Form 8-K as filed with the SEC on </w:t>
      </w:r>
      <w:hyperlink r:id="rId19">
        <w:r>
          <w:rPr>
            <w:rFonts w:ascii="Times New Roman" w:cs="Times New Roman" w:eastAsia="Times New Roman" w:hAnsi="Times New Roman"/>
            <w:sz w:val="17"/>
            <w:szCs w:val="17"/>
            <w:u w:val="single" w:color="auto"/>
            <w:color w:val="0000EE"/>
          </w:rPr>
          <w:t>February 5, 2025</w:t>
        </w:r>
      </w:hyperlink>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u w:val="single" w:color="auto"/>
            <w:color w:val="0000EE"/>
          </w:rPr>
          <w:t>May 13, 2025</w:t>
        </w:r>
      </w:hyperlink>
      <w:r>
        <w:rPr>
          <w:rFonts w:ascii="Times New Roman" w:cs="Times New Roman" w:eastAsia="Times New Roman" w:hAnsi="Times New Roman"/>
          <w:sz w:val="17"/>
          <w:szCs w:val="17"/>
          <w:color w:val="auto"/>
        </w:rPr>
        <w:t xml:space="preserve">, </w:t>
      </w:r>
      <w:hyperlink r:id="rId21">
        <w:r>
          <w:rPr>
            <w:rFonts w:ascii="Times New Roman" w:cs="Times New Roman" w:eastAsia="Times New Roman" w:hAnsi="Times New Roman"/>
            <w:sz w:val="17"/>
            <w:szCs w:val="17"/>
            <w:u w:val="single" w:color="auto"/>
            <w:color w:val="0000EE"/>
          </w:rPr>
          <w:t>September 8, 2025</w:t>
        </w:r>
      </w:hyperlink>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u w:val="single" w:color="auto"/>
            <w:color w:val="0000EE"/>
          </w:rPr>
          <w:t>November 12, 2025</w:t>
        </w:r>
      </w:hyperlink>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u w:val="single" w:color="auto"/>
            <w:color w:val="0000EE"/>
          </w:rPr>
          <w:t>November 18, 2025</w:t>
        </w:r>
      </w:hyperlink>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u w:val="single" w:color="auto"/>
            <w:color w:val="0000EE"/>
          </w:rPr>
          <w:t>January 6, 2026</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25">
        <w:r>
          <w:rPr>
            <w:rFonts w:ascii="Times New Roman" w:cs="Times New Roman" w:eastAsia="Times New Roman" w:hAnsi="Times New Roman"/>
            <w:sz w:val="17"/>
            <w:szCs w:val="17"/>
            <w:u w:val="single" w:color="auto"/>
            <w:color w:val="0000EE"/>
          </w:rPr>
          <w:t xml:space="preserve">February 26, 2026 </w:t>
        </w:r>
      </w:hyperlink>
      <w:r>
        <w:rPr>
          <w:rFonts w:ascii="Times New Roman" w:cs="Times New Roman" w:eastAsia="Times New Roman" w:hAnsi="Times New Roman"/>
          <w:sz w:val="17"/>
          <w:szCs w:val="17"/>
          <w:color w:val="000000"/>
        </w:rPr>
        <w:t>(excluding</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the information furnished under Items 2.02 and 7.01 thereof);</w:t>
      </w:r>
    </w:p>
    <w:p>
      <w:pPr>
        <w:jc w:val="both"/>
        <w:ind w:left="620" w:hanging="306"/>
        <w:spacing w:after="0" w:line="254" w:lineRule="auto"/>
        <w:tabs>
          <w:tab w:leader="none" w:pos="620" w:val="left"/>
        </w:tabs>
        <w:numPr>
          <w:ilvl w:val="0"/>
          <w:numId w:val="1"/>
        </w:numPr>
        <w:rPr>
          <w:rFonts w:ascii="Times New Roman" w:cs="Times New Roman" w:eastAsia="Times New Roman" w:hAnsi="Times New Roman"/>
          <w:sz w:val="17"/>
          <w:szCs w:val="17"/>
          <w:u w:val="single" w:color="auto"/>
          <w:color w:val="0000EE"/>
        </w:rPr>
      </w:pPr>
      <w:hyperlink r:id="rId26">
        <w:r>
          <w:rPr>
            <w:rFonts w:ascii="Times New Roman" w:cs="Times New Roman" w:eastAsia="Times New Roman" w:hAnsi="Times New Roman"/>
            <w:sz w:val="17"/>
            <w:szCs w:val="17"/>
            <w:u w:val="single" w:color="auto"/>
            <w:color w:val="0000EE"/>
          </w:rPr>
          <w:t>The description of the Registrant’s common stock contained in the Registrant’s Registration Statement on Form 8-A (File No. 001-41591), filed by the</w:t>
        </w:r>
      </w:hyperlink>
      <w:r>
        <w:rPr>
          <w:rFonts w:ascii="Times New Roman" w:cs="Times New Roman" w:eastAsia="Times New Roman" w:hAnsi="Times New Roman"/>
          <w:sz w:val="17"/>
          <w:szCs w:val="17"/>
          <w:u w:val="single" w:color="auto"/>
          <w:color w:val="0000EE"/>
        </w:rPr>
        <w:t xml:space="preserve"> </w:t>
      </w:r>
      <w:hyperlink r:id="rId26">
        <w:r>
          <w:rPr>
            <w:rFonts w:ascii="Times New Roman" w:cs="Times New Roman" w:eastAsia="Times New Roman" w:hAnsi="Times New Roman"/>
            <w:sz w:val="17"/>
            <w:szCs w:val="17"/>
            <w:u w:val="single" w:color="auto"/>
            <w:color w:val="0000EE"/>
          </w:rPr>
          <w:t>Registrant with the SEC under Section 12(b) of the Exchange Act, on January 12, 2023, including any amendments or reports filed for the purpose of</w:t>
        </w:r>
      </w:hyperlink>
      <w:r>
        <w:rPr>
          <w:rFonts w:ascii="Times New Roman" w:cs="Times New Roman" w:eastAsia="Times New Roman" w:hAnsi="Times New Roman"/>
          <w:sz w:val="17"/>
          <w:szCs w:val="17"/>
          <w:u w:val="single" w:color="auto"/>
          <w:color w:val="0000EE"/>
        </w:rPr>
        <w:t xml:space="preserve"> </w:t>
      </w:r>
      <w:hyperlink r:id="rId26">
        <w:r>
          <w:rPr>
            <w:rFonts w:ascii="Times New Roman" w:cs="Times New Roman" w:eastAsia="Times New Roman" w:hAnsi="Times New Roman"/>
            <w:sz w:val="17"/>
            <w:szCs w:val="17"/>
            <w:u w:val="single" w:color="auto"/>
            <w:color w:val="0000EE"/>
          </w:rPr>
          <w:t>updating such description; and</w:t>
        </w:r>
      </w:hyperlink>
    </w:p>
    <w:p>
      <w:pPr>
        <w:ind w:left="620" w:hanging="306"/>
        <w:spacing w:after="0" w:line="268"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reports filed by the Registrant pursuant to Sections 13(a) or 15(d) of the Securities Exchange Act of 1934 (the “Exchange Act”) since the end of the fiscal year covered by the documents referred to above.</w:t>
      </w:r>
    </w:p>
    <w:p>
      <w:pPr>
        <w:spacing w:after="0" w:line="166" w:lineRule="exact"/>
        <w:rPr>
          <w:rFonts w:ascii="Times New Roman" w:cs="Times New Roman" w:eastAsia="Times New Roman" w:hAnsi="Times New Roman"/>
          <w:sz w:val="17"/>
          <w:szCs w:val="17"/>
          <w:u w:val="single" w:color="auto"/>
          <w:color w:val="0000EE"/>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Sections 13(a), 13(c), 14, and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the Registration Statement and to be a part thereof from the date of the filing of such documents.</w:t>
      </w:r>
    </w:p>
    <w:p>
      <w:pPr>
        <w:spacing w:after="0" w:line="376" w:lineRule="exact"/>
        <w:rPr>
          <w:rFonts w:ascii="Times New Roman" w:cs="Times New Roman" w:eastAsia="Times New Roman" w:hAnsi="Times New Roman"/>
          <w:sz w:val="17"/>
          <w:szCs w:val="17"/>
          <w:u w:val="single" w:color="auto"/>
          <w:color w:val="0000EE"/>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60" w:type="dxa"/>
            <w:vAlign w:val="bottom"/>
            <w:gridSpan w:val="11"/>
          </w:tcPr>
          <w:p>
            <w:pPr>
              <w:ind w:left="18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94"/>
        </w:trPr>
        <w:tc>
          <w:tcPr>
            <w:tcW w:w="9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gridSpan w:val="10"/>
          </w:tcPr>
          <w:p>
            <w:pPr>
              <w:ind w:left="52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89"/>
        </w:trPr>
        <w:tc>
          <w:tcPr>
            <w:tcW w:w="300" w:type="dxa"/>
            <w:vAlign w:val="bottom"/>
            <w:gridSpan w:val="2"/>
          </w:tcPr>
          <w:p>
            <w:pPr>
              <w:spacing w:after="0"/>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6"/>
          </w:tcPr>
          <w:p>
            <w:pPr>
              <w:spacing w:after="0"/>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Amended and Restated Certificate of Incorporation (incorporated by reference to Exhibit 3.1 to the Registrant's Current Report on Form 8-K filed</w:t>
              </w:r>
            </w:hyperlink>
          </w:p>
        </w:tc>
      </w:tr>
      <w:tr>
        <w:trPr>
          <w:trHeight w:val="167"/>
        </w:trPr>
        <w:tc>
          <w:tcPr>
            <w:tcW w:w="2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4"/>
          </w:tcPr>
          <w:p>
            <w:pPr>
              <w:spacing w:after="0" w:line="167"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with the Commission on January 18, 2023).</w:t>
              </w:r>
            </w:hyperlink>
          </w:p>
        </w:tc>
        <w:tc>
          <w:tcPr>
            <w:tcW w:w="7080" w:type="dxa"/>
            <w:vAlign w:val="bottom"/>
            <w:tcBorders>
              <w:top w:val="single" w:sz="8" w:color="0000EE"/>
            </w:tcBorders>
            <w:gridSpan w:val="12"/>
          </w:tcPr>
          <w:p>
            <w:pPr>
              <w:spacing w:after="0"/>
              <w:rPr>
                <w:sz w:val="14"/>
                <w:szCs w:val="14"/>
                <w:color w:val="auto"/>
              </w:rPr>
            </w:pPr>
          </w:p>
        </w:tc>
      </w:tr>
      <w:tr>
        <w:trPr>
          <w:trHeight w:val="394"/>
        </w:trPr>
        <w:tc>
          <w:tcPr>
            <w:tcW w:w="300" w:type="dxa"/>
            <w:vAlign w:val="bottom"/>
            <w:gridSpan w:val="2"/>
          </w:tcPr>
          <w:p>
            <w:pPr>
              <w:spacing w:after="0"/>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6"/>
          </w:tcPr>
          <w:p>
            <w:pPr>
              <w:spacing w:after="0"/>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Amended and Restated Bylaws (incorporated by reference to Exhibit 3.2 to the Registrant's Current Report on Form 8-K filed with the</w:t>
              </w:r>
            </w:hyperlink>
          </w:p>
        </w:tc>
      </w:tr>
      <w:tr>
        <w:trPr>
          <w:trHeight w:val="187"/>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tcBorders>
              <w:top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Commission on January 18, 2023).</w:t>
              </w:r>
            </w:hyperlink>
          </w:p>
        </w:tc>
      </w:tr>
      <w:tr>
        <w:trPr>
          <w:trHeight w:val="394"/>
        </w:trPr>
        <w:tc>
          <w:tcPr>
            <w:tcW w:w="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rPr>
              <w:t>Opinion of DLA Piper LLP</w:t>
            </w:r>
          </w:p>
        </w:tc>
        <w:tc>
          <w:tcPr>
            <w:tcW w:w="500" w:type="dxa"/>
            <w:vAlign w:val="bottom"/>
            <w:tcBorders>
              <w:top w:val="single" w:sz="8" w:color="0000EE"/>
            </w:tcBorders>
            <w:gridSpan w:val="2"/>
          </w:tcPr>
          <w:p>
            <w:pPr>
              <w:spacing w:after="0"/>
              <w:rPr>
                <w:sz w:val="24"/>
                <w:szCs w:val="24"/>
                <w:color w:val="auto"/>
              </w:rPr>
            </w:pPr>
          </w:p>
        </w:tc>
        <w:tc>
          <w:tcPr>
            <w:tcW w:w="7700" w:type="dxa"/>
            <w:vAlign w:val="bottom"/>
            <w:gridSpan w:val="13"/>
          </w:tcPr>
          <w:p>
            <w:pPr>
              <w:spacing w:after="0"/>
              <w:rPr>
                <w:sz w:val="24"/>
                <w:szCs w:val="24"/>
                <w:color w:val="auto"/>
              </w:rPr>
            </w:pPr>
          </w:p>
        </w:tc>
      </w:tr>
      <w:tr>
        <w:trPr>
          <w:trHeight w:val="394"/>
        </w:trPr>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Consent of Ernst &amp; Young LLP</w:t>
            </w:r>
          </w:p>
        </w:tc>
        <w:tc>
          <w:tcPr>
            <w:tcW w:w="7920" w:type="dxa"/>
            <w:vAlign w:val="bottom"/>
            <w:gridSpan w:val="14"/>
          </w:tcPr>
          <w:p>
            <w:pPr>
              <w:spacing w:after="0"/>
              <w:rPr>
                <w:sz w:val="24"/>
                <w:szCs w:val="24"/>
                <w:color w:val="auto"/>
              </w:rPr>
            </w:pPr>
          </w:p>
        </w:tc>
      </w:tr>
      <w:tr>
        <w:trPr>
          <w:trHeight w:val="394"/>
        </w:trPr>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Consent of DLA Piper LLP (included in Exhibit 5.1)</w:t>
            </w:r>
          </w:p>
        </w:tc>
        <w:tc>
          <w:tcPr>
            <w:tcW w:w="6460" w:type="dxa"/>
            <w:vAlign w:val="bottom"/>
            <w:gridSpan w:val="11"/>
          </w:tcPr>
          <w:p>
            <w:pPr>
              <w:spacing w:after="0"/>
              <w:rPr>
                <w:sz w:val="24"/>
                <w:szCs w:val="24"/>
                <w:color w:val="auto"/>
              </w:rPr>
            </w:pPr>
          </w:p>
        </w:tc>
      </w:tr>
      <w:tr>
        <w:trPr>
          <w:trHeight w:val="394"/>
        </w:trPr>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24.</w:t>
            </w:r>
            <w:r>
              <w:rPr>
                <w:rFonts w:ascii="Times New Roman" w:cs="Times New Roman" w:eastAsia="Times New Roman" w:hAnsi="Times New Roman"/>
                <w:sz w:val="17"/>
                <w:szCs w:val="17"/>
                <w:u w:val="single" w:color="auto"/>
                <w:color w:val="0000EE"/>
                <w:w w:val="99"/>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hereto)</w:t>
            </w:r>
          </w:p>
        </w:tc>
        <w:tc>
          <w:tcPr>
            <w:tcW w:w="6080" w:type="dxa"/>
            <w:vAlign w:val="bottom"/>
            <w:gridSpan w:val="10"/>
          </w:tcPr>
          <w:p>
            <w:pPr>
              <w:spacing w:after="0"/>
              <w:rPr>
                <w:sz w:val="24"/>
                <w:szCs w:val="24"/>
                <w:color w:val="auto"/>
              </w:rPr>
            </w:pPr>
          </w:p>
        </w:tc>
      </w:tr>
      <w:tr>
        <w:trPr>
          <w:trHeight w:val="39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0">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Skyward Specialty Insurance Group, Inc. 2022 Long-Term Incentive Plan (incorporated by reference to Exhibit 99.4 to the Registrant’s</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16"/>
          </w:tcPr>
          <w:p>
            <w:pPr>
              <w:spacing w:after="0" w:line="187"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Registration Statement on Form S-8 filed with the Commission on January 12, 2023).</w:t>
              </w:r>
            </w:hyperlink>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1">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Skyward Specialty Insurance Group, Inc. 2022 Employee Stock Purchase Plan (incorporated by reference to Exhibit 99.5 to the Registrant’s</w:t>
              </w:r>
            </w:hyperlink>
          </w:p>
        </w:tc>
      </w:tr>
      <w:tr>
        <w:trPr>
          <w:trHeight w:val="167"/>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gridSpan w:val="16"/>
          </w:tcPr>
          <w:p>
            <w:pPr>
              <w:spacing w:after="0" w:line="167"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Registration Statement on Form S-8 filed with the Commission on January 12, 2023).</w:t>
              </w:r>
            </w:hyperlink>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2">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2">
              <w:r>
                <w:rPr>
                  <w:rFonts w:ascii="Times New Roman" w:cs="Times New Roman" w:eastAsia="Times New Roman" w:hAnsi="Times New Roman"/>
                  <w:sz w:val="17"/>
                  <w:szCs w:val="17"/>
                  <w:color w:val="0000EE"/>
                </w:rPr>
                <w:t>Form of Restricted Stock Units Agreement and form of notice under the Registrant’s 2022 Long-Term Incentive Plan (incorporated by reference</w:t>
              </w:r>
            </w:hyperlink>
          </w:p>
        </w:tc>
      </w:tr>
      <w:tr>
        <w:trPr>
          <w:trHeight w:val="167"/>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rPr>
            </w:pPr>
            <w:hyperlink r:id="rId32">
              <w:r>
                <w:rPr>
                  <w:rFonts w:ascii="Times New Roman" w:cs="Times New Roman" w:eastAsia="Times New Roman" w:hAnsi="Times New Roman"/>
                  <w:sz w:val="17"/>
                  <w:szCs w:val="17"/>
                  <w:color w:val="0000EE"/>
                </w:rPr>
                <w:t>to Exhibit 99.6 to the Registrant’s Registration Statement on Form S-8 filed with the Commission on January 12, 2023).</w:t>
              </w:r>
            </w:hyperlink>
          </w:p>
        </w:tc>
        <w:tc>
          <w:tcPr>
            <w:tcW w:w="1820" w:type="dxa"/>
            <w:vAlign w:val="bottom"/>
            <w:gridSpan w:val="2"/>
          </w:tcPr>
          <w:p>
            <w:pPr>
              <w:spacing w:after="0"/>
              <w:rPr>
                <w:sz w:val="14"/>
                <w:szCs w:val="14"/>
                <w:color w:val="auto"/>
              </w:rPr>
            </w:pPr>
          </w:p>
        </w:tc>
      </w:tr>
      <w:tr>
        <w:trPr>
          <w:trHeight w:val="39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3">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3">
              <w:r>
                <w:rPr>
                  <w:rFonts w:ascii="Times New Roman" w:cs="Times New Roman" w:eastAsia="Times New Roman" w:hAnsi="Times New Roman"/>
                  <w:sz w:val="17"/>
                  <w:szCs w:val="17"/>
                  <w:color w:val="0000EE"/>
                </w:rPr>
                <w:t>Form of Restricted Stock Agreement under the Registrant’s 2022 Long-Term Incentive Plan (incorporated by reference to Exhibit 99.7 to the</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80" w:type="dxa"/>
            <w:vAlign w:val="bottom"/>
            <w:tcBorders>
              <w:bottom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33">
              <w:r>
                <w:rPr>
                  <w:rFonts w:ascii="Times New Roman" w:cs="Times New Roman" w:eastAsia="Times New Roman" w:hAnsi="Times New Roman"/>
                  <w:sz w:val="17"/>
                  <w:szCs w:val="17"/>
                  <w:color w:val="0000EE"/>
                </w:rPr>
                <w:t>Registrant’s Registration Statement on Form S-8 filed with the Commission on January 12, 2023).</w:t>
              </w:r>
            </w:hyperlink>
          </w:p>
        </w:tc>
        <w:tc>
          <w:tcPr>
            <w:tcW w:w="3320" w:type="dxa"/>
            <w:vAlign w:val="bottom"/>
            <w:gridSpan w:val="3"/>
          </w:tcPr>
          <w:p>
            <w:pPr>
              <w:spacing w:after="0"/>
              <w:rPr>
                <w:sz w:val="16"/>
                <w:szCs w:val="16"/>
                <w:color w:val="auto"/>
              </w:rPr>
            </w:pPr>
          </w:p>
        </w:tc>
      </w:tr>
      <w:tr>
        <w:trPr>
          <w:trHeight w:val="39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4">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4">
              <w:r>
                <w:rPr>
                  <w:rFonts w:ascii="Times New Roman" w:cs="Times New Roman" w:eastAsia="Times New Roman" w:hAnsi="Times New Roman"/>
                  <w:sz w:val="17"/>
                  <w:szCs w:val="17"/>
                  <w:color w:val="0000EE"/>
                </w:rPr>
                <w:t>Form of Nonstatutory Stock Option Agreement and form of notice under the Registrants 2022 Long-Term Incentive Plan (incorporated by</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16"/>
          </w:tcPr>
          <w:p>
            <w:pPr>
              <w:spacing w:after="0" w:line="187" w:lineRule="exact"/>
              <w:rPr>
                <w:rFonts w:ascii="Times New Roman" w:cs="Times New Roman" w:eastAsia="Times New Roman" w:hAnsi="Times New Roman"/>
                <w:sz w:val="17"/>
                <w:szCs w:val="17"/>
                <w:color w:val="0000EE"/>
              </w:rPr>
            </w:pPr>
            <w:hyperlink r:id="rId34">
              <w:r>
                <w:rPr>
                  <w:rFonts w:ascii="Times New Roman" w:cs="Times New Roman" w:eastAsia="Times New Roman" w:hAnsi="Times New Roman"/>
                  <w:sz w:val="17"/>
                  <w:szCs w:val="17"/>
                  <w:color w:val="0000EE"/>
                </w:rPr>
                <w:t>reference to Exhibit 99.8 to the Registrant’s Registration Statement on Form S-8 filed with the Commission on January 12, 2023).</w:t>
              </w:r>
            </w:hyperlink>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4"/>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5">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5">
              <w:r>
                <w:rPr>
                  <w:rFonts w:ascii="Times New Roman" w:cs="Times New Roman" w:eastAsia="Times New Roman" w:hAnsi="Times New Roman"/>
                  <w:sz w:val="17"/>
                  <w:szCs w:val="17"/>
                  <w:color w:val="0000EE"/>
                </w:rPr>
                <w:t>Form of Incentive Stock Option Agreement and form of notice under the Registrants 2022 Long-Term Incentive Plan (incorporated by reference</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tcBorders>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35">
              <w:r>
                <w:rPr>
                  <w:rFonts w:ascii="Times New Roman" w:cs="Times New Roman" w:eastAsia="Times New Roman" w:hAnsi="Times New Roman"/>
                  <w:sz w:val="17"/>
                  <w:szCs w:val="17"/>
                  <w:color w:val="0000EE"/>
                </w:rPr>
                <w:t>to Exhibit 99.9 to the Registrant’s Registration Statement on Form S-8 filed with the Commission on January 12, 2023).</w:t>
              </w:r>
            </w:hyperlink>
          </w:p>
        </w:tc>
        <w:tc>
          <w:tcPr>
            <w:tcW w:w="1820" w:type="dxa"/>
            <w:vAlign w:val="bottom"/>
            <w:gridSpan w:val="2"/>
          </w:tcPr>
          <w:p>
            <w:pPr>
              <w:spacing w:after="0"/>
              <w:rPr>
                <w:sz w:val="16"/>
                <w:szCs w:val="16"/>
                <w:color w:val="auto"/>
              </w:rPr>
            </w:pPr>
          </w:p>
        </w:tc>
      </w:tr>
      <w:tr>
        <w:trPr>
          <w:trHeight w:val="394"/>
        </w:trPr>
        <w:tc>
          <w:tcPr>
            <w:tcW w:w="4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9"/>
              </w:rPr>
            </w:pPr>
            <w:hyperlink r:id="rId36">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10</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37">
              <w:r>
                <w:rPr>
                  <w:rFonts w:ascii="Times New Roman" w:cs="Times New Roman" w:eastAsia="Times New Roman" w:hAnsi="Times New Roman"/>
                  <w:sz w:val="17"/>
                  <w:szCs w:val="17"/>
                  <w:color w:val="0000EE"/>
                </w:rPr>
                <w:t>Form of Performance-Based Restricted Stock Units Agreement under the Registrant’s 2022 Long-Term Incentive Plan (incorporated by reference</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60" w:type="dxa"/>
            <w:vAlign w:val="bottom"/>
            <w:tcBorders>
              <w:bottom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37">
              <w:r>
                <w:rPr>
                  <w:rFonts w:ascii="Times New Roman" w:cs="Times New Roman" w:eastAsia="Times New Roman" w:hAnsi="Times New Roman"/>
                  <w:sz w:val="17"/>
                  <w:szCs w:val="17"/>
                  <w:color w:val="0000EE"/>
                </w:rPr>
                <w:t>to Exhibit 10.10 to the Registrant’s Form 10-K filed with the Commission on March 28, 2023).</w:t>
              </w:r>
            </w:hyperlink>
          </w:p>
        </w:tc>
        <w:tc>
          <w:tcPr>
            <w:tcW w:w="3540" w:type="dxa"/>
            <w:vAlign w:val="bottom"/>
            <w:gridSpan w:val="4"/>
          </w:tcPr>
          <w:p>
            <w:pPr>
              <w:spacing w:after="0"/>
              <w:rPr>
                <w:sz w:val="16"/>
                <w:szCs w:val="16"/>
                <w:color w:val="auto"/>
              </w:rPr>
            </w:pPr>
          </w:p>
        </w:tc>
      </w:tr>
      <w:tr>
        <w:trPr>
          <w:trHeight w:val="394"/>
        </w:trPr>
        <w:tc>
          <w:tcPr>
            <w:tcW w:w="400" w:type="dxa"/>
            <w:vAlign w:val="bottom"/>
            <w:gridSpan w:val="4"/>
          </w:tcPr>
          <w:p>
            <w:pPr>
              <w:spacing w:after="0"/>
              <w:rPr>
                <w:rFonts w:ascii="Times New Roman" w:cs="Times New Roman" w:eastAsia="Times New Roman" w:hAnsi="Times New Roman"/>
                <w:sz w:val="17"/>
                <w:szCs w:val="17"/>
                <w:color w:val="0000EE"/>
                <w:w w:val="99"/>
              </w:rPr>
            </w:pPr>
            <w:hyperlink r:id="rId38">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11</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6"/>
          </w:tcPr>
          <w:p>
            <w:pPr>
              <w:spacing w:after="0"/>
              <w:rPr>
                <w:rFonts w:ascii="Times New Roman" w:cs="Times New Roman" w:eastAsia="Times New Roman" w:hAnsi="Times New Roman"/>
                <w:sz w:val="17"/>
                <w:szCs w:val="17"/>
                <w:color w:val="0000EE"/>
              </w:rPr>
            </w:pPr>
            <w:hyperlink r:id="rId39">
              <w:r>
                <w:rPr>
                  <w:rFonts w:ascii="Times New Roman" w:cs="Times New Roman" w:eastAsia="Times New Roman" w:hAnsi="Times New Roman"/>
                  <w:sz w:val="17"/>
                  <w:szCs w:val="17"/>
                  <w:color w:val="0000EE"/>
                </w:rPr>
                <w:t>Performance-Based Restricted Stock Units Agreement under the Registrant’s 2022 Long-Term Incentive Plan (incorporated by reference to</w:t>
              </w:r>
            </w:hyperlink>
          </w:p>
        </w:tc>
      </w:tr>
      <w:tr>
        <w:trPr>
          <w:trHeight w:val="187"/>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80" w:type="dxa"/>
            <w:vAlign w:val="bottom"/>
            <w:tcBorders>
              <w:top w:val="single" w:sz="8" w:color="0000EE"/>
              <w:bottom w:val="single" w:sz="8" w:color="0000EE"/>
            </w:tcBorders>
            <w:gridSpan w:val="10"/>
          </w:tcPr>
          <w:p>
            <w:pPr>
              <w:spacing w:after="0" w:line="187" w:lineRule="exact"/>
              <w:rPr>
                <w:rFonts w:ascii="Times New Roman" w:cs="Times New Roman" w:eastAsia="Times New Roman" w:hAnsi="Times New Roman"/>
                <w:sz w:val="17"/>
                <w:szCs w:val="17"/>
                <w:color w:val="0000EE"/>
              </w:rPr>
            </w:pPr>
            <w:hyperlink r:id="rId39">
              <w:r>
                <w:rPr>
                  <w:rFonts w:ascii="Times New Roman" w:cs="Times New Roman" w:eastAsia="Times New Roman" w:hAnsi="Times New Roman"/>
                  <w:sz w:val="17"/>
                  <w:szCs w:val="17"/>
                  <w:color w:val="0000EE"/>
                </w:rPr>
                <w:t>Exhibit 10.11 to the Registrant’s Form 10-K filed with the Commission on March 28, 2023).</w:t>
              </w:r>
            </w:hyperlink>
          </w:p>
        </w:tc>
        <w:tc>
          <w:tcPr>
            <w:tcW w:w="3720" w:type="dxa"/>
            <w:vAlign w:val="bottom"/>
            <w:tcBorders>
              <w:top w:val="single" w:sz="8" w:color="0000EE"/>
            </w:tcBorders>
            <w:gridSpan w:val="6"/>
          </w:tcPr>
          <w:p>
            <w:pPr>
              <w:spacing w:after="0"/>
              <w:rPr>
                <w:sz w:val="16"/>
                <w:szCs w:val="16"/>
                <w:color w:val="auto"/>
              </w:rPr>
            </w:pPr>
          </w:p>
        </w:tc>
      </w:tr>
      <w:tr>
        <w:trPr>
          <w:trHeight w:val="394"/>
        </w:trPr>
        <w:tc>
          <w:tcPr>
            <w:tcW w:w="4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9"/>
              </w:rPr>
            </w:pPr>
            <w:hyperlink r:id="rId40">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12</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0000EE"/>
                </w:rPr>
                <w:t>Performance Unit Agreement under the Registrant’s 2022 Long-Term Incentive Plan (incorporated by reference to Exhibit 10.12 to the</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16"/>
          </w:tcPr>
          <w:p>
            <w:pPr>
              <w:spacing w:after="0" w:line="187" w:lineRule="exact"/>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0000EE"/>
                </w:rPr>
                <w:t>Registrant’s Form 10-K filed with the Commission on March 28, 2023).</w:t>
              </w:r>
            </w:hyperlink>
          </w:p>
        </w:tc>
      </w:tr>
      <w:tr>
        <w:trPr>
          <w:trHeight w:val="20"/>
        </w:trPr>
        <w:tc>
          <w:tcPr>
            <w:tcW w:w="4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r>
      <w:tr>
        <w:trPr>
          <w:trHeight w:val="414"/>
        </w:trPr>
        <w:tc>
          <w:tcPr>
            <w:tcW w:w="4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9"/>
              </w:rPr>
            </w:pPr>
            <w:hyperlink r:id="rId42">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13</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Amended Form of Performance Share (GBVPS) Agreement under the Company’s 2022 Long-Term Incentive Plan (incorporated by reference to</w:t>
              </w:r>
            </w:hyperlink>
          </w:p>
        </w:tc>
      </w:tr>
      <w:tr>
        <w:trPr>
          <w:trHeight w:val="167"/>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00" w:type="dxa"/>
            <w:vAlign w:val="bottom"/>
            <w:tcBorders>
              <w:bottom w:val="single" w:sz="8" w:color="0000EE"/>
            </w:tcBorders>
            <w:gridSpan w:val="9"/>
          </w:tcPr>
          <w:p>
            <w:pPr>
              <w:spacing w:after="0" w:line="167" w:lineRule="exact"/>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Exhibit 10.13 to the Registrant’s Form 10-K filed with the Commission on April 01, 2024).</w:t>
              </w:r>
            </w:hyperlink>
          </w:p>
        </w:tc>
        <w:tc>
          <w:tcPr>
            <w:tcW w:w="3800" w:type="dxa"/>
            <w:vAlign w:val="bottom"/>
            <w:gridSpan w:val="7"/>
          </w:tcPr>
          <w:p>
            <w:pPr>
              <w:spacing w:after="0"/>
              <w:rPr>
                <w:sz w:val="14"/>
                <w:szCs w:val="14"/>
                <w:color w:val="auto"/>
              </w:rPr>
            </w:pPr>
          </w:p>
        </w:tc>
      </w:tr>
      <w:tr>
        <w:trPr>
          <w:trHeight w:val="394"/>
        </w:trPr>
        <w:tc>
          <w:tcPr>
            <w:tcW w:w="4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9"/>
              </w:rPr>
            </w:pPr>
            <w:hyperlink r:id="rId43">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14</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Amended Form of Performance Share (Executives) Agreement under the Company’s 2022 Long-Term Incentive Plan (incorporated by reference</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80" w:type="dxa"/>
            <w:vAlign w:val="bottom"/>
            <w:tcBorders>
              <w:bottom w:val="single" w:sz="8" w:color="0000EE"/>
            </w:tcBorders>
            <w:gridSpan w:val="11"/>
          </w:tcPr>
          <w:p>
            <w:pPr>
              <w:spacing w:after="0" w:line="187" w:lineRule="exact"/>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to Exhibit 10.14 to the Registrant’s Form 10-K filed with the Commission on April 01, 2024).</w:t>
              </w:r>
            </w:hyperlink>
          </w:p>
        </w:tc>
        <w:tc>
          <w:tcPr>
            <w:tcW w:w="3620" w:type="dxa"/>
            <w:vAlign w:val="bottom"/>
            <w:gridSpan w:val="5"/>
          </w:tcPr>
          <w:p>
            <w:pPr>
              <w:spacing w:after="0"/>
              <w:rPr>
                <w:sz w:val="16"/>
                <w:szCs w:val="16"/>
                <w:color w:val="auto"/>
              </w:rPr>
            </w:pPr>
          </w:p>
        </w:tc>
      </w:tr>
      <w:tr>
        <w:trPr>
          <w:trHeight w:val="394"/>
        </w:trPr>
        <w:tc>
          <w:tcPr>
            <w:tcW w:w="4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9"/>
              </w:rPr>
            </w:pPr>
            <w:hyperlink r:id="rId44">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15</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Amended Form of Performance Share (Others) Agreement under the Company’s 2022 Long-Term Incentive Plan (incorporated by reference to</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16"/>
          </w:tcPr>
          <w:p>
            <w:pPr>
              <w:spacing w:after="0" w:line="187" w:lineRule="exact"/>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Exhibit 10.15 to the Registrant’s Form 10-K filed with the Commission on April 01, 2024).</w:t>
              </w:r>
            </w:hyperlink>
          </w:p>
        </w:tc>
      </w:tr>
      <w:tr>
        <w:trPr>
          <w:trHeight w:val="692"/>
        </w:trPr>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 w:type="dxa"/>
            <w:vAlign w:val="bottom"/>
            <w:gridSpan w:val="3"/>
          </w:tcPr>
          <w:p>
            <w:pPr>
              <w:spacing w:after="0"/>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16</w:t>
              </w:r>
            </w:hyperlink>
          </w:p>
        </w:tc>
        <w:tc>
          <w:tcPr>
            <w:tcW w:w="66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Amended Form of Performance Cash Units Agreement under the Company’s Long-Term Incentive Plan (incorporated by reference to</w:t>
              </w:r>
            </w:hyperlink>
          </w:p>
        </w:tc>
      </w:tr>
      <w:tr>
        <w:trPr>
          <w:trHeight w:val="167"/>
        </w:trPr>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300" w:type="dxa"/>
            <w:vAlign w:val="bottom"/>
            <w:tcBorders>
              <w:top w:val="single" w:sz="8" w:color="0000EE"/>
              <w:bottom w:val="single" w:sz="8" w:color="0000EE"/>
            </w:tcBorders>
            <w:gridSpan w:val="5"/>
          </w:tcPr>
          <w:p>
            <w:pPr>
              <w:spacing w:after="0" w:line="167" w:lineRule="exact"/>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Exhibit 10.16 to the Registrant’s Form 10-K filed with the Commission on April 01, 2024).</w:t>
              </w:r>
            </w:hyperlink>
          </w:p>
        </w:tc>
        <w:tc>
          <w:tcPr>
            <w:tcW w:w="3800" w:type="dxa"/>
            <w:vAlign w:val="bottom"/>
            <w:tcBorders>
              <w:top w:val="single" w:sz="8" w:color="0000EE"/>
            </w:tcBorders>
            <w:gridSpan w:val="13"/>
          </w:tcPr>
          <w:p>
            <w:pPr>
              <w:spacing w:after="0"/>
              <w:rPr>
                <w:sz w:val="14"/>
                <w:szCs w:val="14"/>
                <w:color w:val="auto"/>
              </w:rPr>
            </w:pPr>
          </w:p>
        </w:tc>
      </w:tr>
      <w:tr>
        <w:trPr>
          <w:trHeight w:val="414"/>
        </w:trPr>
        <w:tc>
          <w:tcPr>
            <w:tcW w:w="480" w:type="dxa"/>
            <w:vAlign w:val="bottom"/>
            <w:gridSpan w:val="3"/>
          </w:tcPr>
          <w:p>
            <w:pPr>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17</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Amended Form of the Restricted Stock Units (Executives) Agreement under the Company’s 2022 Long-Term Incentive Plan (incorporated by</w:t>
              </w:r>
            </w:hyperlink>
          </w:p>
        </w:tc>
      </w:tr>
      <w:tr>
        <w:trPr>
          <w:trHeight w:val="167"/>
        </w:trPr>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160" w:type="dxa"/>
            <w:vAlign w:val="bottom"/>
            <w:tcBorders>
              <w:top w:val="single" w:sz="8" w:color="0000EE"/>
              <w:bottom w:val="single" w:sz="8" w:color="0000EE"/>
            </w:tcBorders>
            <w:gridSpan w:val="7"/>
          </w:tcPr>
          <w:p>
            <w:pPr>
              <w:spacing w:after="0" w:line="167"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reference to Exhibit 10.17 to the Registrant’s Form 10-K filed with the Commission on April 01, 2024).</w:t>
              </w:r>
            </w:hyperlink>
          </w:p>
        </w:tc>
        <w:tc>
          <w:tcPr>
            <w:tcW w:w="2940" w:type="dxa"/>
            <w:vAlign w:val="bottom"/>
            <w:tcBorders>
              <w:top w:val="single" w:sz="8" w:color="0000EE"/>
            </w:tcBorders>
            <w:gridSpan w:val="11"/>
          </w:tcPr>
          <w:p>
            <w:pPr>
              <w:spacing w:after="0"/>
              <w:rPr>
                <w:sz w:val="14"/>
                <w:szCs w:val="14"/>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18</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Amended Form of Restricted Stock Units (Others) Agreement under the Company’s 2022 Long-Term Incentive Plan (incorporated by reference</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80" w:type="dxa"/>
            <w:vAlign w:val="bottom"/>
            <w:tcBorders>
              <w:top w:val="single" w:sz="8" w:color="0000EE"/>
              <w:bottom w:val="single" w:sz="8" w:color="0000EE"/>
            </w:tcBorders>
            <w:gridSpan w:val="6"/>
          </w:tcPr>
          <w:p>
            <w:pPr>
              <w:spacing w:after="0" w:line="187"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to Exhibit 10.18 to the Registrant’s Form 10-K filed with the Commission on April 01, 2024).</w:t>
              </w:r>
            </w:hyperlink>
          </w:p>
        </w:tc>
        <w:tc>
          <w:tcPr>
            <w:tcW w:w="3620" w:type="dxa"/>
            <w:vAlign w:val="bottom"/>
            <w:tcBorders>
              <w:top w:val="single" w:sz="8" w:color="0000EE"/>
            </w:tcBorders>
            <w:gridSpan w:val="12"/>
          </w:tcPr>
          <w:p>
            <w:pPr>
              <w:spacing w:after="0"/>
              <w:rPr>
                <w:sz w:val="16"/>
                <w:szCs w:val="16"/>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19</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Amended Form of Long-Term Performance Cash Plan and Award Letter under the Company’s 2022 Long-Term Incentive Plan (incorporated by</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6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reference to Exhibit 10.19 to the Registrant’s Form 10-K filed with the Commission on April 01, 2024).</w:t>
              </w:r>
            </w:hyperlink>
          </w:p>
        </w:tc>
        <w:tc>
          <w:tcPr>
            <w:tcW w:w="2940" w:type="dxa"/>
            <w:vAlign w:val="bottom"/>
            <w:tcBorders>
              <w:top w:val="single" w:sz="8" w:color="0000EE"/>
            </w:tcBorders>
            <w:gridSpan w:val="11"/>
          </w:tcPr>
          <w:p>
            <w:pPr>
              <w:spacing w:after="0"/>
              <w:rPr>
                <w:sz w:val="16"/>
                <w:szCs w:val="16"/>
                <w:color w:val="auto"/>
              </w:rPr>
            </w:pPr>
          </w:p>
        </w:tc>
      </w:tr>
      <w:tr>
        <w:trPr>
          <w:trHeight w:val="414"/>
        </w:trPr>
        <w:tc>
          <w:tcPr>
            <w:tcW w:w="480" w:type="dxa"/>
            <w:vAlign w:val="bottom"/>
            <w:gridSpan w:val="3"/>
          </w:tcPr>
          <w:p>
            <w:pPr>
              <w:spacing w:after="0"/>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20</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0000EE"/>
                </w:rPr>
                <w:t>Form of Non-Employee Director Deferred Restricted Stock Units Agreement and Form of Notice Under the Company’s 2022 Long-Term</w:t>
              </w:r>
            </w:hyperlink>
          </w:p>
        </w:tc>
      </w:tr>
      <w:tr>
        <w:trPr>
          <w:trHeight w:val="167"/>
        </w:trPr>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100" w:type="dxa"/>
            <w:vAlign w:val="bottom"/>
            <w:tcBorders>
              <w:top w:val="single" w:sz="8" w:color="0000EE"/>
            </w:tcBorders>
            <w:gridSpan w:val="18"/>
          </w:tcPr>
          <w:p>
            <w:pPr>
              <w:spacing w:after="0" w:line="167" w:lineRule="exact"/>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0000EE"/>
                </w:rPr>
                <w:t>Incentive Plan (incorporated by reference to Exhibit 10.22 to the Registrant’s Form 10-K filed with the Commission on March 3, 2025).</w:t>
              </w:r>
            </w:hyperlink>
          </w:p>
        </w:tc>
      </w:tr>
      <w:tr>
        <w:trPr>
          <w:trHeight w:val="20"/>
        </w:trPr>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9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4"/>
        </w:trPr>
        <w:tc>
          <w:tcPr>
            <w:tcW w:w="480" w:type="dxa"/>
            <w:vAlign w:val="bottom"/>
            <w:gridSpan w:val="3"/>
          </w:tcPr>
          <w:p>
            <w:pPr>
              <w:spacing w:after="0"/>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21</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Amended Form of the Restricted Stock Units (Executives) Agreement under the Company’s 2022 Long-Term Incentive Plan (incorporated by</w:t>
              </w:r>
            </w:hyperlink>
          </w:p>
        </w:tc>
      </w:tr>
      <w:tr>
        <w:trPr>
          <w:trHeight w:val="167"/>
        </w:trPr>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80" w:type="dxa"/>
            <w:vAlign w:val="bottom"/>
            <w:tcBorders>
              <w:top w:val="single" w:sz="8" w:color="0000EE"/>
              <w:bottom w:val="single" w:sz="8" w:color="0000EE"/>
            </w:tcBorders>
            <w:gridSpan w:val="11"/>
          </w:tcPr>
          <w:p>
            <w:pPr>
              <w:spacing w:after="0" w:line="167" w:lineRule="exact"/>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reference to Exhibit 99.21 to the Registrant’s Registration Statement on Form S-8 filed with the Commission on March 5, 2025).</w:t>
              </w:r>
            </w:hyperlink>
          </w:p>
        </w:tc>
        <w:tc>
          <w:tcPr>
            <w:tcW w:w="1220" w:type="dxa"/>
            <w:vAlign w:val="bottom"/>
            <w:tcBorders>
              <w:top w:val="single" w:sz="8" w:color="0000EE"/>
            </w:tcBorders>
            <w:gridSpan w:val="7"/>
          </w:tcPr>
          <w:p>
            <w:pPr>
              <w:spacing w:after="0"/>
              <w:rPr>
                <w:sz w:val="14"/>
                <w:szCs w:val="14"/>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22</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Amended Form of the Restricted Stock Units (Others) Agreement under the Company’s 2022 Long-Term Incentive Plan (incorporated by</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20" w:type="dxa"/>
            <w:vAlign w:val="bottom"/>
            <w:tcBorders>
              <w:top w:val="single" w:sz="8" w:color="0000EE"/>
              <w:bottom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reference to Exhibit 99.22 to the Registrant’s Registration Statement on Form S-8 filed with the Commission on March 5, 2025).</w:t>
              </w:r>
            </w:hyperlink>
          </w:p>
        </w:tc>
        <w:tc>
          <w:tcPr>
            <w:tcW w:w="1180" w:type="dxa"/>
            <w:vAlign w:val="bottom"/>
            <w:tcBorders>
              <w:top w:val="single" w:sz="8" w:color="0000EE"/>
            </w:tcBorders>
            <w:gridSpan w:val="5"/>
          </w:tcPr>
          <w:p>
            <w:pPr>
              <w:spacing w:after="0"/>
              <w:rPr>
                <w:sz w:val="16"/>
                <w:szCs w:val="16"/>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51">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23</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51">
              <w:r>
                <w:rPr>
                  <w:rFonts w:ascii="Times New Roman" w:cs="Times New Roman" w:eastAsia="Times New Roman" w:hAnsi="Times New Roman"/>
                  <w:sz w:val="17"/>
                  <w:szCs w:val="17"/>
                  <w:color w:val="0000EE"/>
                </w:rPr>
                <w:t>Amended Form of Performance Share (Executives) Agreement under the Company’s 2022 Long-Term Incentive Plan (incorporated by reference</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0" w:type="dxa"/>
            <w:vAlign w:val="bottom"/>
            <w:tcBorders>
              <w:top w:val="single" w:sz="8" w:color="0000EE"/>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51">
              <w:r>
                <w:rPr>
                  <w:rFonts w:ascii="Times New Roman" w:cs="Times New Roman" w:eastAsia="Times New Roman" w:hAnsi="Times New Roman"/>
                  <w:sz w:val="17"/>
                  <w:szCs w:val="17"/>
                  <w:color w:val="0000EE"/>
                </w:rPr>
                <w:t>to Exhibit 99.23 to the Registrant’s Registration Statement on Form S-8 filed with the Commission on March 5, 2025).</w:t>
              </w:r>
            </w:hyperlink>
          </w:p>
        </w:tc>
        <w:tc>
          <w:tcPr>
            <w:tcW w:w="1900" w:type="dxa"/>
            <w:vAlign w:val="bottom"/>
            <w:tcBorders>
              <w:top w:val="single" w:sz="8" w:color="0000EE"/>
            </w:tcBorders>
            <w:gridSpan w:val="9"/>
          </w:tcPr>
          <w:p>
            <w:pPr>
              <w:spacing w:after="0"/>
              <w:rPr>
                <w:sz w:val="16"/>
                <w:szCs w:val="16"/>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24</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Amended Form of Performance Share (Others) Agreement under the Company’s 2022 Long-Term Incentive Plan (incorporated by reference to</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20" w:type="dxa"/>
            <w:vAlign w:val="bottom"/>
            <w:tcBorders>
              <w:top w:val="single" w:sz="8" w:color="0000EE"/>
              <w:bottom w:val="single" w:sz="8" w:color="0000EE"/>
            </w:tcBorders>
            <w:gridSpan w:val="8"/>
          </w:tcPr>
          <w:p>
            <w:pPr>
              <w:spacing w:after="0" w:line="187" w:lineRule="exact"/>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Exhibit 99.24 to the Registrant’s Registration Statement on Form S-8 filed with the Commission on March 5, 2025).</w:t>
              </w:r>
            </w:hyperlink>
          </w:p>
        </w:tc>
        <w:tc>
          <w:tcPr>
            <w:tcW w:w="2080" w:type="dxa"/>
            <w:vAlign w:val="bottom"/>
            <w:tcBorders>
              <w:top w:val="single" w:sz="8" w:color="0000EE"/>
            </w:tcBorders>
            <w:gridSpan w:val="10"/>
          </w:tcPr>
          <w:p>
            <w:pPr>
              <w:spacing w:after="0"/>
              <w:rPr>
                <w:sz w:val="16"/>
                <w:szCs w:val="16"/>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25</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0000EE"/>
                </w:rPr>
                <w:t>Amended Form of Performance Share (GBVPS) (Executives) Agreement under the Company’s 2022 Long-Term Incentive Plan (incorporated by</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80" w:type="dxa"/>
            <w:vAlign w:val="bottom"/>
            <w:tcBorders>
              <w:top w:val="single" w:sz="8" w:color="0000EE"/>
              <w:bottom w:val="single" w:sz="8" w:color="0000EE"/>
            </w:tcBorders>
            <w:gridSpan w:val="11"/>
          </w:tcPr>
          <w:p>
            <w:pPr>
              <w:spacing w:after="0" w:line="187" w:lineRule="exact"/>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0000EE"/>
                </w:rPr>
                <w:t>reference to Exhibit 99.25 to the Registrant’s Registration Statement on Form S-8 filed with the Commission on March 5, 2025).</w:t>
              </w:r>
            </w:hyperlink>
          </w:p>
        </w:tc>
        <w:tc>
          <w:tcPr>
            <w:tcW w:w="1220" w:type="dxa"/>
            <w:vAlign w:val="bottom"/>
            <w:tcBorders>
              <w:top w:val="single" w:sz="8" w:color="0000EE"/>
            </w:tcBorders>
            <w:gridSpan w:val="7"/>
          </w:tcPr>
          <w:p>
            <w:pPr>
              <w:spacing w:after="0"/>
              <w:rPr>
                <w:sz w:val="16"/>
                <w:szCs w:val="16"/>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26</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Amended Form of Performance Share (GBVPS) (Others) Agreement under the Company’s 2022 Long-Term Incentive Plan (incorporated by</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00" w:type="dxa"/>
            <w:vAlign w:val="bottom"/>
            <w:tcBorders>
              <w:top w:val="single" w:sz="8" w:color="0000EE"/>
              <w:bottom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reference to Exhibit 99.26 to the Registrant’s Registration Statement on Form S-8 filed with the Commission on March 5, 2025).</w:t>
              </w:r>
            </w:hyperlink>
          </w:p>
        </w:tc>
        <w:tc>
          <w:tcPr>
            <w:tcW w:w="1200" w:type="dxa"/>
            <w:vAlign w:val="bottom"/>
            <w:tcBorders>
              <w:top w:val="single" w:sz="8" w:color="0000EE"/>
            </w:tcBorders>
            <w:gridSpan w:val="6"/>
          </w:tcPr>
          <w:p>
            <w:pPr>
              <w:spacing w:after="0"/>
              <w:rPr>
                <w:sz w:val="16"/>
                <w:szCs w:val="16"/>
                <w:color w:val="auto"/>
              </w:rPr>
            </w:pPr>
          </w:p>
        </w:tc>
      </w:tr>
      <w:tr>
        <w:trPr>
          <w:trHeight w:val="394"/>
        </w:trPr>
        <w:tc>
          <w:tcPr>
            <w:tcW w:w="480" w:type="dxa"/>
            <w:vAlign w:val="bottom"/>
            <w:gridSpan w:val="3"/>
          </w:tcPr>
          <w:p>
            <w:pPr>
              <w:spacing w:after="0"/>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27</w:t>
              </w:r>
            </w:hyperlink>
          </w:p>
        </w:tc>
        <w:tc>
          <w:tcPr>
            <w:tcW w:w="6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Amended Form of Long-Term Performance Cash Plan and Award Letter under the Company’s 2022 Long-Term Incentive Plan (incorporated by</w:t>
              </w:r>
            </w:hyperlink>
          </w:p>
        </w:tc>
      </w:tr>
      <w:tr>
        <w:trPr>
          <w:trHeight w:val="187"/>
        </w:trPr>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80" w:type="dxa"/>
            <w:vAlign w:val="bottom"/>
            <w:tcBorders>
              <w:top w:val="single" w:sz="8" w:color="0000EE"/>
              <w:bottom w:val="single" w:sz="8" w:color="0000EE"/>
            </w:tcBorders>
            <w:gridSpan w:val="11"/>
          </w:tcPr>
          <w:p>
            <w:pPr>
              <w:spacing w:after="0" w:line="187" w:lineRule="exact"/>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reference to Exhibit 99.27 to the Registrant’s Registration Statement on Form S-8 filed with the Commission on March 5, 2025).</w:t>
              </w:r>
            </w:hyperlink>
          </w:p>
        </w:tc>
        <w:tc>
          <w:tcPr>
            <w:tcW w:w="1220" w:type="dxa"/>
            <w:vAlign w:val="bottom"/>
            <w:tcBorders>
              <w:top w:val="single" w:sz="8" w:color="0000EE"/>
            </w:tcBorders>
            <w:gridSpan w:val="7"/>
          </w:tcPr>
          <w:p>
            <w:pPr>
              <w:spacing w:after="0"/>
              <w:rPr>
                <w:sz w:val="16"/>
                <w:szCs w:val="16"/>
                <w:color w:val="auto"/>
              </w:rPr>
            </w:pPr>
          </w:p>
        </w:tc>
      </w:tr>
      <w:tr>
        <w:trPr>
          <w:trHeight w:val="394"/>
        </w:trPr>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28*</w:t>
            </w:r>
          </w:p>
        </w:tc>
        <w:tc>
          <w:tcPr>
            <w:tcW w:w="66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Form of Apollo Management Incentive Plan (“Apollo MIP”) and Form of Restricted Stock Units Agreement and Form of Notice under the</w:t>
            </w:r>
          </w:p>
        </w:tc>
      </w:tr>
      <w:tr>
        <w:trPr>
          <w:trHeight w:val="187"/>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80" w:type="dxa"/>
            <w:vAlign w:val="bottom"/>
            <w:tcBorders>
              <w:bottom w:val="single" w:sz="8" w:color="0000EE"/>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EE"/>
              </w:rPr>
              <w:t>Company’s 2022 Long-Term Incentive Plan.</w:t>
            </w:r>
          </w:p>
        </w:tc>
        <w:tc>
          <w:tcPr>
            <w:tcW w:w="7020" w:type="dxa"/>
            <w:vAlign w:val="bottom"/>
            <w:gridSpan w:val="14"/>
          </w:tcPr>
          <w:p>
            <w:pPr>
              <w:spacing w:after="0"/>
              <w:rPr>
                <w:sz w:val="16"/>
                <w:szCs w:val="16"/>
                <w:color w:val="auto"/>
              </w:rPr>
            </w:pPr>
          </w:p>
        </w:tc>
      </w:tr>
      <w:tr>
        <w:trPr>
          <w:trHeight w:val="394"/>
        </w:trPr>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29*</w:t>
            </w:r>
          </w:p>
        </w:tc>
        <w:tc>
          <w:tcPr>
            <w:tcW w:w="66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“Bright Future” Form of Restricted Stock Units Agreement (100% at 2YR/Apollo) and Form of Notice under the Company’s 2022 Long-Term</w:t>
            </w:r>
          </w:p>
        </w:tc>
      </w:tr>
      <w:tr>
        <w:trPr>
          <w:trHeight w:val="187"/>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10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0000EE"/>
              </w:rPr>
              <w:t>Incentive Plan.</w:t>
            </w:r>
          </w:p>
        </w:tc>
      </w:tr>
      <w:tr>
        <w:trPr>
          <w:trHeight w:val="20"/>
        </w:trPr>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4"/>
        </w:trPr>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30*</w:t>
            </w:r>
          </w:p>
        </w:tc>
        <w:tc>
          <w:tcPr>
            <w:tcW w:w="66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“Bright Future” Form of Restricted Stock Units Agreement (50% at 2YR/50% at 3YR) and Form of Notice under the Company’s 2022 Long-</w:t>
            </w:r>
          </w:p>
        </w:tc>
      </w:tr>
      <w:tr>
        <w:trPr>
          <w:trHeight w:val="187"/>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Borders>
              <w:bottom w:val="single" w:sz="8" w:color="0000EE"/>
            </w:tcBorders>
            <w:gridSpan w:val="3"/>
          </w:tcPr>
          <w:p>
            <w:pPr>
              <w:spacing w:after="0" w:line="187" w:lineRule="exact"/>
              <w:rPr>
                <w:sz w:val="20"/>
                <w:szCs w:val="20"/>
                <w:color w:val="auto"/>
              </w:rPr>
            </w:pPr>
            <w:r>
              <w:rPr>
                <w:rFonts w:ascii="Times New Roman" w:cs="Times New Roman" w:eastAsia="Times New Roman" w:hAnsi="Times New Roman"/>
                <w:sz w:val="17"/>
                <w:szCs w:val="17"/>
                <w:color w:val="0000EE"/>
                <w:w w:val="99"/>
              </w:rPr>
              <w:t>Term Incentive Plan.</w:t>
            </w:r>
          </w:p>
        </w:tc>
        <w:tc>
          <w:tcPr>
            <w:tcW w:w="8660" w:type="dxa"/>
            <w:vAlign w:val="bottom"/>
            <w:gridSpan w:val="15"/>
          </w:tcPr>
          <w:p>
            <w:pPr>
              <w:spacing w:after="0"/>
              <w:rPr>
                <w:sz w:val="16"/>
                <w:szCs w:val="16"/>
                <w:color w:val="auto"/>
              </w:rPr>
            </w:pPr>
          </w:p>
        </w:tc>
      </w:tr>
      <w:tr>
        <w:trPr>
          <w:trHeight w:val="414"/>
        </w:trPr>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31*</w:t>
            </w:r>
          </w:p>
        </w:tc>
        <w:tc>
          <w:tcPr>
            <w:tcW w:w="66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“Bright Future” Form of Restricted Stock Units Agreement (50% at 3YR and 50% at 4YR) and Form of Notice under the Registrants 2022 Long-</w:t>
            </w:r>
          </w:p>
        </w:tc>
      </w:tr>
      <w:tr>
        <w:trPr>
          <w:trHeight w:val="167"/>
        </w:trPr>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Borders>
              <w:bottom w:val="single" w:sz="8" w:color="0000EE"/>
            </w:tcBorders>
            <w:gridSpan w:val="3"/>
          </w:tcPr>
          <w:p>
            <w:pPr>
              <w:spacing w:after="0" w:line="167" w:lineRule="exact"/>
              <w:rPr>
                <w:sz w:val="20"/>
                <w:szCs w:val="20"/>
                <w:color w:val="auto"/>
              </w:rPr>
            </w:pPr>
            <w:r>
              <w:rPr>
                <w:rFonts w:ascii="Times New Roman" w:cs="Times New Roman" w:eastAsia="Times New Roman" w:hAnsi="Times New Roman"/>
                <w:sz w:val="17"/>
                <w:szCs w:val="17"/>
                <w:color w:val="0000EE"/>
                <w:w w:val="99"/>
              </w:rPr>
              <w:t>Term Incentive Plan.</w:t>
            </w:r>
          </w:p>
        </w:tc>
        <w:tc>
          <w:tcPr>
            <w:tcW w:w="8660" w:type="dxa"/>
            <w:vAlign w:val="bottom"/>
            <w:gridSpan w:val="15"/>
          </w:tcPr>
          <w:p>
            <w:pPr>
              <w:spacing w:after="0"/>
              <w:rPr>
                <w:sz w:val="14"/>
                <w:szCs w:val="14"/>
                <w:color w:val="auto"/>
              </w:rPr>
            </w:pPr>
          </w:p>
        </w:tc>
      </w:tr>
      <w:tr>
        <w:trPr>
          <w:trHeight w:val="394"/>
        </w:trPr>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32*</w:t>
            </w:r>
          </w:p>
        </w:tc>
        <w:tc>
          <w:tcPr>
            <w:tcW w:w="66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“Bright Future” Form of Restricted Stock Units (100% at 2YR/SKWD) Agreement and Form of Notice under the Registrants 2022 Long-Term</w:t>
            </w:r>
          </w:p>
        </w:tc>
      </w:tr>
      <w:tr>
        <w:trPr>
          <w:trHeight w:val="187"/>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10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0000EE"/>
              </w:rPr>
              <w:t>Incentive Plan.</w:t>
            </w:r>
          </w:p>
        </w:tc>
      </w:tr>
      <w:tr>
        <w:trPr>
          <w:trHeight w:val="20"/>
        </w:trPr>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4"/>
        </w:trPr>
        <w:tc>
          <w:tcPr>
            <w:tcW w:w="4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33*</w:t>
            </w:r>
          </w:p>
        </w:tc>
        <w:tc>
          <w:tcPr>
            <w:tcW w:w="66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Amended Form of Performance Share (Others) Agreement and Form of Notice under the Company’s 2022 Long-Term Incentive Plan</w:t>
            </w:r>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700" w:type="dxa"/>
            <w:vAlign w:val="bottom"/>
            <w:gridSpan w:val="8"/>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4"/>
        </w:trPr>
        <w:tc>
          <w:tcPr>
            <w:tcW w:w="4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34*</w:t>
            </w:r>
          </w:p>
        </w:tc>
        <w:tc>
          <w:tcPr>
            <w:tcW w:w="66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Amended Form of Performance Share (Executives) Agreement and Form of Notice under the Company’s 2022 Long-Term Incentive Plan.</w:t>
            </w:r>
          </w:p>
        </w:tc>
      </w:tr>
      <w:tr>
        <w:trPr>
          <w:trHeight w:val="394"/>
        </w:trPr>
        <w:tc>
          <w:tcPr>
            <w:tcW w:w="4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35*</w:t>
            </w:r>
          </w:p>
        </w:tc>
        <w:tc>
          <w:tcPr>
            <w:tcW w:w="660" w:type="dxa"/>
            <w:vAlign w:val="bottom"/>
          </w:tcPr>
          <w:p>
            <w:pPr>
              <w:spacing w:after="0"/>
              <w:rPr>
                <w:sz w:val="24"/>
                <w:szCs w:val="24"/>
                <w:color w:val="auto"/>
              </w:rPr>
            </w:pPr>
          </w:p>
        </w:tc>
        <w:tc>
          <w:tcPr>
            <w:tcW w:w="88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Amended Form of Long-Term Performance Cash Plan and Award Letter under the Company’s 2022 Long-Term Incentive Plan.</w:t>
            </w:r>
          </w:p>
        </w:tc>
        <w:tc>
          <w:tcPr>
            <w:tcW w:w="740" w:type="dxa"/>
            <w:vAlign w:val="bottom"/>
            <w:tcBorders>
              <w:top w:val="single" w:sz="8" w:color="0000EE"/>
            </w:tcBorders>
            <w:gridSpan w:val="6"/>
          </w:tcPr>
          <w:p>
            <w:pPr>
              <w:spacing w:after="0"/>
              <w:rPr>
                <w:sz w:val="24"/>
                <w:szCs w:val="24"/>
                <w:color w:val="auto"/>
              </w:rPr>
            </w:pPr>
          </w:p>
        </w:tc>
        <w:tc>
          <w:tcPr>
            <w:tcW w:w="540" w:type="dxa"/>
            <w:vAlign w:val="bottom"/>
            <w:gridSpan w:val="2"/>
          </w:tcPr>
          <w:p>
            <w:pPr>
              <w:spacing w:after="0"/>
              <w:rPr>
                <w:sz w:val="24"/>
                <w:szCs w:val="24"/>
                <w:color w:val="auto"/>
              </w:rPr>
            </w:pPr>
          </w:p>
        </w:tc>
      </w:tr>
      <w:tr>
        <w:trPr>
          <w:trHeight w:val="394"/>
        </w:trPr>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99.</w:t>
            </w:r>
            <w:r>
              <w:rPr>
                <w:rFonts w:ascii="Times New Roman" w:cs="Times New Roman" w:eastAsia="Times New Roman" w:hAnsi="Times New Roman"/>
                <w:sz w:val="17"/>
                <w:szCs w:val="17"/>
                <w:u w:val="single" w:color="auto"/>
                <w:color w:val="0000EE"/>
                <w:w w:val="98"/>
              </w:rPr>
              <w:t>36*</w:t>
            </w:r>
          </w:p>
        </w:tc>
        <w:tc>
          <w:tcPr>
            <w:tcW w:w="660" w:type="dxa"/>
            <w:vAlign w:val="bottom"/>
          </w:tcPr>
          <w:p>
            <w:pPr>
              <w:spacing w:after="0"/>
              <w:rPr>
                <w:sz w:val="24"/>
                <w:szCs w:val="24"/>
                <w:color w:val="auto"/>
              </w:rPr>
            </w:pPr>
          </w:p>
        </w:tc>
        <w:tc>
          <w:tcPr>
            <w:tcW w:w="98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Amended Form of Restricted Stock Units (Executives) Agreement and Form of Notice under the Company’s 2022 Long-Term Incentive Plan.</w:t>
            </w:r>
          </w:p>
        </w:tc>
        <w:tc>
          <w:tcPr>
            <w:tcW w:w="300" w:type="dxa"/>
            <w:vAlign w:val="bottom"/>
          </w:tcPr>
          <w:p>
            <w:pPr>
              <w:spacing w:after="0"/>
              <w:rPr>
                <w:sz w:val="24"/>
                <w:szCs w:val="24"/>
                <w:color w:val="auto"/>
              </w:rPr>
            </w:pPr>
          </w:p>
        </w:tc>
      </w:tr>
      <w:tr>
        <w:trPr>
          <w:trHeight w:val="394"/>
        </w:trPr>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107*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7"/>
              </w:rPr>
              <w:t>Filing Fee Table</w:t>
            </w:r>
          </w:p>
        </w:tc>
        <w:tc>
          <w:tcPr>
            <w:tcW w:w="8980" w:type="dxa"/>
            <w:vAlign w:val="bottom"/>
            <w:gridSpan w:val="16"/>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Houston, Texas, on March 3,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By</w:t>
        <w:tab/>
        <w:t>/s/ Andrew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19050</wp:posOffset>
            </wp:positionV>
            <wp:extent cx="3347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Andrew Robinson</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of the undersigned officers and directors of Skyward Specialty Insurance Group, Inc. hereby constitutes and appoints Andrew Robinson, Mark Haushill and Patricia Ryan,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Skyward Specialty Insurance Group, Inc. on Form S-8,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ind w:left="12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22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Andrew Robinson</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Andrew Robinson</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Mark Haushill</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Mark Haushill</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Gena Ashe</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Gena Ashe</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Robert Creager</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Robert Creager</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Marcia Dall</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Marcia Dall</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Hays</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James Hays</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Anthony J. Kuczinski</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Anthony J. Kuczinski</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Morrissey</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Michael Morrissey</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Katharine Terry</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Katharine Terry</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Christopher L. Peirce</w:t>
            </w:r>
          </w:p>
        </w:tc>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March 3, 2026</w:t>
            </w:r>
          </w:p>
        </w:tc>
      </w:tr>
      <w:tr>
        <w:trPr>
          <w:trHeight w:val="21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Christopher L. Peirce</w:t>
            </w:r>
          </w:p>
        </w:tc>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629"/>
        </w:trPr>
        <w:tc>
          <w:tcPr>
            <w:tcW w:w="31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5" w:name="page6"/>
    <w:bookmarkEnd w:id="5"/>
    <w:p>
      <w:pPr>
        <w:ind w:left="1044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1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945515" cy="559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extLst>
                    </a:blip>
                    <a:srcRect/>
                    <a:stretch>
                      <a:fillRect/>
                    </a:stretch>
                  </pic:blipFill>
                  <pic:spPr bwMode="auto">
                    <a:xfrm>
                      <a:off x="0" y="0"/>
                      <a:ext cx="945515" cy="559435"/>
                    </a:xfrm>
                    <a:prstGeom prst="rect">
                      <a:avLst/>
                    </a:prstGeom>
                    <a:noFill/>
                  </pic:spPr>
                </pic:pic>
              </a:graphicData>
            </a:graphic>
          </wp:anchor>
        </w:drawing>
      </w:r>
    </w:p>
    <w:p>
      <w:pPr>
        <w:ind w:left="9000"/>
        <w:spacing w:after="0" w:line="208" w:lineRule="auto"/>
        <w:rPr>
          <w:sz w:val="20"/>
          <w:szCs w:val="20"/>
          <w:color w:val="auto"/>
        </w:rPr>
      </w:pPr>
      <w:r>
        <w:rPr>
          <w:rFonts w:ascii="Times New Roman" w:cs="Times New Roman" w:eastAsia="Times New Roman" w:hAnsi="Times New Roman"/>
          <w:sz w:val="17"/>
          <w:szCs w:val="17"/>
          <w:b w:val="1"/>
          <w:bCs w:val="1"/>
          <w:color w:val="auto"/>
        </w:rPr>
        <w:t>701 5</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Ave #6900</w:t>
      </w:r>
    </w:p>
    <w:p>
      <w:pPr>
        <w:spacing w:after="0" w:line="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b w:val="1"/>
          <w:bCs w:val="1"/>
          <w:color w:val="auto"/>
        </w:rPr>
        <w:t>Seattle, Washington 98104</w:t>
      </w:r>
    </w:p>
    <w:p>
      <w:pPr>
        <w:spacing w:after="0" w:line="10"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www.dlapiper.com</w:t>
      </w:r>
    </w:p>
    <w:p>
      <w:pPr>
        <w:spacing w:after="0" w:line="1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b w:val="1"/>
          <w:bCs w:val="1"/>
          <w:color w:val="auto"/>
        </w:rPr>
        <w:t xml:space="preserve">T </w:t>
      </w:r>
      <w:r>
        <w:rPr>
          <w:rFonts w:ascii="Times New Roman" w:cs="Times New Roman" w:eastAsia="Times New Roman" w:hAnsi="Times New Roman"/>
          <w:sz w:val="17"/>
          <w:szCs w:val="17"/>
          <w:color w:val="auto"/>
        </w:rPr>
        <w:t>206.839.4800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Skyward Specialty Insurance Group,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800 Gessner Road, Suite 600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TX 77024-4284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Registration Statement on Form S-8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acted as counsel to Skyward Specialty Insurance Group,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preparation and filing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Registration 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by the Company with the Securities and Exchange Commission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with respect to the issuance from time to time of up to an aggregate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858,647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Company’s common stock, par value $0.01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pursuant to awards granted or to be granted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Skyward Specialty Insurance Group, Inc. 2022 Long-Term Incentive Plan (the “</w:t>
      </w:r>
      <w:r>
        <w:rPr>
          <w:rFonts w:ascii="Times New Roman" w:cs="Times New Roman" w:eastAsia="Times New Roman" w:hAnsi="Times New Roman"/>
          <w:sz w:val="17"/>
          <w:szCs w:val="17"/>
          <w:b w:val="1"/>
          <w:bCs w:val="1"/>
          <w:color w:val="auto"/>
        </w:rPr>
        <w:t>2022 Plan</w:t>
      </w:r>
      <w:r>
        <w:rPr>
          <w:rFonts w:ascii="Times New Roman" w:cs="Times New Roman" w:eastAsia="Times New Roman" w:hAnsi="Times New Roman"/>
          <w:sz w:val="17"/>
          <w:szCs w:val="17"/>
          <w:color w:val="auto"/>
        </w:rPr>
        <w:t>”) and the Skyward Specialty Insurance Group, Inc. 2022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Stock Purchase Plan (the “</w:t>
      </w:r>
      <w:r>
        <w:rPr>
          <w:rFonts w:ascii="Times New Roman" w:cs="Times New Roman" w:eastAsia="Times New Roman" w:hAnsi="Times New Roman"/>
          <w:sz w:val="17"/>
          <w:szCs w:val="17"/>
          <w:b w:val="1"/>
          <w:bCs w:val="1"/>
          <w:color w:val="auto"/>
        </w:rPr>
        <w:t>ESPP</w:t>
      </w:r>
      <w:r>
        <w:rPr>
          <w:rFonts w:ascii="Times New Roman" w:cs="Times New Roman" w:eastAsia="Times New Roman" w:hAnsi="Times New Roman"/>
          <w:sz w:val="17"/>
          <w:szCs w:val="17"/>
          <w:color w:val="auto"/>
        </w:rPr>
        <w:t>,” and together with the 2022 Plan, the “</w:t>
      </w:r>
      <w:r>
        <w:rPr>
          <w:rFonts w:ascii="Times New Roman" w:cs="Times New Roman" w:eastAsia="Times New Roman" w:hAnsi="Times New Roman"/>
          <w:sz w:val="17"/>
          <w:szCs w:val="17"/>
          <w:b w:val="1"/>
          <w:bCs w:val="1"/>
          <w:color w:val="auto"/>
        </w:rPr>
        <w:t>Plans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opinion is being furnished in accordance with the requirements of Item 8 of Form S-8 and Item 601(b)(5)(i) of Regulation S-K.</w:t>
      </w: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We have examined such instruments, documents and records as we deemed relevant and necessary for the basis of our opinion hereinafter expressed. In such examination, we have assumed the genuineness of all signatures,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of officers of the Company. We express no opinion concerning any law other than the laws of the State of Delaware.</w:t>
      </w:r>
    </w:p>
    <w:p>
      <w:pPr>
        <w:spacing w:after="0" w:line="169"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On the basis of the foregoing, we are of the opinion that, when the Shares are issued and paid for in accordance with the terms of the Plans, they will be validly issued, fully paid and nonassessable.</w:t>
      </w:r>
    </w:p>
    <w:p>
      <w:pPr>
        <w:spacing w:after="0" w:line="14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5.1 to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 DLA Piper LLP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2022 Long-Term Incentive Plan and the 2022 Employee Stock Purchase Plan of Skyward Specialty Insurance Group, Inc. of our reports dated March 2, 2026, with respect to the consolidated financial statements of Skyward Specialty Insurance Group, Inc. and the effectiveness of internal control over financial reporting of Skyward Specialty Insurance Group, Inc. included in its Annual Report (Form 10-K) for the year ended December 31, 2025, filed with the Securities and Exchange Commission.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 w:name="page8"/>
    <w:bookmarkEnd w:id="7"/>
    <w:p>
      <w:pPr>
        <w:ind w:left="10100"/>
        <w:spacing w:after="0"/>
        <w:rPr>
          <w:sz w:val="20"/>
          <w:szCs w:val="20"/>
          <w:color w:val="auto"/>
        </w:rPr>
      </w:pPr>
      <w:r>
        <w:rPr>
          <w:rFonts w:ascii="Times New Roman" w:cs="Times New Roman" w:eastAsia="Times New Roman" w:hAnsi="Times New Roman"/>
          <w:sz w:val="20"/>
          <w:szCs w:val="20"/>
          <w:b w:val="1"/>
          <w:bCs w:val="1"/>
          <w:i w:val="1"/>
          <w:iCs w:val="1"/>
          <w:color w:val="auto"/>
        </w:rPr>
        <w:t>Exhibit 99.28</w:t>
      </w:r>
    </w:p>
    <w:p>
      <w:pPr>
        <w:spacing w:after="0" w:line="224" w:lineRule="exact"/>
        <w:rPr>
          <w:sz w:val="20"/>
          <w:szCs w:val="20"/>
          <w:color w:val="auto"/>
        </w:rPr>
      </w:pPr>
    </w:p>
    <w:p>
      <w:pPr>
        <w:jc w:val="center"/>
        <w:ind w:left="340" w:right="540"/>
        <w:spacing w:after="0" w:line="273" w:lineRule="auto"/>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15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b w:val="1"/>
          <w:bCs w:val="1"/>
          <w:i w:val="1"/>
          <w:iCs w:val="1"/>
          <w:color w:val="auto"/>
        </w:rPr>
        <w:t>Apollo Management Incentive Program (“Apollo MIP”)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800 Gessner Road, Suite 600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Houston, Texas 77024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00"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Chair of </w:t>
      </w:r>
      <w:r>
        <w:rPr>
          <w:rFonts w:ascii="Times New Roman" w:cs="Times New Roman" w:eastAsia="Times New Roman" w:hAnsi="Times New Roman"/>
          <w:sz w:val="17"/>
          <w:szCs w:val="17"/>
          <w:b w:val="1"/>
          <w:bCs w:val="1"/>
          <w:color w:val="auto"/>
        </w:rPr>
        <w:t>Apollo Group Holdings Limited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AGHL</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Ibeson, as representative of the Management Sellers and the Minority Sellers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Chair of the Remuneration Committee of </w:t>
      </w:r>
      <w:r>
        <w:rPr>
          <w:rFonts w:ascii="Times New Roman" w:cs="Times New Roman" w:eastAsia="Times New Roman" w:hAnsi="Times New Roman"/>
          <w:sz w:val="17"/>
          <w:szCs w:val="17"/>
          <w:b w:val="1"/>
          <w:bCs w:val="1"/>
          <w:color w:val="auto"/>
        </w:rPr>
        <w:t>Apollo Syndicate Management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Bishopsgate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London, United Kingdom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EC2N 3AQ</w:t>
      </w:r>
    </w:p>
    <w:p>
      <w:pPr>
        <w:spacing w:after="0" w:line="19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u w:val="single" w:color="auto"/>
          <w:color w:val="auto"/>
        </w:rPr>
        <w:t>Re: RSU Grant Agreement – Issuance of restricted stock units (RSUs) of the Company pursuant to the Skyward Specialty Insurance Group, Inc. 2022 Long-Term Incentive Plan (the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Background</w:t>
      </w:r>
    </w:p>
    <w:p>
      <w:pPr>
        <w:spacing w:after="0" w:line="219" w:lineRule="exact"/>
        <w:rPr>
          <w:sz w:val="20"/>
          <w:szCs w:val="20"/>
          <w:color w:val="auto"/>
        </w:rPr>
      </w:pPr>
    </w:p>
    <w:p>
      <w:pPr>
        <w:ind w:left="620" w:hanging="616"/>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is made to the following documents:</w:t>
      </w:r>
    </w:p>
    <w:p>
      <w:pPr>
        <w:spacing w:after="0" w:line="218" w:lineRule="exact"/>
        <w:rPr>
          <w:rFonts w:ascii="Times New Roman" w:cs="Times New Roman" w:eastAsia="Times New Roman" w:hAnsi="Times New Roman"/>
          <w:sz w:val="17"/>
          <w:szCs w:val="17"/>
          <w:color w:val="auto"/>
        </w:rPr>
      </w:pPr>
    </w:p>
    <w:p>
      <w:pPr>
        <w:ind w:left="1240" w:hanging="615"/>
        <w:spacing w:after="0" w:line="291" w:lineRule="auto"/>
        <w:tabs>
          <w:tab w:leader="none" w:pos="12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sale and purchase agreements dated on or around 2 September 2025 entered into between the Company, AGHL and others in respect of the acquisition of the entire issued share capital of AGHL by the Company (the </w:t>
      </w:r>
      <w:r>
        <w:rPr>
          <w:rFonts w:ascii="Times New Roman" w:cs="Times New Roman" w:eastAsia="Times New Roman" w:hAnsi="Times New Roman"/>
          <w:sz w:val="17"/>
          <w:szCs w:val="17"/>
          <w:b w:val="1"/>
          <w:bCs w:val="1"/>
          <w:color w:val="auto"/>
        </w:rPr>
        <w:t>SPAs</w:t>
      </w:r>
      <w:r>
        <w:rPr>
          <w:rFonts w:ascii="Times New Roman" w:cs="Times New Roman" w:eastAsia="Times New Roman" w:hAnsi="Times New Roman"/>
          <w:sz w:val="17"/>
          <w:szCs w:val="17"/>
          <w:color w:val="auto"/>
        </w:rPr>
        <w:t>); and</w:t>
      </w:r>
    </w:p>
    <w:p>
      <w:pPr>
        <w:spacing w:after="0" w:line="145" w:lineRule="exact"/>
        <w:rPr>
          <w:rFonts w:ascii="Times New Roman" w:cs="Times New Roman" w:eastAsia="Times New Roman" w:hAnsi="Times New Roman"/>
          <w:sz w:val="17"/>
          <w:szCs w:val="17"/>
          <w:color w:val="auto"/>
        </w:rPr>
      </w:pPr>
    </w:p>
    <w:p>
      <w:pPr>
        <w:ind w:left="1240" w:hanging="615"/>
        <w:spacing w:after="0"/>
        <w:tabs>
          <w:tab w:leader="none" w:pos="12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Skyward Specialty 2022 Long Term Incentive Plan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7"/>
          <w:szCs w:val="17"/>
          <w:color w:val="auto"/>
        </w:rPr>
        <w:t>Any reference herein to any document or agreement shall apply to any amendment or restatement thereof. Capitalised terms used but not defined herein shall have the meanings given to them in the SPAs.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RSU Grant</w:t>
      </w:r>
    </w:p>
    <w:p>
      <w:pPr>
        <w:spacing w:after="0" w:line="219" w:lineRule="exact"/>
        <w:rPr>
          <w:sz w:val="20"/>
          <w:szCs w:val="20"/>
          <w:color w:val="auto"/>
        </w:rPr>
      </w:pPr>
    </w:p>
    <w:p>
      <w:pPr>
        <w:jc w:val="both"/>
        <w:ind w:left="620" w:hanging="616"/>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practicable following Completion and approval of the Company’s Compensation Committee (in its capacity as the 'Administrator' of the Plan) (at the scheduled Q1 2026 meeting of the committee), the Company shall issue RSU notices (the </w:t>
      </w:r>
      <w:r>
        <w:rPr>
          <w:rFonts w:ascii="Times New Roman" w:cs="Times New Roman" w:eastAsia="Times New Roman" w:hAnsi="Times New Roman"/>
          <w:sz w:val="17"/>
          <w:szCs w:val="17"/>
          <w:b w:val="1"/>
          <w:bCs w:val="1"/>
          <w:color w:val="auto"/>
        </w:rPr>
        <w:t>RSU Notices</w:t>
      </w:r>
      <w:r>
        <w:rPr>
          <w:rFonts w:ascii="Times New Roman" w:cs="Times New Roman" w:eastAsia="Times New Roman" w:hAnsi="Times New Roman"/>
          <w:sz w:val="17"/>
          <w:szCs w:val="17"/>
          <w:color w:val="auto"/>
        </w:rPr>
        <w:t xml:space="preserve">) evidencing the award of RSUs having an aggregate value of [***] to those individuals listed in Schedule A to this RSU Grant Agreement and in the proportions set out in Schedule A (the award of RSUs to such individuals being the </w:t>
      </w:r>
      <w:r>
        <w:rPr>
          <w:rFonts w:ascii="Times New Roman" w:cs="Times New Roman" w:eastAsia="Times New Roman" w:hAnsi="Times New Roman"/>
          <w:sz w:val="17"/>
          <w:szCs w:val="17"/>
          <w:b w:val="1"/>
          <w:bCs w:val="1"/>
          <w:color w:val="auto"/>
        </w:rPr>
        <w:t>RSU Grant</w:t>
      </w:r>
      <w:r>
        <w:rPr>
          <w:rFonts w:ascii="Times New Roman" w:cs="Times New Roman" w:eastAsia="Times New Roman" w:hAnsi="Times New Roman"/>
          <w:sz w:val="17"/>
          <w:szCs w:val="17"/>
          <w:color w:val="auto"/>
        </w:rPr>
        <w:t>), in accordance with and subject to the terms of the Plan, as supplemented by this RSU Grant Agreement, and in each case subject to paragraphs 3 and 4 and subject to the relevant individuals being employees of Apollo Partners LLP and not having given notice to resign from their employment (or received notice of termination of their employment) as on the date of the grant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ind w:left="620" w:hanging="616"/>
        <w:spacing w:after="0" w:line="26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that any individual listed in Schedule A to this RSU Grant Agreement is no longer an employee of Apollo Partners LLP or has given notice to resign from their employment (or received notice of termination of their employment) on or prior to the date on which the Company proposes to grant the RSUs pursuant to the RSU Grant (any such individuals being </w:t>
      </w:r>
      <w:r>
        <w:rPr>
          <w:rFonts w:ascii="Times New Roman" w:cs="Times New Roman" w:eastAsia="Times New Roman" w:hAnsi="Times New Roman"/>
          <w:sz w:val="17"/>
          <w:szCs w:val="17"/>
          <w:b w:val="1"/>
          <w:bCs w:val="1"/>
          <w:color w:val="auto"/>
        </w:rPr>
        <w:t>Non-Qualifying Individuals</w:t>
      </w:r>
      <w:r>
        <w:rPr>
          <w:rFonts w:ascii="Times New Roman" w:cs="Times New Roman" w:eastAsia="Times New Roman" w:hAnsi="Times New Roman"/>
          <w:sz w:val="17"/>
          <w:szCs w:val="17"/>
          <w:color w:val="auto"/>
        </w:rPr>
        <w:t>), the Company shall re-allocate the RSUs so allocated to such Non-Qualifying Individual to such other employee or employees of Apollo Partners LLP (who are not Non-Qualifying Individuals) as the Company may in its sole discretion determine.</w:t>
      </w:r>
    </w:p>
    <w:p>
      <w:pPr>
        <w:spacing w:after="0" w:line="172"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RSUs to be granted to each individual listed in Schedule A may be rounded down to the nearest whole number (notwithstanding that the corresponding value of RSUs to be granted to such individual is therefore less than the amount indicated in Schedule A, and the aggregate value of RSUs to be granted pursuant to the RSU Grant is less than [***]).</w:t>
      </w:r>
    </w:p>
    <w:p>
      <w:pPr>
        <w:spacing w:after="0" w:line="161"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RSUs awarded pursuant to the RSU Grant shall vest 50% on the third anniversary of Completion and 50% on the fourth anniversary of Completion.</w:t>
      </w:r>
    </w:p>
    <w:p>
      <w:pPr>
        <w:spacing w:after="0" w:line="218"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Notices in respect of the RSU Grant shall be substantially in the form set out in Schedule B to this RSU Grant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General</w:t>
      </w:r>
    </w:p>
    <w:p>
      <w:pPr>
        <w:spacing w:after="0" w:line="219" w:lineRule="exact"/>
        <w:rPr>
          <w:sz w:val="20"/>
          <w:szCs w:val="20"/>
          <w:color w:val="auto"/>
        </w:rPr>
      </w:pPr>
    </w:p>
    <w:p>
      <w:pPr>
        <w:ind w:left="620" w:hanging="616"/>
        <w:spacing w:after="0" w:line="291"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of any conflict between the terms of this RSU Grant Agreement and the terms of the RSU Notice or the Plan, the terms of this RSU Grant Agreement shall prevail.</w:t>
      </w:r>
    </w:p>
    <w:p>
      <w:pPr>
        <w:spacing w:after="0" w:line="147" w:lineRule="exact"/>
        <w:rPr>
          <w:rFonts w:ascii="Times New Roman" w:cs="Times New Roman" w:eastAsia="Times New Roman" w:hAnsi="Times New Roman"/>
          <w:sz w:val="17"/>
          <w:szCs w:val="17"/>
          <w:color w:val="auto"/>
        </w:rPr>
      </w:pPr>
    </w:p>
    <w:p>
      <w:pPr>
        <w:ind w:left="620" w:hanging="616"/>
        <w:spacing w:after="0" w:line="291"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RSU Grant Agreement and the Plan constitute the entire agreement of the parties hereto with respect to the subject matter hereof and supersede all prior agreements and undertakings, both written and oral, among the parties herein with respect to the subject matter hereof.</w:t>
      </w:r>
    </w:p>
    <w:p>
      <w:pPr>
        <w:spacing w:after="0" w:line="147"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provision of this RSU Grant Agreement shall be invalid, illegal or unenforceable, the validity, legality and enforceability of the remaining provisions shall not in any way be affected. If, however, any provision of this letter shall be invalid, illegal, or unenforceable under any applicable laws in any jurisdiction, it shall, as to such jurisdiction, be deemed modified to conform to the minimum requirements of such law.</w:t>
      </w:r>
    </w:p>
    <w:p>
      <w:pPr>
        <w:spacing w:after="0" w:line="161"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to this RSU Grant Agreement shall from time to time and at all times hereafter make, do or execute, or cause or procure to be made, done and executed, such further acts, deeds, conveyances, consents and assurances without further consideration, which may reasonably be required to affect the transactions contemplated by this RSU Grant Agreement.</w:t>
      </w:r>
    </w:p>
    <w:p>
      <w:pPr>
        <w:spacing w:after="0" w:line="161"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RSU Grant Agreement may be executed in two or more counterparts, each of which shall be deemed an original, but all of which together shall constitute one and the same instrument. E-mailed copies of signatures shall be deemed to be originals for purposes of the effectiveness of this RSU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 w:name="page10"/>
    <w:bookmarkEnd w:id="9"/>
    <w:p>
      <w:pPr>
        <w:jc w:val="both"/>
        <w:ind w:left="616" w:hanging="616"/>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RSU Grant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 save that David Ibeson shall have the right to enforce this RSU Grant Agreement in his capacity as representative of the Management Sellers and the Minority Sellers.</w:t>
      </w:r>
    </w:p>
    <w:p>
      <w:pPr>
        <w:spacing w:after="0" w:line="169" w:lineRule="exact"/>
        <w:rPr>
          <w:rFonts w:ascii="Times New Roman" w:cs="Times New Roman" w:eastAsia="Times New Roman" w:hAnsi="Times New Roman"/>
          <w:sz w:val="17"/>
          <w:szCs w:val="17"/>
          <w:color w:val="auto"/>
        </w:rPr>
      </w:pPr>
    </w:p>
    <w:p>
      <w:pPr>
        <w:jc w:val="both"/>
        <w:ind w:left="616" w:hanging="616"/>
        <w:spacing w:after="0" w:line="25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RSU Grant Agreement and any dispute or controversy arising out of or relating to this RSU Grant Agreement shall be governed by and construed in accordance with the laws of the State of Delaware, without regard to the conflict of law principles thereof. All proceedings arising out of or relating to this RSU Grant Agreement shall be heard and determined exclusively in any state or federal court located in Delaware (or in any appellate courts thereof) (the </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 Each party hereto hereby (i) submits to the exclusive jurisdiction of any Specified Court for the purpose of any proceeding arising out of or relating to this RSU Grant Agreement brought by any party hereto and (ii) irrevocably waives, and agrees not to assert by way of motion, defense or otherwise, in any such proceeding, any claim that it is not subject personally to the jurisdiction of the above-named courts, that its property is exempt or immune from attachment or execution, that the proceeding is brought in an inconvenient forum, that the venue of the proceeding is improper, or that this RSU Grant Agreement or the transactions contemplated hereby may not be enforced in or by any Specified Court. Each party agrees that a final judgment in any proceeding shall be conclusive and may be enforced in other jurisdictions by suit on the judgment or in any other manner provided by Law. Each party irrevocably consents to the service of the summons and complaint and any other process in any other action or proceeding relating to the transactions contemplated by this RSU Grant Agreement, on behalf of itself, or its property, by personal delivery of copies of such process to such party at their registered office address. Nothing in this paragraph 13 shall affect the right of any party to serve legal process in any other manner permitted by applicable law.</w:t>
      </w:r>
    </w:p>
    <w:p>
      <w:pPr>
        <w:spacing w:after="0" w:line="179" w:lineRule="exact"/>
        <w:rPr>
          <w:rFonts w:ascii="Times New Roman" w:cs="Times New Roman" w:eastAsia="Times New Roman" w:hAnsi="Times New Roman"/>
          <w:sz w:val="17"/>
          <w:szCs w:val="17"/>
          <w:color w:val="auto"/>
        </w:rPr>
      </w:pPr>
    </w:p>
    <w:p>
      <w:pPr>
        <w:jc w:val="both"/>
        <w:ind w:left="616" w:hanging="616"/>
        <w:spacing w:after="0" w:line="262"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HERETO HEREBY WAIVES TO THE FULLEST EXTENT PERMITTED BY APPLICABLE LAW ANY RIGHT IT MAY HAVE TO A TRIAL BY JURY WITH RESPECT TO ANY ACTION DIRECTLY OR INDIRECTLY ARISING OUT OF, UNDER OR IN CONNECTION WITH THIS RSU GRANT AGREEMENT OR THE TRANSACTIONS CONTEMPLATED HEREBY. EACH PARTY HERETO</w:t>
      </w:r>
    </w:p>
    <w:p>
      <w:pPr>
        <w:jc w:val="both"/>
        <w:ind w:left="616" w:firstLine="5"/>
        <w:spacing w:after="0" w:line="254" w:lineRule="auto"/>
        <w:tabs>
          <w:tab w:leader="none" w:pos="84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CERTIFIES THAT NO REPRESENTATIVE OF ANY OTHER PARTY HAS REPRESENTED, EXPRESSLY OR OTHERWISE, THAT SUCH OTHER PARTY WOULD NOT, IN THE EVENT OF ANY ACTION, SEEK TO ENFORCE THAT FOREGOING WAIVER AND</w:t>
      </w:r>
    </w:p>
    <w:p>
      <w:pPr>
        <w:ind w:left="616" w:firstLine="5"/>
        <w:spacing w:after="0" w:line="268" w:lineRule="auto"/>
        <w:tabs>
          <w:tab w:leader="none" w:pos="90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ACKNOWLEDGES THAT IT AND THE OTHER PARTIES HERETO HAVE BEEN INDUCED TO ENTER INTO THIS RSU GRANT AGREEMENT BY, AMONG OTHER THINGS, THE MUTUAL WAIVERS AND CERTIFICATIONS IN THIS PARAGRAPH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36"/>
          </w:cols>
          <w:pgMar w:left="324" w:top="87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Further Equity/Long Term Incentive Plan (</w:t>
      </w:r>
      <w:r>
        <w:rPr>
          <w:rFonts w:ascii="Times New Roman" w:cs="Times New Roman" w:eastAsia="Times New Roman" w:hAnsi="Times New Roman"/>
          <w:sz w:val="17"/>
          <w:szCs w:val="17"/>
          <w:b w:val="1"/>
          <w:bCs w:val="1"/>
          <w:u w:val="single" w:color="auto"/>
          <w:color w:val="auto"/>
        </w:rPr>
        <w:t>LTIP</w:t>
      </w:r>
      <w:r>
        <w:rPr>
          <w:rFonts w:ascii="Times New Roman" w:cs="Times New Roman" w:eastAsia="Times New Roman" w:hAnsi="Times New Roman"/>
          <w:sz w:val="17"/>
          <w:szCs w:val="17"/>
          <w:u w:val="single" w:color="auto"/>
          <w:color w:val="auto"/>
        </w:rPr>
        <w:t>) Grants</w:t>
      </w:r>
    </w:p>
    <w:p>
      <w:pPr>
        <w:spacing w:after="0" w:line="221" w:lineRule="exact"/>
        <w:rPr>
          <w:sz w:val="20"/>
          <w:szCs w:val="20"/>
          <w:color w:val="auto"/>
        </w:rPr>
      </w:pPr>
    </w:p>
    <w:p>
      <w:pPr>
        <w:ind w:left="620" w:hanging="616"/>
        <w:spacing w:after="0" w:line="291"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above, and subject in each case to approval of the Company’s Compensation Committee (in its capacity as the 'Administrator' of the Plan), it is intended that the Company shall:</w:t>
      </w:r>
    </w:p>
    <w:p>
      <w:pPr>
        <w:spacing w:after="0" w:line="147" w:lineRule="exact"/>
        <w:rPr>
          <w:rFonts w:ascii="Times New Roman" w:cs="Times New Roman" w:eastAsia="Times New Roman" w:hAnsi="Times New Roman"/>
          <w:sz w:val="17"/>
          <w:szCs w:val="17"/>
          <w:color w:val="auto"/>
        </w:rPr>
      </w:pPr>
    </w:p>
    <w:p>
      <w:pPr>
        <w:ind w:left="1240" w:hanging="615"/>
        <w:spacing w:after="0" w:line="291" w:lineRule="auto"/>
        <w:tabs>
          <w:tab w:leader="none" w:pos="12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Q1 2027 meeting of the Company's Compensation Committee, issue LTIP awards to eligible employees evidencing the award of a further number of LTIP awards having a value (in aggregate across all such LTIP awards) of not less than [***]; and</w:t>
      </w:r>
    </w:p>
    <w:p>
      <w:pPr>
        <w:spacing w:after="0" w:line="147" w:lineRule="exact"/>
        <w:rPr>
          <w:rFonts w:ascii="Times New Roman" w:cs="Times New Roman" w:eastAsia="Times New Roman" w:hAnsi="Times New Roman"/>
          <w:sz w:val="17"/>
          <w:szCs w:val="17"/>
          <w:color w:val="auto"/>
        </w:rPr>
      </w:pPr>
    </w:p>
    <w:p>
      <w:pPr>
        <w:ind w:left="1240" w:hanging="615"/>
        <w:spacing w:after="0" w:line="291" w:lineRule="auto"/>
        <w:tabs>
          <w:tab w:leader="none" w:pos="12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each 12-month period thereafter, issue LTIP awards to eligible employees evidencing the award of a number of LTIP awards having a value (in aggregate across all such LTIP awards) of not less than [***],</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each case in accordance with the terms of the Plan (the </w:t>
      </w:r>
      <w:r>
        <w:rPr>
          <w:rFonts w:ascii="Times New Roman" w:cs="Times New Roman" w:eastAsia="Times New Roman" w:hAnsi="Times New Roman"/>
          <w:sz w:val="17"/>
          <w:szCs w:val="17"/>
          <w:b w:val="1"/>
          <w:bCs w:val="1"/>
          <w:color w:val="auto"/>
        </w:rPr>
        <w:t>Further LTIP Grants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ind w:left="620" w:hanging="616"/>
        <w:spacing w:after="0" w:line="294"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purposes of paragraph 15, </w:t>
      </w:r>
      <w:r>
        <w:rPr>
          <w:rFonts w:ascii="Times New Roman" w:cs="Times New Roman" w:eastAsia="Times New Roman" w:hAnsi="Times New Roman"/>
          <w:sz w:val="17"/>
          <w:szCs w:val="17"/>
          <w:b w:val="1"/>
          <w:bCs w:val="1"/>
          <w:color w:val="auto"/>
        </w:rPr>
        <w:t>eligible employee</w:t>
      </w:r>
      <w:r>
        <w:rPr>
          <w:rFonts w:ascii="Times New Roman" w:cs="Times New Roman" w:eastAsia="Times New Roman" w:hAnsi="Times New Roman"/>
          <w:sz w:val="17"/>
          <w:szCs w:val="17"/>
          <w:color w:val="auto"/>
        </w:rPr>
        <w:t xml:space="preserve"> shall mean those individuals who are employees of Apollo Partners LLP who have not given notice to resign from their employment (or received notice of termination of their employment) as on the date of the grant of the LTIP awards.</w:t>
      </w:r>
    </w:p>
    <w:p>
      <w:pPr>
        <w:spacing w:after="0" w:line="144"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approved by the Company's Compensation Committee, it is intended that the awards under the LTIP Grant shall be a mix of time and performance-based units and shall vest as set forth in the individual LTIP award as approved by the Company’s Compensation Committee, on terms no less favorable than granted to other Skyward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283845</wp:posOffset>
            </wp:positionV>
            <wp:extent cx="3568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Accepted and agreed by: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APOLLO GROUP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283845</wp:posOffset>
            </wp:positionV>
            <wp:extent cx="3568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DAVID IBESON</w:t>
      </w:r>
      <w:r>
        <w:rPr>
          <w:rFonts w:ascii="Times New Roman" w:cs="Times New Roman" w:eastAsia="Times New Roman" w:hAnsi="Times New Roman"/>
          <w:sz w:val="17"/>
          <w:szCs w:val="17"/>
          <w:color w:val="auto"/>
        </w:rPr>
        <w:t>, AS REPRESENTATIVE FOR THE MANAGEMENT SELLERS AND THE MINORITY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283845</wp:posOffset>
            </wp:positionV>
            <wp:extent cx="3568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7">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0139"/>
          </w:cols>
          <w:pgMar w:left="320" w:top="872" w:right="1440" w:bottom="1440" w:gutter="0" w:footer="0" w:header="0"/>
        </w:sectPr>
      </w:pPr>
    </w:p>
    <w:bookmarkStart w:id="12" w:name="page13"/>
    <w:bookmarkEnd w:id="12"/>
    <w:p>
      <w:pPr>
        <w:jc w:val="both"/>
        <w:spacing w:after="0" w:line="273" w:lineRule="auto"/>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SCHEDULE B</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Form of RSU Notice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Participant Name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notice (the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evidences the award of restricted stock units (each, a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of Skyward Specialty Insurance Group,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conditioned upon your agreement to the terms of the attached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Grant Date:</w:t>
            </w: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Grant Date</w:t>
            </w:r>
            <w:r>
              <w:rPr>
                <w:rFonts w:ascii="Times New Roman" w:cs="Times New Roman" w:eastAsia="Times New Roman" w:hAnsi="Times New Roman"/>
                <w:sz w:val="17"/>
                <w:szCs w:val="17"/>
                <w:color w:val="auto"/>
              </w:rPr>
              <w:t>]</w:t>
            </w: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Awards Granted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w:t>
            </w: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6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Number of RSUs:</w:t>
            </w:r>
          </w:p>
        </w:tc>
        <w:tc>
          <w:tcPr>
            <w:tcW w:w="4520" w:type="dxa"/>
            <w:vAlign w:val="bottom"/>
            <w:gridSpan w:val="2"/>
            <w:vMerge w:val="continue"/>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7"/>
                <w:szCs w:val="17"/>
                <w:color w:val="auto"/>
              </w:rPr>
              <w:t>Vesting Date:</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With respect to 50% of the Grant:</w:t>
            </w:r>
          </w:p>
        </w:tc>
        <w:tc>
          <w:tcPr>
            <w:tcW w:w="5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3rd anniversary of [Completion Date]</w:t>
            </w: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With respect to the remaining 50% of the Grant:</w:t>
            </w:r>
          </w:p>
        </w:tc>
        <w:tc>
          <w:tcPr>
            <w:tcW w:w="5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4th anniversary of the [Completion Date]</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All of the RSUs are nonvested and forfeitable as of the Grant Date. So long as your Service (as defined in the Agreement) is continuous from the Grant Date through the applicable Vesting Date, 100% of the RSUs will become vested on the applicable Vesting Date.</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event your Service is terminated due to your death or Total and Permanent Disability, 100% of the RSUs that had not yet become vested will become vested.</w:t>
      </w:r>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Notwithstanding anything to the contrary in the Notice or Plan, in the event your Service is terminated in a Qualifying Termination either immediately before a Change in Control or during the twelve (12) month period immediately following a Change in Control, 100% of the RSUs that had not yet become vested will become vested.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cases, any RSUs that become vested will be settled as provided in Section 6 of the Agreement.</w:t>
      </w:r>
    </w:p>
    <w:p>
      <w:pPr>
        <w:spacing w:after="0" w:line="2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To the extent of any conflict between the terms of (a) this Notice; and (b) the attached Restricted Stock Units Agreement or the Plan, the terms of this Notice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138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6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62"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6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xml:space="preserve"> If, after the Grant Date and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in cash no later than the same date that the RSUs to which they are attributable are settled and paid in accordance with Section 6 hereof. If your vested RSUs have been settled after the record date but prior to the dividend payment date, any dividend equivalents that would be credited pursuant to the preceding sentence shall be paid on or as soon as practicable after the dividend payment date.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RSUs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(including any employee national insurance contributions) withholding or other amount pursuant to Section 7 below,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5" w:name="page16"/>
    <w:bookmarkEnd w:id="15"/>
    <w:p>
      <w:pPr>
        <w:jc w:val="both"/>
        <w:ind w:firstLine="932"/>
        <w:spacing w:after="0" w:line="270"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 Your RSUs will be settled by the Company, via the issuance of Common Stock as described herein, on a date selected by the Company that is within sixty (60) days following the date that the RSUs become vested and nonforfeitable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subject to the provisions below. If the Original Issuance Date falls on a date that is not a business day, delivery shall instead occur on the next following business day. In addition, if:</w:t>
      </w:r>
    </w:p>
    <w:p>
      <w:pPr>
        <w:spacing w:after="0" w:line="376" w:lineRule="exact"/>
        <w:rPr>
          <w:sz w:val="20"/>
          <w:szCs w:val="20"/>
          <w:color w:val="auto"/>
        </w:rPr>
      </w:pPr>
    </w:p>
    <w:p>
      <w:pPr>
        <w:jc w:val="both"/>
        <w:ind w:firstLine="1865"/>
        <w:spacing w:after="0" w:line="266" w:lineRule="auto"/>
        <w:rPr>
          <w:sz w:val="20"/>
          <w:szCs w:val="20"/>
          <w:color w:val="auto"/>
        </w:rPr>
      </w:pPr>
      <w:r>
        <w:rPr>
          <w:rFonts w:ascii="Times New Roman" w:cs="Times New Roman" w:eastAsia="Times New Roman" w:hAnsi="Times New Roman"/>
          <w:sz w:val="17"/>
          <w:szCs w:val="17"/>
          <w:color w:val="auto"/>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and</w:t>
      </w:r>
    </w:p>
    <w:p>
      <w:pPr>
        <w:spacing w:after="0" w:line="169" w:lineRule="exact"/>
        <w:rPr>
          <w:sz w:val="20"/>
          <w:szCs w:val="20"/>
          <w:color w:val="auto"/>
        </w:rPr>
      </w:pPr>
    </w:p>
    <w:p>
      <w:pPr>
        <w:jc w:val="both"/>
        <w:ind w:firstLine="1865"/>
        <w:spacing w:after="0" w:line="258" w:lineRule="auto"/>
        <w:rPr>
          <w:sz w:val="20"/>
          <w:szCs w:val="20"/>
          <w:color w:val="auto"/>
        </w:rPr>
      </w:pPr>
      <w:r>
        <w:rPr>
          <w:rFonts w:ascii="Times New Roman" w:cs="Times New Roman" w:eastAsia="Times New Roman" w:hAnsi="Times New Roman"/>
          <w:sz w:val="17"/>
          <w:szCs w:val="17"/>
          <w:color w:val="auto"/>
        </w:rPr>
        <w:t>(ii)           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78" w:lineRule="exact"/>
        <w:rPr>
          <w:sz w:val="20"/>
          <w:szCs w:val="20"/>
          <w:color w:val="auto"/>
        </w:rPr>
      </w:pPr>
    </w:p>
    <w:p>
      <w:pPr>
        <w:jc w:val="both"/>
        <w:ind w:firstLine="1865"/>
        <w:spacing w:after="0" w:line="263" w:lineRule="auto"/>
        <w:rPr>
          <w:sz w:val="20"/>
          <w:szCs w:val="20"/>
          <w:color w:val="auto"/>
        </w:rPr>
      </w:pPr>
      <w:r>
        <w:rPr>
          <w:rFonts w:ascii="Times New Roman" w:cs="Times New Roman" w:eastAsia="Times New Roman" w:hAnsi="Times New Roman"/>
          <w:sz w:val="17"/>
          <w:szCs w:val="17"/>
          <w:color w:val="auto"/>
        </w:rPr>
        <w:t>(iii)          Notwithstanding the foregoing, to the extent your RSUs vest upon your death or your death occurs prior to settlement of your previously vested RSUs, the Company is not obligated to settle such RSUs until such date selected by the Company that is as soon as administratively practicable within the thirty (30) day period following the date that the Company receives evidence of the applicable beneficiary who is entitled to receive such settlement (the “</w:t>
      </w:r>
      <w:r>
        <w:rPr>
          <w:rFonts w:ascii="Times New Roman" w:cs="Times New Roman" w:eastAsia="Times New Roman" w:hAnsi="Times New Roman"/>
          <w:sz w:val="17"/>
          <w:szCs w:val="17"/>
          <w:b w:val="1"/>
          <w:b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settlement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400685</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(including any employee national insurance contributions) (in each case, or equivalent in any jurisdiction)) of the Company or any Affiliate which arise in connection with your RSUs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w:t>
      </w:r>
    </w:p>
    <w:p>
      <w:pPr>
        <w:spacing w:after="0" w:line="1" w:lineRule="exact"/>
        <w:rPr>
          <w:sz w:val="20"/>
          <w:szCs w:val="20"/>
          <w:color w:val="auto"/>
        </w:rPr>
      </w:pPr>
    </w:p>
    <w:p>
      <w:pPr>
        <w:jc w:val="both"/>
        <w:ind w:firstLine="4"/>
        <w:spacing w:after="0" w:line="255" w:lineRule="auto"/>
        <w:tabs>
          <w:tab w:leader="none" w:pos="3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Dealer</w:t>
      </w:r>
      <w:r>
        <w:rPr>
          <w:rFonts w:ascii="Times New Roman" w:cs="Times New Roman" w:eastAsia="Times New Roman" w:hAnsi="Times New Roman"/>
          <w:sz w:val="17"/>
          <w:szCs w:val="17"/>
          <w:color w:val="auto"/>
        </w:rPr>
        <w:t>”) whereby you irrevocably elect to sell a portion of the shares to be delivered under the Agreement to satisfy the Withholding Taxes and whereby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FINRA Dealer irrevocably commits to forward the proceeds necessary to satisfy the Withholding Taxes directly to the Company; or (iv) permitting you to tender previously acquired shares of Common Stock (valued at their then Fair Market Value) or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tendered or withheld shall not exceed the amount necessary to satisfy the Company’s required Withholding Tax obligations using the applicable statutory withholding rates, as determined by the Company, for federal, state, local and foreign tax purposes, including payroll taxes. Unless the Withholding Tax obligations of the Company and/or any Affiliate are satisfied, the Company shall have no obligation to deliver to you any Common Stock. In the event that such obligations of the Company arise prior to the delivery to you of Common Stock or it is determined after the delivery of Common Stock to you that such amount of the Company’s obligations was greater than the amount withheld by the Company, you agree to indemnify and hold the Company harmless from any failure by the Company to withhold the proper amount. You unconditionally and irrevocably agree as a condition of the vesting of your RSUs, and the right to receive any shares subject to your RSUs, to execute a tax election under section 431(1) of the Income Tax (Earnings and Pensions) Act 2003 ("</w:t>
      </w:r>
      <w:r>
        <w:rPr>
          <w:rFonts w:ascii="Times New Roman" w:cs="Times New Roman" w:eastAsia="Times New Roman" w:hAnsi="Times New Roman"/>
          <w:sz w:val="17"/>
          <w:szCs w:val="17"/>
          <w:b w:val="1"/>
          <w:bCs w:val="1"/>
          <w:color w:val="auto"/>
        </w:rPr>
        <w:t>ITEPA"</w:t>
      </w:r>
      <w:r>
        <w:rPr>
          <w:rFonts w:ascii="Times New Roman" w:cs="Times New Roman" w:eastAsia="Times New Roman" w:hAnsi="Times New Roman"/>
          <w:sz w:val="17"/>
          <w:szCs w:val="17"/>
          <w:color w:val="auto"/>
        </w:rPr>
        <w:t>) to disapply fully the provisions of Chapter 2 of Part 7 of ITEPA in respect of restricted securities in such form as is approved by or agreed with HM Revenue &amp; Customs under the terms of section 431(5) of ITEPA.</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7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employment agreement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400685</wp:posOffset>
            </wp:positionV>
            <wp:extent cx="713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7" w:name="page18"/>
    <w:bookmarkEnd w:id="17"/>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RSUs until such shares of Common Stock have been issued to you.</w:t>
      </w:r>
    </w:p>
    <w:p>
      <w:pPr>
        <w:spacing w:after="0" w:line="14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17"/>
          <w:szCs w:val="17"/>
          <w:u w:val="single" w:color="auto"/>
          <w:color w:val="auto"/>
        </w:rPr>
        <w:t> Clawback upon Breach of Protective Covenants or Confidentiality Covenants and pursuant to Company Policy.</w:t>
      </w:r>
      <w:r>
        <w:rPr>
          <w:rFonts w:ascii="Times New Roman" w:cs="Times New Roman" w:eastAsia="Times New Roman" w:hAnsi="Times New Roman"/>
          <w:sz w:val="17"/>
          <w:szCs w:val="17"/>
          <w:color w:val="auto"/>
        </w:rPr>
        <w:t xml:space="preserve"> As a condition to this Agreement and to the issue of any shares of Common Stock to you in settlement of the RSUs, you will be required to comply with all confidentiality, non-solicitation and other protective covenants and restrictions to which you have agreed to be bound from time to time, as set out in your Notice, employment agreement or otherwise as you may be required to enter into with the Company as a condition to the award of RSUs in accordance with the Plan. If the Administrator determines that you have breached any such agreement: (i) all unvested or unsettled RSUs will be forfeited; and (ii) you shall, within ten (10) days of notice of the Administrator’s determination of such breach, repay all cash or shares of Common Stock paid or issued in settlement of the RSUs that have been paid or issued, as applicable, at any time during the twenty-four months preceding your termination from Service. As a condition to this Agreement, you also agree to be bound by the terms of the Company’s Policy for Recovery of Erroneously Awarded Incentive Compensation, as it may be amended from time to time. The forfeiture and clawback rights in this Section are in addition to, and not in substitution of, any rights of repurchase or other recoupment rights the Company may have.</w:t>
      </w:r>
    </w:p>
    <w:p>
      <w:pPr>
        <w:spacing w:after="0" w:line="173"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13.</w:t>
      </w:r>
      <w:r>
        <w:rPr>
          <w:rFonts w:ascii="Times New Roman" w:cs="Times New Roman" w:eastAsia="Times New Roman" w:hAnsi="Times New Roman"/>
          <w:sz w:val="17"/>
          <w:szCs w:val="17"/>
          <w:u w:val="single" w:color="auto"/>
          <w:color w:val="auto"/>
        </w:rPr>
        <w:t> Restrictions on Issuance of Shares</w:t>
      </w:r>
      <w:r>
        <w:rPr>
          <w:rFonts w:ascii="Times New Roman" w:cs="Times New Roman" w:eastAsia="Times New Roman" w:hAnsi="Times New Roman"/>
          <w:sz w:val="17"/>
          <w:szCs w:val="17"/>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14.</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where you have an address in the United States,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401320</wp:posOffset>
            </wp:positionV>
            <wp:extent cx="7138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 w:name="page19"/>
    <w:bookmarkEnd w:id="18"/>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15.</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(and any other agreement you may be required to enter into containing protective covenants),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17.</w:t>
      </w:r>
      <w:r>
        <w:rPr>
          <w:rFonts w:ascii="Times New Roman" w:cs="Times New Roman" w:eastAsia="Times New Roman" w:hAnsi="Times New Roman"/>
          <w:sz w:val="17"/>
          <w:szCs w:val="17"/>
          <w:u w:val="single" w:color="auto"/>
          <w:color w:val="auto"/>
        </w:rPr>
        <w:t> 280G Best After-Tax</w:t>
      </w:r>
      <w:r>
        <w:rPr>
          <w:rFonts w:ascii="Times New Roman" w:cs="Times New Roman" w:eastAsia="Times New Roman" w:hAnsi="Times New Roman"/>
          <w:sz w:val="17"/>
          <w:szCs w:val="17"/>
          <w:color w:val="auto"/>
        </w:rPr>
        <w:t>. In the event that the RSUs and/or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 Upon the occurrence of any event that might reasonably be anticipated to result in an “excess parachute payment” to the Participant as described above the Company shall appoint a nationally recognized tax firm to make the determination required by this Section (the “</w:t>
      </w:r>
      <w:r>
        <w:rPr>
          <w:rFonts w:ascii="Times New Roman" w:cs="Times New Roman" w:eastAsia="Times New Roman" w:hAnsi="Times New Roman"/>
          <w:sz w:val="17"/>
          <w:szCs w:val="17"/>
          <w:b w:val="1"/>
          <w:bCs w:val="1"/>
          <w:i w:val="1"/>
          <w:iCs w:val="1"/>
          <w:color w:val="auto"/>
        </w:rPr>
        <w:t>Tax Firm</w:t>
      </w:r>
      <w:r>
        <w:rPr>
          <w:rFonts w:ascii="Times New Roman" w:cs="Times New Roman" w:eastAsia="Times New Roman" w:hAnsi="Times New Roman"/>
          <w:sz w:val="17"/>
          <w:szCs w:val="17"/>
          <w:color w:val="auto"/>
        </w:rPr>
        <w:t>”). The Company and the Participant shall furnish to the Tax Firm such information and documents as the Tax Firm may reasonably request in order to make their required determination. The Company shall bear all fees and expenses the Tax Firm may charge in connection with their services contemplated by this Section.</w:t>
      </w:r>
    </w:p>
    <w:p>
      <w:pPr>
        <w:spacing w:after="0" w:line="177"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is intended to comply with, or otherwise be exempt from, the requirements of Section 409A of the Code and shall be construed and administered in accordance with such intent. To the extent Section 409A of the Code applies to any payments made to you hereunder,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 compensation subject to Code Section 409A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or upon your earlier death. Each installment of shares that vests is intended to constitute a “separate payment” for purposes of Section 409A of the Code and Treasury Regulation Section 1.409A-2(b)(2).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406400</wp:posOffset>
            </wp:positionV>
            <wp:extent cx="7138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9" w:name="page20"/>
    <w:bookmarkEnd w:id="19"/>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20.</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21.</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48" w:lineRule="exact"/>
        <w:rPr>
          <w:sz w:val="20"/>
          <w:szCs w:val="20"/>
          <w:color w:val="auto"/>
        </w:rPr>
      </w:pPr>
    </w:p>
    <w:p>
      <w:pPr>
        <w:jc w:val="both"/>
        <w:ind w:firstLine="311"/>
        <w:spacing w:after="0" w:line="270" w:lineRule="auto"/>
        <w:rPr>
          <w:sz w:val="20"/>
          <w:szCs w:val="20"/>
          <w:color w:val="auto"/>
        </w:rPr>
      </w:pPr>
      <w:r>
        <w:rPr>
          <w:rFonts w:ascii="Times New Roman" w:cs="Times New Roman" w:eastAsia="Times New Roman" w:hAnsi="Times New Roman"/>
          <w:sz w:val="17"/>
          <w:szCs w:val="17"/>
          <w:color w:val="auto"/>
        </w:rPr>
        <w:t>22.</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76"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23.</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 You further agree that any Affiliate of the Company shall have the right to enforce any term of the Notice, the Agreement or the Plan insofar as it relates to your RSUs as if a party to such documents.</w:t>
      </w:r>
    </w:p>
    <w:p>
      <w:pPr>
        <w:spacing w:after="0" w:line="17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26.</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-295275</wp:posOffset>
            </wp:positionV>
            <wp:extent cx="43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7">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pacing w:after="0" w:line="363"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27.</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ind w:firstLine="932"/>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committee or committees appointed by the Board to administer the Plan.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1180" w:hanging="244"/>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8" w:lineRule="exact"/>
        <w:rPr>
          <w:rFonts w:ascii="Times New Roman" w:cs="Times New Roman" w:eastAsia="Times New Roman" w:hAnsi="Times New Roman"/>
          <w:sz w:val="17"/>
          <w:szCs w:val="17"/>
          <w:color w:val="auto"/>
        </w:rPr>
      </w:pPr>
    </w:p>
    <w:p>
      <w:pPr>
        <w:ind w:left="1180" w:hanging="244"/>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Treasury regulations and other guidance promulgated thereunder.</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jc w:val="both"/>
        <w:ind w:firstLine="932"/>
        <w:spacing w:after="0" w:line="259"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without your written consent, (i) a material reduction in your base salary or annual cash incentive targets; (ii) a material diminution in your title, duties, or responsibilities; (iii) any material breach of this Agreement by the Company; or (iv) any relocation of your principal place of employment that results in an increased commute of more than thirty-five (35)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535305</wp:posOffset>
            </wp:positionV>
            <wp:extent cx="7138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2" w:name="page23"/>
    <w:bookmarkEnd w:id="22"/>
    <w:p>
      <w:pPr>
        <w:ind w:left="94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RSUs made to you as set forth in the relevant Notice.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RSUs made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you.</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jc w:val="both"/>
        <w:ind w:firstLine="932"/>
        <w:spacing w:after="0" w:line="275"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xml:space="preserve"> means your termination without Cause or resignation for Good Reason;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the Company’s commitment to issue one share of Common Stock at a future date, subject to the terms of the Agreement and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96"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7"/>
          <w:szCs w:val="17"/>
          <w:i w:val="1"/>
          <w:iCs w:val="1"/>
          <w:color w:val="auto"/>
        </w:rPr>
        <w:t>Exhibit 99.29</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Apollo Bright Future Awards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“BRIGHT FUTURE”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Participant Name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notice (the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evidences the award of restricted stock units (each, a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of Skyward Specialty Insurance Group,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conditioned upon your agreement to the terms of the attached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Grant Date:</w:t>
            </w:r>
          </w:p>
        </w:tc>
        <w:tc>
          <w:tcPr>
            <w:tcW w:w="2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Grant Date</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Awards Granted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7"/>
        </w:trPr>
        <w:tc>
          <w:tcPr>
            <w:tcW w:w="156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Number of RSUs:</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7"/>
                <w:szCs w:val="17"/>
                <w:color w:val="auto"/>
              </w:rPr>
              <w:t>Vesting Date:</w:t>
            </w:r>
          </w:p>
        </w:tc>
        <w:tc>
          <w:tcPr>
            <w:tcW w:w="360" w:type="dxa"/>
            <w:vAlign w:val="bottom"/>
          </w:tcPr>
          <w:p>
            <w:pPr>
              <w:spacing w:after="0"/>
              <w:rPr>
                <w:sz w:val="16"/>
                <w:szCs w:val="16"/>
                <w:color w:val="auto"/>
              </w:rPr>
            </w:pPr>
          </w:p>
        </w:tc>
        <w:tc>
          <w:tcPr>
            <w:tcW w:w="2280" w:type="dxa"/>
            <w:vAlign w:val="bottom"/>
          </w:tcPr>
          <w:p>
            <w:pPr>
              <w:ind w:left="300"/>
              <w:spacing w:after="0" w:line="187" w:lineRule="exact"/>
              <w:rPr>
                <w:sz w:val="20"/>
                <w:szCs w:val="20"/>
                <w:color w:val="auto"/>
              </w:rPr>
            </w:pPr>
            <w:r>
              <w:rPr>
                <w:rFonts w:ascii="Times New Roman" w:cs="Times New Roman" w:eastAsia="Times New Roman" w:hAnsi="Times New Roman"/>
                <w:sz w:val="17"/>
                <w:szCs w:val="17"/>
                <w:color w:val="auto"/>
              </w:rPr>
              <w:t>January 1, 2028</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All of the RSUs are nonvested and forfeitable as of the Grant Date. So long as your Service (as defined in the Agreement) is continuous from the Grant Date through the applicable Vesting Date, 100% of the RSUs will become vested on the applicable Vesting Date.</w:t>
      </w:r>
    </w:p>
    <w:p>
      <w:pPr>
        <w:spacing w:after="0" w:line="1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the event your Service is terminated due to your death or Total and Permanent Disability, 100% of the RSUs that had not yet become vested will become vested.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cases, any RSUs that become vested will be settled as provided in Section 6 of the Agreement.</w:t>
      </w:r>
    </w:p>
    <w:p>
      <w:pPr>
        <w:spacing w:after="0" w:line="21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To the extent of any conflict between the terms of (a) this Notice; and (b) the attached Restricted Stock Units Agreement or the Plan, the terms of this Notice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138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6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62"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6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xml:space="preserve"> If, after the Grant Date and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in cash no later than the same date that the RSUs to which they are attributable are settled and paid in accordance with Section 6 hereof. If your vested RSUs have been settled after the record date but prior to the dividend payment date, any dividend equivalents that would be credited pursuant to the preceding sentence shall be paid on or as soon as practicable after the dividend payment date.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RSUs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(including any employee national insurance contributions) withholding or other amount pursuant to Section 7 below,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382" w:lineRule="exact"/>
        <w:rPr>
          <w:sz w:val="20"/>
          <w:szCs w:val="20"/>
          <w:color w:val="auto"/>
        </w:rPr>
      </w:pPr>
    </w:p>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 Your RSUs will be settled by the Company, via the issuance of Common Stock as described herein, on a date selected by the Company that is within sixty (60) days following the date that the RSUs become vested and nonforfeitable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subject to the provisions below. If the Original Issuance Date falls on a date that is not a business day, delivery shall instead occur on the next following business day. In addition, if:</w:t>
      </w:r>
    </w:p>
    <w:p>
      <w:pPr>
        <w:spacing w:after="0" w:line="169" w:lineRule="exact"/>
        <w:rPr>
          <w:sz w:val="20"/>
          <w:szCs w:val="20"/>
          <w:color w:val="auto"/>
        </w:rPr>
      </w:pPr>
    </w:p>
    <w:p>
      <w:pPr>
        <w:jc w:val="both"/>
        <w:ind w:firstLine="1865"/>
        <w:spacing w:after="0" w:line="266" w:lineRule="auto"/>
        <w:rPr>
          <w:sz w:val="20"/>
          <w:szCs w:val="20"/>
          <w:color w:val="auto"/>
        </w:rPr>
      </w:pPr>
      <w:r>
        <w:rPr>
          <w:rFonts w:ascii="Times New Roman" w:cs="Times New Roman" w:eastAsia="Times New Roman" w:hAnsi="Times New Roman"/>
          <w:sz w:val="17"/>
          <w:szCs w:val="17"/>
          <w:color w:val="auto"/>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5" w:name="page26"/>
    <w:bookmarkEnd w:id="25"/>
    <w:p>
      <w:pPr>
        <w:jc w:val="both"/>
        <w:ind w:firstLine="1865"/>
        <w:spacing w:after="0" w:line="258" w:lineRule="auto"/>
        <w:rPr>
          <w:sz w:val="20"/>
          <w:szCs w:val="20"/>
          <w:color w:val="auto"/>
        </w:rPr>
      </w:pPr>
      <w:r>
        <w:rPr>
          <w:rFonts w:ascii="Times New Roman" w:cs="Times New Roman" w:eastAsia="Times New Roman" w:hAnsi="Times New Roman"/>
          <w:sz w:val="17"/>
          <w:szCs w:val="17"/>
          <w:color w:val="auto"/>
        </w:rPr>
        <w:t>(ii)    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78" w:lineRule="exact"/>
        <w:rPr>
          <w:sz w:val="20"/>
          <w:szCs w:val="20"/>
          <w:color w:val="auto"/>
        </w:rPr>
      </w:pPr>
    </w:p>
    <w:p>
      <w:pPr>
        <w:jc w:val="both"/>
        <w:ind w:firstLine="1865"/>
        <w:spacing w:after="0" w:line="263" w:lineRule="auto"/>
        <w:rPr>
          <w:sz w:val="20"/>
          <w:szCs w:val="20"/>
          <w:color w:val="auto"/>
        </w:rPr>
      </w:pPr>
      <w:r>
        <w:rPr>
          <w:rFonts w:ascii="Times New Roman" w:cs="Times New Roman" w:eastAsia="Times New Roman" w:hAnsi="Times New Roman"/>
          <w:sz w:val="17"/>
          <w:szCs w:val="17"/>
          <w:color w:val="auto"/>
        </w:rPr>
        <w:t>(iii)   Notwithstanding the foregoing, to the extent your RSUs vest upon your death or your death occurs prior to settlement of your previously vested RSUs, the Company is not obligated to settle such RSUs until such date selected by the Company that is as soon as administratively practicable within the thirty (30) day period following the date that the Company receives evidence of the applicable beneficiary who is entitled to receive such settlement (the “</w:t>
      </w:r>
      <w:r>
        <w:rPr>
          <w:rFonts w:ascii="Times New Roman" w:cs="Times New Roman" w:eastAsia="Times New Roman" w:hAnsi="Times New Roman"/>
          <w:sz w:val="17"/>
          <w:szCs w:val="17"/>
          <w:b w:val="1"/>
          <w:b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settlement of the RSUs.</w:t>
      </w:r>
    </w:p>
    <w:p>
      <w:pPr>
        <w:spacing w:after="0" w:line="17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(including any employee national insurance contributions) (in each case, or equivalent in any jurisdiction)) of the Company or any Affiliate which arise in connection with your RSUs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w:t>
      </w:r>
    </w:p>
    <w:p>
      <w:pPr>
        <w:spacing w:after="0" w:line="1" w:lineRule="exact"/>
        <w:rPr>
          <w:sz w:val="20"/>
          <w:szCs w:val="20"/>
          <w:color w:val="auto"/>
        </w:rPr>
      </w:pPr>
    </w:p>
    <w:p>
      <w:pPr>
        <w:jc w:val="both"/>
        <w:ind w:firstLine="4"/>
        <w:spacing w:after="0" w:line="255" w:lineRule="auto"/>
        <w:tabs>
          <w:tab w:leader="none" w:pos="30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Dealer</w:t>
      </w:r>
      <w:r>
        <w:rPr>
          <w:rFonts w:ascii="Times New Roman" w:cs="Times New Roman" w:eastAsia="Times New Roman" w:hAnsi="Times New Roman"/>
          <w:sz w:val="17"/>
          <w:szCs w:val="17"/>
          <w:color w:val="auto"/>
        </w:rPr>
        <w:t>”) whereby you irrevocably elect to sell a portion of the shares to be delivered under the Agreement to satisfy the Withholding Taxes and whereby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FINRA Dealer irrevocably commits to forward the proceeds necessary to satisfy the Withholding Taxes directly to the Company; or (iv) permitting you to tender previously acquired shares of Common Stock (valued at their then Fair Market Value) or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tendered or withheld shall not exceed the amount necessary to satisfy the Company’s required Withholding Tax obligations using the applicable statutory withholding rates, as determined by the Company, for federal, state, local and foreign tax purposes, including payroll taxes. Unless the Withholding Tax obligations of the Company and/or any Affiliate are satisfied, the Company shall have no obligation to deliver to you any Common Stock. In the event that such obligations of the Company arise prior to the delivery to you of Common Stock or it is determined after the delivery of Common Stock to you that such amount of the Company’s obligations was greater than the amount withheld by the Company, you agree to indemnify and hold the Company harmless from any failure by the Company to withhold the proper amount. You unconditionally and irrevocably agree as a condition of the vesting of your RSUs, and the right to receive any shares subject to your RSUs, to execute a tax election under section 431(1) of the Income Tax (Earnings and Pensions) Act 2003 ("</w:t>
      </w:r>
      <w:r>
        <w:rPr>
          <w:rFonts w:ascii="Times New Roman" w:cs="Times New Roman" w:eastAsia="Times New Roman" w:hAnsi="Times New Roman"/>
          <w:sz w:val="17"/>
          <w:szCs w:val="17"/>
          <w:b w:val="1"/>
          <w:bCs w:val="1"/>
          <w:color w:val="auto"/>
        </w:rPr>
        <w:t>ITEPA"</w:t>
      </w:r>
      <w:r>
        <w:rPr>
          <w:rFonts w:ascii="Times New Roman" w:cs="Times New Roman" w:eastAsia="Times New Roman" w:hAnsi="Times New Roman"/>
          <w:sz w:val="17"/>
          <w:szCs w:val="17"/>
          <w:color w:val="auto"/>
        </w:rPr>
        <w:t>) to disapply fully the provisions of Chapter 2 of Part 7 of ITEPA in respect of restricted securities in such form as is approved by or agreed with HM Revenue &amp; Customs under the terms of section 431(5) of ITEPA.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406400</wp:posOffset>
            </wp:positionV>
            <wp:extent cx="7138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7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employment agreement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7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RSUs until such shares of Common Stock have been issued to you.</w:t>
      </w:r>
    </w:p>
    <w:p>
      <w:pPr>
        <w:spacing w:after="0" w:line="14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Protective Covenants or Confidentiality Covenants and pursuant to Company Policy.</w:t>
      </w:r>
      <w:r>
        <w:rPr>
          <w:rFonts w:ascii="Times New Roman" w:cs="Times New Roman" w:eastAsia="Times New Roman" w:hAnsi="Times New Roman"/>
          <w:sz w:val="17"/>
          <w:szCs w:val="17"/>
          <w:color w:val="auto"/>
        </w:rPr>
        <w:t xml:space="preserve"> As a condition to this Agreement and to the issue of any shares of Common Stock to you in settlement of the RSUs, you will be required to comply with all confidentiality, non-solicitation and other protective covenants and restrictions to which you have agreed to be bound from time to time, as set out in your Notice, employment agreement or otherwise as you may be required to enter into with the Company as a condition to the award of RSUs in accordance with the Plan. If the Administrator determines that you have breached any such agreement: (i) all unvested or unsettled RSUs will be forfeited; and (ii) you shall, within ten (10) days of notice of the Administrator’s determination of such breach, repay all cash or shares of Common Stock paid or issued in settlement of the RSUs that have been paid or issued, as applicable, at any time during the twenty-four months preceding your termination from Service. As a condition to this Agreement, you also agree to be bound by the terms of the Company’s Policy for Recovery of Erroneously Awarded Incentive Compensation, as it may be amended from time to time. The forfeiture and clawback rights in this Section are in addition to, and not in substitution of, any rights of repurchase or other recoupment rights the Company may have.</w:t>
      </w:r>
    </w:p>
    <w:p>
      <w:pPr>
        <w:spacing w:after="0" w:line="173"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Issuance of Shares</w:t>
      </w:r>
      <w:r>
        <w:rPr>
          <w:rFonts w:ascii="Times New Roman" w:cs="Times New Roman" w:eastAsia="Times New Roman" w:hAnsi="Times New Roman"/>
          <w:sz w:val="17"/>
          <w:szCs w:val="17"/>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7" w:name="page28"/>
    <w:bookmarkEnd w:id="27"/>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where you have an address in the United States,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(and any other agreement you may be required to enter into containing protective covenants),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280G Best After-Tax</w:t>
      </w:r>
      <w:r>
        <w:rPr>
          <w:rFonts w:ascii="Times New Roman" w:cs="Times New Roman" w:eastAsia="Times New Roman" w:hAnsi="Times New Roman"/>
          <w:sz w:val="17"/>
          <w:szCs w:val="17"/>
          <w:color w:val="auto"/>
        </w:rPr>
        <w:t>. In the event that the RSUs and/or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 Upon the occurrence of any event that might reasonably be anticipated to result in an “excess parachute payment” to the Participant as described above the Company shall appoint a nationally recognized tax firm to make the determination required by this Section (the “</w:t>
      </w:r>
      <w:r>
        <w:rPr>
          <w:rFonts w:ascii="Times New Roman" w:cs="Times New Roman" w:eastAsia="Times New Roman" w:hAnsi="Times New Roman"/>
          <w:sz w:val="17"/>
          <w:szCs w:val="17"/>
          <w:b w:val="1"/>
          <w:bCs w:val="1"/>
          <w:i w:val="1"/>
          <w:iCs w:val="1"/>
          <w:color w:val="auto"/>
        </w:rPr>
        <w:t>Tax Firm</w:t>
      </w:r>
      <w:r>
        <w:rPr>
          <w:rFonts w:ascii="Times New Roman" w:cs="Times New Roman" w:eastAsia="Times New Roman" w:hAnsi="Times New Roman"/>
          <w:sz w:val="17"/>
          <w:szCs w:val="17"/>
          <w:color w:val="auto"/>
        </w:rPr>
        <w:t>”). The Company and the Participant shall furnish to the Tax Firm such information and documents as the Tax Firm may reasonably request in order to make their required determination. The Company shall bear all fees and expenses the Tax Firm may charge in connection with their services contemplated by this Section.</w:t>
      </w:r>
    </w:p>
    <w:p>
      <w:pPr>
        <w:spacing w:after="0" w:line="177"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is intended to comply with, or otherwise be exempt from, the requirements of Section 409A of the Code and shall be construed and administered in accordance with such intent. To the extent Section 409A of the Code applies to any payments made to you hereunder,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 compensation subject to Code Section 409A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or upon your earlier death. Each installment of shares that vests is intended to constitute a “separate payment” for purposes of Section 409A of the Code and Treasury Regulation Section 1.409A-2(b)(2).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406400</wp:posOffset>
            </wp:positionV>
            <wp:extent cx="7138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48" w:lineRule="exact"/>
        <w:rPr>
          <w:sz w:val="20"/>
          <w:szCs w:val="20"/>
          <w:color w:val="auto"/>
        </w:rPr>
      </w:pPr>
    </w:p>
    <w:p>
      <w:pPr>
        <w:jc w:val="both"/>
        <w:ind w:firstLine="311"/>
        <w:spacing w:after="0" w:line="270"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76"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 You further agree that any Affiliate of the Company shall have the right to enforce any term of the Notice, the Agreement or the Plan insofar as it relates to your RSUs as if a party to such documents.</w:t>
      </w:r>
    </w:p>
    <w:p>
      <w:pPr>
        <w:spacing w:after="0" w:line="17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534670</wp:posOffset>
            </wp:positionV>
            <wp:extent cx="7138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-295275</wp:posOffset>
            </wp:positionV>
            <wp:extent cx="438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9" w:name="page30"/>
    <w:bookmarkEnd w:id="29"/>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committee or committees appointed by the Board to administer the Plan.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Treasury regulations and other guidance promulgated thereunder.</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RSUs made to you as set forth in the relevant Notice.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RSUs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 to you.</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jc w:val="both"/>
        <w:ind w:firstLine="932"/>
        <w:spacing w:after="0" w:line="275" w:lineRule="auto"/>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xml:space="preserve"> means your termination without Cause or resignation for Good Reason;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the Company’s commitment to issue one share of Common Stock at a future date, subject to the terms of the Agreement and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96"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“BRIGHT FUTURE”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Notice evidences the award of restricted stock units (each, a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of Skyward Specialty Insurance Group,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conditioned upon your agreement to the terms of the attached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Grant Date:</w:t>
            </w:r>
          </w:p>
        </w:tc>
        <w:tc>
          <w:tcPr>
            <w:tcW w:w="29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February 25, 2026</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94"/>
        </w:trPr>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Number of RSUs:</w:t>
            </w:r>
          </w:p>
        </w:tc>
        <w:tc>
          <w:tcPr>
            <w:tcW w:w="29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/$AwardsGranted$/</w:t>
            </w:r>
          </w:p>
        </w:tc>
      </w:tr>
      <w:tr>
        <w:trPr>
          <w:trHeight w:val="394"/>
        </w:trPr>
        <w:tc>
          <w:tcPr>
            <w:tcW w:w="1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Vesting Date:</w:t>
            </w:r>
          </w:p>
        </w:tc>
        <w:tc>
          <w:tcPr>
            <w:tcW w:w="360" w:type="dxa"/>
            <w:vAlign w:val="bottom"/>
          </w:tcPr>
          <w:p>
            <w:pPr>
              <w:spacing w:after="0"/>
              <w:rPr>
                <w:sz w:val="24"/>
                <w:szCs w:val="24"/>
                <w:color w:val="auto"/>
              </w:rPr>
            </w:pPr>
          </w:p>
        </w:tc>
        <w:tc>
          <w:tcPr>
            <w:tcW w:w="29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XXXXXX (50% 2YR and 50% 3YR)</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All of the RSUs are nonvested and forfeitable as of the Grant Date. So long as your Service (as defined in the Agreement) is continuous from the Grant Date through the applicable date upon which vesting is scheduled to occur.</w:t>
      </w:r>
    </w:p>
    <w:p>
      <w:pPr>
        <w:spacing w:after="0" w:line="1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the event your Service is terminated due to your death or Total and Permanent Disability, 100% of the RSUs that had not yet become vested will become vested.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cases, any RSUs that become vested will be settled as provided in Section 6 of the Agreement.</w:t>
      </w:r>
    </w:p>
    <w:p>
      <w:pPr>
        <w:spacing w:after="0" w:line="21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Notwithstanding anything to the contrary in the Notice or Plan, in the event your Service is terminated without Cause or for Good Reason immediately before or during the twelve (12) month period immediately following a Change in Control, 100% of the RSUs that had not yet become vested will become vested.</w:t>
      </w:r>
    </w:p>
    <w:p>
      <w:pPr>
        <w:spacing w:after="0" w:line="14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7"/>
          <w:szCs w:val="17"/>
          <w:color w:val="auto"/>
        </w:rPr>
        <w:t>Skyward Specialty Insurance Group, Inc.</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138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570230</wp:posOffset>
            </wp:positionV>
            <wp:extent cx="7138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2" w:name="page33"/>
    <w:bookmarkEnd w:id="32"/>
    <w:p>
      <w:pPr>
        <w:ind w:right="20"/>
        <w:spacing w:after="0" w:line="291" w:lineRule="auto"/>
        <w:rPr>
          <w:sz w:val="20"/>
          <w:szCs w:val="20"/>
          <w:color w:val="auto"/>
        </w:rPr>
      </w:pPr>
      <w:r>
        <w:rPr>
          <w:rFonts w:ascii="Times New Roman" w:cs="Times New Roman" w:eastAsia="Times New Roman" w:hAnsi="Times New Roman"/>
          <w:sz w:val="17"/>
          <w:szCs w:val="17"/>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Signature of Grantee</w:t>
            </w:r>
          </w:p>
        </w:tc>
        <w:tc>
          <w:tcPr>
            <w:tcW w:w="5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Date</w:t>
            </w:r>
          </w:p>
        </w:tc>
      </w:tr>
      <w:tr>
        <w:trPr>
          <w:trHeight w:val="207"/>
        </w:trPr>
        <w:tc>
          <w:tcPr>
            <w:tcW w:w="564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r>
      <w:tr>
        <w:trPr>
          <w:trHeight w:val="537"/>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tc>
      </w:tr>
      <w:tr>
        <w:trPr>
          <w:trHeight w:val="168"/>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spacing w:after="0"/>
              <w:rPr>
                <w:sz w:val="14"/>
                <w:szCs w:val="14"/>
                <w:color w:val="auto"/>
              </w:rPr>
            </w:pP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SKYWARD SPECIALTY INSURANCE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60"/>
          </w:cols>
          <w:pgMar w:left="320" w:top="872"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6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62"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6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xml:space="preserve"> If, after the Grant Date and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in cash no later than the same date that the RSUs to which they are attributable are settled and paid in accordance with Section 6 hereof. If your vested RSUs have been settled after the record date but prior to the dividend payment date, any dividend equivalents that would be credited pursuant to the preceding sentence shall be paid on or as soon as practicable after the dividend payment date.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RSUs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withholding,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4" w:name="page35"/>
    <w:bookmarkEnd w:id="34"/>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 Your RSUs will be settled by the Company, via the issuance of Common Stock as described herein, on a date selected by the Company that is within sixty (60) days following the date that the RSUs become vested and nonforfeitable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subject to the provisions below. If the Original Issuance Date falls on a date that is not a business day, delivery shall instead occur on the next following business day. In addition, if:</w:t>
      </w:r>
    </w:p>
    <w:p>
      <w:pPr>
        <w:spacing w:after="0" w:line="169" w:lineRule="exact"/>
        <w:rPr>
          <w:sz w:val="20"/>
          <w:szCs w:val="20"/>
          <w:color w:val="auto"/>
        </w:rPr>
      </w:pPr>
    </w:p>
    <w:p>
      <w:pPr>
        <w:jc w:val="both"/>
        <w:ind w:firstLine="1865"/>
        <w:spacing w:after="0" w:line="266" w:lineRule="auto"/>
        <w:rPr>
          <w:sz w:val="20"/>
          <w:szCs w:val="20"/>
          <w:color w:val="auto"/>
        </w:rPr>
      </w:pPr>
      <w:r>
        <w:rPr>
          <w:rFonts w:ascii="Times New Roman" w:cs="Times New Roman" w:eastAsia="Times New Roman" w:hAnsi="Times New Roman"/>
          <w:sz w:val="17"/>
          <w:szCs w:val="17"/>
          <w:color w:val="auto"/>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and</w:t>
      </w:r>
    </w:p>
    <w:p>
      <w:pPr>
        <w:spacing w:after="0" w:line="169" w:lineRule="exact"/>
        <w:rPr>
          <w:sz w:val="20"/>
          <w:szCs w:val="20"/>
          <w:color w:val="auto"/>
        </w:rPr>
      </w:pPr>
    </w:p>
    <w:p>
      <w:pPr>
        <w:jc w:val="both"/>
        <w:ind w:firstLine="1865"/>
        <w:spacing w:after="0" w:line="258" w:lineRule="auto"/>
        <w:rPr>
          <w:sz w:val="20"/>
          <w:szCs w:val="20"/>
          <w:color w:val="auto"/>
        </w:rPr>
      </w:pPr>
      <w:r>
        <w:rPr>
          <w:rFonts w:ascii="Times New Roman" w:cs="Times New Roman" w:eastAsia="Times New Roman" w:hAnsi="Times New Roman"/>
          <w:sz w:val="17"/>
          <w:szCs w:val="17"/>
          <w:color w:val="auto"/>
        </w:rPr>
        <w:t>(ii)           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Notwithstanding the foregoing, to the extent your RSUs vest upon your death or your death occurs prior to settlement of your previously vested RSUs, the Company is not obligated to settle such RSUs until such date selected by the Company that is as soon as administratively practicable within the thirty (30) day period following the date that the Company receives evidence of the applicable beneficiary who is entitled to receive such settlement (the “</w:t>
      </w:r>
      <w:r>
        <w:rPr>
          <w:rFonts w:ascii="Times New Roman" w:cs="Times New Roman" w:eastAsia="Times New Roman" w:hAnsi="Times New Roman"/>
          <w:sz w:val="17"/>
          <w:szCs w:val="17"/>
          <w:b w:val="1"/>
          <w:bCs w:val="1"/>
          <w:i w:val="1"/>
          <w:i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settlement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w:t>
      </w:r>
    </w:p>
    <w:p>
      <w:pPr>
        <w:spacing w:after="0" w:line="4" w:lineRule="exact"/>
        <w:rPr>
          <w:sz w:val="20"/>
          <w:szCs w:val="20"/>
          <w:color w:val="auto"/>
        </w:rPr>
      </w:pPr>
    </w:p>
    <w:p>
      <w:pPr>
        <w:jc w:val="both"/>
        <w:ind w:firstLine="4"/>
        <w:spacing w:after="0" w:line="255" w:lineRule="auto"/>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permitting you to tender previously acquired shares of Common Stock (valued at their then Fair Market Value) or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tendered or withheld shall not exceed the amount necessary to satisfy the Company’s required tax withholding obligations using the applicable statutory withholding rates, as determined by the Company, for federal, state, local and foreign tax purposes, including payroll taxes. .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83" w:lineRule="exact"/>
        <w:rPr>
          <w:sz w:val="20"/>
          <w:szCs w:val="20"/>
          <w:color w:val="auto"/>
        </w:rPr>
      </w:pPr>
    </w:p>
    <w:p>
      <w:pPr>
        <w:ind w:left="620" w:hanging="306"/>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6" w:name="page37"/>
    <w:bookmarkEnd w:id="36"/>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7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RSUs until such shares of Common Stock have been issued to you.</w:t>
      </w:r>
    </w:p>
    <w:p>
      <w:pPr>
        <w:spacing w:after="0" w:line="148"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Non-solicitation or Confidentiality Covenants and pursuant to Company Policy.</w:t>
      </w:r>
      <w:r>
        <w:rPr>
          <w:rFonts w:ascii="Times New Roman" w:cs="Times New Roman" w:eastAsia="Times New Roman" w:hAnsi="Times New Roman"/>
          <w:sz w:val="17"/>
          <w:szCs w:val="17"/>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RSUs will be forfeited; and</w:t>
      </w:r>
    </w:p>
    <w:p>
      <w:pPr>
        <w:jc w:val="both"/>
        <w:ind w:firstLine="4"/>
        <w:spacing w:after="0" w:line="259"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shall, within ten (10) days of notice of the Administrator’s determination of such breach, repay all cash or shares of Common Stock paid in settlement of the RSUs within twelve (12) months preceding your termination from Service. As a condition to this Agreement, you also agree to be bound by the terms of the Company’s Policy for Recovery of Erroneously Awarded Incentive Compensation, as it may be amended from time to time. The forfeiture and clawback rights in this Section are in addition to, and not in substitution of, any rights of repurchase or other recoupment rights the Company may have.</w:t>
      </w:r>
    </w:p>
    <w:p>
      <w:pPr>
        <w:spacing w:after="0" w:line="174"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Issuance of Shares</w:t>
      </w:r>
      <w:r>
        <w:rPr>
          <w:rFonts w:ascii="Times New Roman" w:cs="Times New Roman" w:eastAsia="Times New Roman" w:hAnsi="Times New Roman"/>
          <w:sz w:val="17"/>
          <w:szCs w:val="17"/>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7" w:name="page38"/>
    <w:bookmarkEnd w:id="37"/>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6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280G Best After-Tax</w:t>
      </w:r>
      <w:r>
        <w:rPr>
          <w:rFonts w:ascii="Times New Roman" w:cs="Times New Roman" w:eastAsia="Times New Roman" w:hAnsi="Times New Roman"/>
          <w:sz w:val="17"/>
          <w:szCs w:val="17"/>
          <w:color w:val="auto"/>
        </w:rPr>
        <w:t>. In the event that the RSUs and/or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 Upon the occurrence of any event that might reasonably be anticipated to result in an “excess parachute payment” to the Participant as described above the Company shall appoint a nationally recognized tax firm to make the determination required by this Section (the “</w:t>
      </w:r>
      <w:r>
        <w:rPr>
          <w:rFonts w:ascii="Times New Roman" w:cs="Times New Roman" w:eastAsia="Times New Roman" w:hAnsi="Times New Roman"/>
          <w:sz w:val="17"/>
          <w:szCs w:val="17"/>
          <w:b w:val="1"/>
          <w:bCs w:val="1"/>
          <w:i w:val="1"/>
          <w:iCs w:val="1"/>
          <w:color w:val="auto"/>
        </w:rPr>
        <w:t>Tax Firm</w:t>
      </w:r>
      <w:r>
        <w:rPr>
          <w:rFonts w:ascii="Times New Roman" w:cs="Times New Roman" w:eastAsia="Times New Roman" w:hAnsi="Times New Roman"/>
          <w:sz w:val="17"/>
          <w:szCs w:val="17"/>
          <w:color w:val="auto"/>
        </w:rPr>
        <w:t>”). The Company and the Participant shall furnish to the Tax Firm such information and documents as the Tax Firm may reasonably request in order to make their required determination. The Company shall bear all fees and expenses the Tax Firm may charge in connection with their services contemplated by this Section.</w:t>
      </w:r>
    </w:p>
    <w:p>
      <w:pPr>
        <w:spacing w:after="0" w:line="177"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is intended to comply with, or otherwise be exempt from,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 compensation subject to Code Section 409A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or upon your earlier death. Each installment of shares that vests is intended to constitute a “separate payment” for purposes of Section 409A of the Code and Treasury Regulation Section 1.409A-2(b)(2).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406400</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8" w:name="page39"/>
    <w:bookmarkEnd w:id="38"/>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48" w:lineRule="exact"/>
        <w:rPr>
          <w:sz w:val="20"/>
          <w:szCs w:val="20"/>
          <w:color w:val="auto"/>
        </w:rPr>
      </w:pPr>
    </w:p>
    <w:p>
      <w:pPr>
        <w:jc w:val="both"/>
        <w:ind w:firstLine="311"/>
        <w:spacing w:after="0" w:line="270"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7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75"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-295275</wp:posOffset>
            </wp:positionV>
            <wp:extent cx="438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pacing w:after="0" w:line="363"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committee or committees appointed by the Board to administer the Plan.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Treasury regulations and other guidance promulgated thereunder.</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jc w:val="both"/>
        <w:ind w:firstLine="932"/>
        <w:spacing w:after="0" w:line="244"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without your written consent, (i) a material reduction in your base salary or annual cash incentive targets; (ii) a material diminution in your title, duties, or responsibilities;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(iii) any material breach of this Agreement by the Company; or (iv) any relocation of your principal place of employment that results in an increased commute of more than thirty-five (35)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RSUs made to you as set forth in the relevant Notice.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RSUs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1784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137" w:lineRule="exact"/>
        <w:rPr>
          <w:sz w:val="20"/>
          <w:szCs w:val="20"/>
          <w:color w:val="auto"/>
        </w:rPr>
      </w:pPr>
    </w:p>
    <w:p>
      <w:pPr>
        <w:ind w:left="120" w:hanging="116"/>
        <w:spacing w:after="0"/>
        <w:tabs>
          <w:tab w:leader="none" w:pos="120" w:val="left"/>
        </w:tabs>
        <w:numPr>
          <w:ilvl w:val="0"/>
          <w:numId w:val="1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7"/>
          <w:szCs w:val="17"/>
          <w:i w:val="1"/>
          <w:iCs w:val="1"/>
          <w:color w:val="auto"/>
        </w:rPr>
        <w:t>Prong (ii) of the Good Reason trigger to be only included in form award agreement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435610</wp:posOffset>
            </wp:positionV>
            <wp:extent cx="7138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41" w:name="page42"/>
    <w:bookmarkEnd w:id="41"/>
    <w:p>
      <w:pPr>
        <w:ind w:left="9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xml:space="preserve"> means your termination without Cause or resignation for Good Reason which constitutes a “separation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the Company’s commitment to issue one share of Common Stock at a future date, subject to the terms of the Agreement and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96"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2" w:name="page43"/>
    <w:bookmarkEnd w:id="42"/>
    <w:p>
      <w:pPr>
        <w:jc w:val="right"/>
        <w:ind w:righ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99.31</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“BRIGHT FUTURE”</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RESTRICTED STOCK UNITS NOTICE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/$ParticipantName$/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Notice evidences the award of restricted stock units (each, an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of Skyward Specialty Insurance Group, Inc., a Delaware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conditioned upon your agreement to the terms of the attached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is subject to the terms and provisions of the Agreement and the Plan, which are incorporated by reference herein. Each RSU is equivalent in value to one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of the Company’s Common Stock and represents the Company’s commitment to issue one share of the Company’s Common Stock at a future date, subject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terms of the Agreement and the Plan. The RSUs are credited to a separate account maintained for you on the books and records of the Company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 Date:</w:t>
            </w:r>
          </w:p>
        </w:tc>
        <w:tc>
          <w:tcPr>
            <w:tcW w:w="2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February 25, 2026</w:t>
            </w:r>
          </w:p>
        </w:tc>
      </w:tr>
      <w:tr>
        <w:trPr>
          <w:trHeight w:val="20"/>
        </w:trPr>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94"/>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Number of RSUs:</w:t>
            </w:r>
          </w:p>
        </w:tc>
        <w:tc>
          <w:tcPr>
            <w:tcW w:w="2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XXXXX</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94"/>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Vesting Schedule:</w:t>
            </w:r>
          </w:p>
        </w:tc>
        <w:tc>
          <w:tcPr>
            <w:tcW w:w="2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(50% 3YR and 50% 4YR)</w:t>
            </w:r>
          </w:p>
        </w:tc>
      </w:tr>
      <w:tr>
        <w:trPr>
          <w:trHeight w:val="20"/>
        </w:trPr>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All of the RSUs are nonvested and forfeitable as of the Grant Date. So long as your Service (as defined in the Agreement) is continuous from the Grant Date through the applicable date upon which vesting is scheduled to occur:</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In the event your Service is terminated due to a Qualifying Retirement which occurs on a date that is at least 2 years following the Grant Date, a pro-rata portion of the not yet vested RSUs shall become vested upon such termination of Service due to a Qualifying Retirement. The number of the RSUs that will become vested will be determined by (i) dividing the number of days you were continuously employed or rendering services during the vesting period prior to the termination date by the total number of days of the applicable vesting period (as measured from the Grant Date to the next vesting date following the termination date), and multiplying the result of such fraction by the number of RSUs determined to be eligible for vesting on the next vesting date. Such pro-rata portion of the RSUs will be rounded down to the nearest whole share.</w:t>
      </w:r>
    </w:p>
    <w:p>
      <w:pPr>
        <w:spacing w:after="0" w:line="175" w:lineRule="exact"/>
        <w:rPr>
          <w:sz w:val="20"/>
          <w:szCs w:val="20"/>
          <w:color w:val="auto"/>
        </w:rPr>
      </w:pPr>
    </w:p>
    <w:p>
      <w:pPr>
        <w:ind w:right="520"/>
        <w:spacing w:after="0" w:line="291" w:lineRule="auto"/>
        <w:rPr>
          <w:sz w:val="20"/>
          <w:szCs w:val="20"/>
          <w:color w:val="auto"/>
        </w:rPr>
      </w:pPr>
      <w:r>
        <w:rPr>
          <w:rFonts w:ascii="Times New Roman" w:cs="Times New Roman" w:eastAsia="Times New Roman" w:hAnsi="Times New Roman"/>
          <w:sz w:val="17"/>
          <w:szCs w:val="17"/>
          <w:color w:val="auto"/>
        </w:rPr>
        <w:t>In the event your Service is terminated due to your death or Total and Permanent Disability, 100% of the RSUs that had not yet become vested will become vested.</w:t>
      </w:r>
    </w:p>
    <w:p>
      <w:pPr>
        <w:spacing w:after="0" w:line="148"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Notwithstanding anything to the contrary in the Notice or Plan, in the event your Service is terminated without Cause or for Good Reason immediately before or during the twelve (12) month period immediately following a Change in Control, 100% of the RSUs that had not yet become vested will become vested.</w:t>
      </w:r>
    </w:p>
    <w:p>
      <w:pPr>
        <w:spacing w:after="0" w:line="14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7"/>
          <w:szCs w:val="17"/>
          <w:color w:val="auto"/>
        </w:rPr>
        <w:t>Skyward Specialty Insurance Group, Inc.</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138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Signature of Grantee</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r>
      <w:tr>
        <w:trPr>
          <w:trHeight w:val="369"/>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431800</wp:posOffset>
            </wp:positionV>
            <wp:extent cx="7138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60"/>
          </w:cols>
          <w:pgMar w:left="320" w:top="350"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right="40" w:firstLine="622"/>
        <w:spacing w:after="0" w:line="273"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62" w:lineRule="exact"/>
        <w:rPr>
          <w:sz w:val="20"/>
          <w:szCs w:val="20"/>
          <w:color w:val="auto"/>
        </w:rPr>
      </w:pPr>
    </w:p>
    <w:p>
      <w:pPr>
        <w:ind w:right="280" w:firstLine="622"/>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62"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69" w:lineRule="exact"/>
        <w:rPr>
          <w:sz w:val="20"/>
          <w:szCs w:val="20"/>
          <w:color w:val="auto"/>
        </w:rPr>
      </w:pPr>
    </w:p>
    <w:p>
      <w:pPr>
        <w:ind w:right="80" w:firstLine="622"/>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xml:space="preserve">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on the same date that the RSUs to which they are attributable are settled and paid in accordance with Section 6 hereof. If your vested RSUs have been settled after the record date but prior to the dividend payment date, any RSUs that would be credited pursuant to the preceding sentence shall be settled on or as soon as practicable after the dividend payment date.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RSUs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ind w:firstLine="1243"/>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withholding,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75" w:lineRule="exact"/>
        <w:rPr>
          <w:sz w:val="20"/>
          <w:szCs w:val="20"/>
          <w:color w:val="auto"/>
        </w:rPr>
      </w:pPr>
    </w:p>
    <w:p>
      <w:pPr>
        <w:ind w:firstLine="1243"/>
        <w:spacing w:after="0" w:line="27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 Your RSUs will be settled by the Company, via the issuance of Common Stock as described herein, on the date that the RSUs become vested and nonforfeitable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If the Original Issuance Date falls on a date that is not a business day, delivery shall instead occur on the next following business day. In addition, if:</w:t>
      </w:r>
    </w:p>
    <w:p>
      <w:pPr>
        <w:spacing w:after="0" w:line="162" w:lineRule="exact"/>
        <w:rPr>
          <w:sz w:val="20"/>
          <w:szCs w:val="20"/>
          <w:color w:val="auto"/>
        </w:rPr>
      </w:pPr>
    </w:p>
    <w:p>
      <w:pPr>
        <w:ind w:right="40" w:firstLine="1865"/>
        <w:spacing w:after="0" w:line="266" w:lineRule="auto"/>
        <w:rPr>
          <w:sz w:val="20"/>
          <w:szCs w:val="20"/>
          <w:color w:val="auto"/>
        </w:rPr>
      </w:pPr>
      <w:r>
        <w:rPr>
          <w:rFonts w:ascii="Times New Roman" w:cs="Times New Roman" w:eastAsia="Times New Roman" w:hAnsi="Times New Roman"/>
          <w:sz w:val="17"/>
          <w:szCs w:val="17"/>
          <w:color w:val="auto"/>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44" w:name="page45"/>
    <w:bookmarkEnd w:id="44"/>
    <w:p>
      <w:pPr>
        <w:ind w:right="20" w:firstLine="1865"/>
        <w:spacing w:after="0" w:line="258" w:lineRule="auto"/>
        <w:rPr>
          <w:sz w:val="20"/>
          <w:szCs w:val="20"/>
          <w:color w:val="auto"/>
        </w:rPr>
      </w:pPr>
      <w:r>
        <w:rPr>
          <w:rFonts w:ascii="Times New Roman" w:cs="Times New Roman" w:eastAsia="Times New Roman" w:hAnsi="Times New Roman"/>
          <w:sz w:val="17"/>
          <w:szCs w:val="17"/>
          <w:color w:val="auto"/>
        </w:rPr>
        <w:t>(ii)           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78" w:lineRule="exact"/>
        <w:rPr>
          <w:sz w:val="20"/>
          <w:szCs w:val="20"/>
          <w:color w:val="auto"/>
        </w:rPr>
      </w:pPr>
    </w:p>
    <w:p>
      <w:pPr>
        <w:jc w:val="both"/>
        <w:ind w:right="60" w:firstLine="622"/>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w:t>
      </w:r>
    </w:p>
    <w:p>
      <w:pPr>
        <w:spacing w:after="0" w:line="4" w:lineRule="exact"/>
        <w:rPr>
          <w:sz w:val="20"/>
          <w:szCs w:val="20"/>
          <w:color w:val="auto"/>
        </w:rPr>
      </w:pPr>
    </w:p>
    <w:p>
      <w:pPr>
        <w:ind w:firstLine="4"/>
        <w:spacing w:after="0" w:line="255" w:lineRule="auto"/>
        <w:tabs>
          <w:tab w:leader="none" w:pos="2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ind w:firstLine="1243"/>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ind w:right="120" w:firstLine="1243"/>
        <w:spacing w:after="0" w:line="260"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5" w:name="page46"/>
    <w:bookmarkEnd w:id="45"/>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72" w:lineRule="exact"/>
        <w:rPr>
          <w:sz w:val="20"/>
          <w:szCs w:val="20"/>
          <w:color w:val="auto"/>
        </w:rPr>
      </w:pPr>
    </w:p>
    <w:p>
      <w:pPr>
        <w:ind w:right="300" w:firstLine="622"/>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RSUs until such shares of Common Stock have been issued to you.</w:t>
      </w:r>
    </w:p>
    <w:p>
      <w:pPr>
        <w:spacing w:after="0" w:line="148" w:lineRule="exact"/>
        <w:rPr>
          <w:sz w:val="20"/>
          <w:szCs w:val="20"/>
          <w:color w:val="auto"/>
        </w:rPr>
      </w:pPr>
    </w:p>
    <w:p>
      <w:pPr>
        <w:ind w:right="40" w:firstLine="622"/>
        <w:spacing w:after="0" w:line="262"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Non-solicitation or Confidentiality Covenants.</w:t>
      </w:r>
      <w:r>
        <w:rPr>
          <w:rFonts w:ascii="Times New Roman" w:cs="Times New Roman" w:eastAsia="Times New Roman" w:hAnsi="Times New Roman"/>
          <w:sz w:val="17"/>
          <w:szCs w:val="17"/>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RSUs will be forfeited; and (ii) you shall, within ten</w:t>
      </w:r>
    </w:p>
    <w:p>
      <w:pPr>
        <w:ind w:left="340" w:hanging="336"/>
        <w:spacing w:after="0"/>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notice of the Administrator’s determination of such breach, repay all cash or shares of Common Stock paid in settlement of the RSUs within twelve</w:t>
      </w:r>
    </w:p>
    <w:p>
      <w:pPr>
        <w:spacing w:after="0" w:line="11" w:lineRule="exact"/>
        <w:rPr>
          <w:rFonts w:ascii="Times New Roman" w:cs="Times New Roman" w:eastAsia="Times New Roman" w:hAnsi="Times New Roman"/>
          <w:sz w:val="17"/>
          <w:szCs w:val="17"/>
          <w:color w:val="auto"/>
        </w:rPr>
      </w:pPr>
    </w:p>
    <w:p>
      <w:pPr>
        <w:ind w:right="20" w:firstLine="4"/>
        <w:spacing w:after="0" w:line="268" w:lineRule="auto"/>
        <w:tabs>
          <w:tab w:leader="none" w:pos="33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preceding your termination from Service. The forfeiture and clawback rights in this Section are in addition to, and not in substitution of, any rights of repurchase or other recoupment rights the Company may have.</w:t>
      </w:r>
    </w:p>
    <w:p>
      <w:pPr>
        <w:spacing w:after="0" w:line="166"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Issuance of Shares</w:t>
      </w:r>
      <w:r>
        <w:rPr>
          <w:rFonts w:ascii="Times New Roman" w:cs="Times New Roman" w:eastAsia="Times New Roman" w:hAnsi="Times New Roman"/>
          <w:sz w:val="17"/>
          <w:szCs w:val="17"/>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535305</wp:posOffset>
            </wp:positionV>
            <wp:extent cx="7138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46" w:name="page47"/>
    <w:bookmarkEnd w:id="46"/>
    <w:p>
      <w:pPr>
        <w:ind w:firstLine="622"/>
        <w:spacing w:after="0" w:line="273"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62"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2" w:lineRule="exact"/>
        <w:rPr>
          <w:sz w:val="20"/>
          <w:szCs w:val="20"/>
          <w:color w:val="auto"/>
        </w:rPr>
      </w:pPr>
    </w:p>
    <w:p>
      <w:pPr>
        <w:ind w:right="40" w:firstLine="622"/>
        <w:spacing w:after="0" w:line="257"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is intended to comply with, or otherwise be exempt from,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 compensation subject to Code Section 409A, and if you are a “Specified Employee” (within the meaning set forth Section 409A(a)(2)(B)</w:t>
      </w:r>
    </w:p>
    <w:p>
      <w:pPr>
        <w:spacing w:after="0" w:line="2" w:lineRule="exact"/>
        <w:rPr>
          <w:sz w:val="20"/>
          <w:szCs w:val="20"/>
          <w:color w:val="auto"/>
        </w:rPr>
      </w:pPr>
    </w:p>
    <w:p>
      <w:pPr>
        <w:ind w:right="160" w:firstLine="4"/>
        <w:spacing w:after="0" w:line="257" w:lineRule="auto"/>
        <w:tabs>
          <w:tab w:leader="none" w:pos="20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176"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ind w:right="140" w:firstLine="622"/>
        <w:spacing w:after="0" w:line="273"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48" w:lineRule="exact"/>
        <w:rPr>
          <w:sz w:val="20"/>
          <w:szCs w:val="20"/>
          <w:color w:val="auto"/>
        </w:rPr>
      </w:pPr>
    </w:p>
    <w:p>
      <w:pPr>
        <w:ind w:right="200" w:firstLine="622"/>
        <w:spacing w:after="0" w:line="266"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9" w:lineRule="exact"/>
        <w:rPr>
          <w:sz w:val="20"/>
          <w:szCs w:val="20"/>
          <w:color w:val="auto"/>
        </w:rPr>
      </w:pPr>
    </w:p>
    <w:p>
      <w:pPr>
        <w:ind w:right="120" w:firstLine="622"/>
        <w:spacing w:after="0" w:line="260"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7" w:name="page48"/>
    <w:bookmarkEnd w:id="47"/>
    <w:p>
      <w:pPr>
        <w:ind w:firstLine="622"/>
        <w:spacing w:after="0" w:line="26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75"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Glossary begins on next page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431800</wp:posOffset>
            </wp:positionV>
            <wp:extent cx="7138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ind w:right="160" w:firstLine="1243"/>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committee or committees appointed by the Board to administer the Plan.</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(f)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Internal Revenue Code of 1986, as amended, and the Treasury regulations and other guidance promulgated thereunder.</w:t>
      </w:r>
    </w:p>
    <w:p>
      <w:pPr>
        <w:spacing w:after="0" w:line="2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ind w:right="20" w:firstLine="1243"/>
        <w:spacing w:after="0" w:line="29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ind w:firstLine="1243"/>
        <w:spacing w:after="0" w:line="245"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without your written consent, (i) a material reduction in your base salary or annual incentive targets; (ii) a material diminution in your title, duties, or responsibilities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(iii) any material breach of this Agreement by the Company; or (iv) any relocation of your principal place of employment of more than fifty (50)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RSUs made to you as set forth in the relevant Notice.</w:t>
      </w:r>
    </w:p>
    <w:p>
      <w:pPr>
        <w:spacing w:after="0" w:line="219" w:lineRule="exact"/>
        <w:rPr>
          <w:sz w:val="20"/>
          <w:szCs w:val="20"/>
          <w:color w:val="auto"/>
        </w:rPr>
      </w:pPr>
    </w:p>
    <w:p>
      <w:pPr>
        <w:ind w:right="300" w:firstLine="1243"/>
        <w:spacing w:after="0" w:line="296"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RSUs made to you.</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ind w:right="20" w:firstLine="1243"/>
        <w:spacing w:after="0" w:line="262"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Qualifying Retirement</w:t>
      </w:r>
      <w:r>
        <w:rPr>
          <w:rFonts w:ascii="Times New Roman" w:cs="Times New Roman" w:eastAsia="Times New Roman" w:hAnsi="Times New Roman"/>
          <w:sz w:val="17"/>
          <w:szCs w:val="17"/>
          <w:color w:val="auto"/>
        </w:rPr>
        <w:t>” means your “separation from service” as such term is defined under Section 409A of the Code and applicable regulations, other than on account of your termination of Service for Cause, after attainment of minimum age fifty-five (55) with at least (5) years of continuous Service, provided that: (i) you notify the Chief People and Administrative Officer in writing at least twelve (12) months’ advance of your effective retirement date (unless the Company waives the requirement of such advance notice); (ii) you continue to actively assist the Company in succession planning and the transitioning of your responsibilities through your retirement date as determined and directed by the Company in its sole discretion; and (iii) you timely execute a waiver and release of claims upon your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17843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Prong (ii) of the Good Reason trigger to be only included in form award agreement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7138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49" w:name="page50"/>
    <w:bookmarkEnd w:id="49"/>
    <w:p>
      <w:pPr>
        <w:ind w:left="124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the Company’s commitment to issue one share of Common Stock at a future date, subject to the terms of the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Plan.</w:t>
      </w:r>
    </w:p>
    <w:p>
      <w:pPr>
        <w:spacing w:after="0" w:line="196" w:lineRule="exact"/>
        <w:rPr>
          <w:sz w:val="20"/>
          <w:szCs w:val="20"/>
          <w:color w:val="auto"/>
        </w:rPr>
      </w:pPr>
    </w:p>
    <w:p>
      <w:pPr>
        <w:ind w:firstLine="1243"/>
        <w:spacing w:after="0" w:line="268"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ind w:right="200" w:firstLine="1243"/>
        <w:spacing w:after="0" w:line="268"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50" w:name="page51"/>
    <w:bookmarkEnd w:id="50"/>
    <w:p>
      <w:pPr>
        <w:jc w:val="right"/>
        <w:ind w:righ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99.32</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“BRIGHT FUTURE”</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RESTRICTED STOCK UNITS NOTICE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/$ParticipantName$/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Notice evidences the award of restricted stock units (each, an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of Skyward Specialty Insurance Group, Inc., a Delaware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conditioned upon your agreement to the terms of the attached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is subject to the terms and provisions of the Agreement and the Plan, which are incorporated by reference herein. Each RSU is equivalent in value to one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of the Company’s Common Stock and represents the Company’s commitment to issue one share of the Company’s Common Stock at a future date, subject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terms of the Agreement and the Plan. The RSUs are credited to a separate account maintained for you on the books and records of the Company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 Date:</w:t>
            </w:r>
          </w:p>
        </w:tc>
        <w:tc>
          <w:tcPr>
            <w:tcW w:w="1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February 25, 2026</w:t>
            </w:r>
          </w:p>
        </w:tc>
      </w:tr>
      <w:tr>
        <w:trPr>
          <w:trHeight w:val="20"/>
        </w:trPr>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4"/>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Number of RSUs:</w:t>
            </w:r>
          </w:p>
        </w:tc>
        <w:tc>
          <w:tcPr>
            <w:tcW w:w="1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4"/>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Vesting Schedule:</w:t>
            </w:r>
          </w:p>
        </w:tc>
        <w:tc>
          <w:tcPr>
            <w:tcW w:w="1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February 25, 2028</w:t>
            </w:r>
          </w:p>
        </w:tc>
      </w:tr>
      <w:tr>
        <w:trPr>
          <w:trHeight w:val="20"/>
        </w:trPr>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of the RSUs become vested on the second anniversary of the Grant Date.</w:t>
      </w:r>
    </w:p>
    <w:p>
      <w:pPr>
        <w:spacing w:after="0" w:line="219"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All of the RSUs are nonvested and forfeitable as of the Grant Date. So long as your Service (as defined in the Agreement) is continuous from the Grant Date through the applicable date upon which vesting is scheduled to occur.</w:t>
      </w:r>
    </w:p>
    <w:p>
      <w:pPr>
        <w:spacing w:after="0" w:line="148" w:lineRule="exact"/>
        <w:rPr>
          <w:sz w:val="20"/>
          <w:szCs w:val="20"/>
          <w:color w:val="auto"/>
        </w:rPr>
      </w:pPr>
    </w:p>
    <w:p>
      <w:pPr>
        <w:ind w:right="520"/>
        <w:spacing w:after="0" w:line="291" w:lineRule="auto"/>
        <w:rPr>
          <w:sz w:val="20"/>
          <w:szCs w:val="20"/>
          <w:color w:val="auto"/>
        </w:rPr>
      </w:pPr>
      <w:r>
        <w:rPr>
          <w:rFonts w:ascii="Times New Roman" w:cs="Times New Roman" w:eastAsia="Times New Roman" w:hAnsi="Times New Roman"/>
          <w:sz w:val="17"/>
          <w:szCs w:val="17"/>
          <w:color w:val="auto"/>
        </w:rPr>
        <w:t>In the event your Service is terminated due to your death or Total and Permanent Disability, 100% of the RSUs that had not yet become vested will become vested.</w:t>
      </w:r>
    </w:p>
    <w:p>
      <w:pPr>
        <w:spacing w:after="0" w:line="14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7"/>
          <w:szCs w:val="17"/>
          <w:color w:val="auto"/>
        </w:rPr>
        <w:t>Skyward Specialty Insurance Group, Inc.</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1380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I acknowledge that I have carefully read the Agreement and the Prospectus for the Plan. I agree to be bound by all of the provisions set forth in those documents. I also consent to the electronic delivery of all notices or other information with respect to the RSUs or the Company.</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Signature of Grantee</w:t>
            </w:r>
          </w:p>
        </w:tc>
        <w:tc>
          <w:tcPr>
            <w:tcW w:w="5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r>
      <w:tr>
        <w:trPr>
          <w:trHeight w:val="369"/>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tc>
      </w:tr>
      <w:tr>
        <w:trPr>
          <w:trHeight w:val="640"/>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50"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right="40" w:firstLine="622"/>
        <w:spacing w:after="0" w:line="273"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62" w:lineRule="exact"/>
        <w:rPr>
          <w:sz w:val="20"/>
          <w:szCs w:val="20"/>
          <w:color w:val="auto"/>
        </w:rPr>
      </w:pPr>
    </w:p>
    <w:p>
      <w:pPr>
        <w:ind w:right="280" w:firstLine="622"/>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62"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69" w:lineRule="exact"/>
        <w:rPr>
          <w:sz w:val="20"/>
          <w:szCs w:val="20"/>
          <w:color w:val="auto"/>
        </w:rPr>
      </w:pPr>
    </w:p>
    <w:p>
      <w:pPr>
        <w:ind w:right="80" w:firstLine="622"/>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xml:space="preserve">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on the same date that the RSUs to which they are attributable are settled and paid in accordance with Section 6 hereof. If your vested RSUs have been settled after the record date but prior to the dividend payment date, any RSUs that would be credited pursuant to the preceding sentence shall be settled on or as soon as practicable after the dividend payment date.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RSUs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ind w:firstLine="1243"/>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withholding,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75" w:lineRule="exact"/>
        <w:rPr>
          <w:sz w:val="20"/>
          <w:szCs w:val="20"/>
          <w:color w:val="auto"/>
        </w:rPr>
      </w:pPr>
    </w:p>
    <w:p>
      <w:pPr>
        <w:ind w:firstLine="1243"/>
        <w:spacing w:after="0" w:line="27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 Your RSUs will be settled by the Company, via the issuance of Common Stock as described herein, on the date that the RSUs become vested and nonforfeitable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If the Original Issuance Date falls on a date that is not a business day, delivery shall instead occur on the next following business day. In addition, if:</w:t>
      </w:r>
    </w:p>
    <w:p>
      <w:pPr>
        <w:spacing w:after="0" w:line="162" w:lineRule="exact"/>
        <w:rPr>
          <w:sz w:val="20"/>
          <w:szCs w:val="20"/>
          <w:color w:val="auto"/>
        </w:rPr>
      </w:pPr>
    </w:p>
    <w:p>
      <w:pPr>
        <w:ind w:right="40" w:firstLine="1865"/>
        <w:spacing w:after="0" w:line="266" w:lineRule="auto"/>
        <w:rPr>
          <w:sz w:val="20"/>
          <w:szCs w:val="20"/>
          <w:color w:val="auto"/>
        </w:rPr>
      </w:pPr>
      <w:r>
        <w:rPr>
          <w:rFonts w:ascii="Times New Roman" w:cs="Times New Roman" w:eastAsia="Times New Roman" w:hAnsi="Times New Roman"/>
          <w:sz w:val="17"/>
          <w:szCs w:val="17"/>
          <w:color w:val="auto"/>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2" w:name="page53"/>
    <w:bookmarkEnd w:id="52"/>
    <w:p>
      <w:pPr>
        <w:ind w:right="20" w:firstLine="1865"/>
        <w:spacing w:after="0" w:line="258" w:lineRule="auto"/>
        <w:rPr>
          <w:sz w:val="20"/>
          <w:szCs w:val="20"/>
          <w:color w:val="auto"/>
        </w:rPr>
      </w:pPr>
      <w:r>
        <w:rPr>
          <w:rFonts w:ascii="Times New Roman" w:cs="Times New Roman" w:eastAsia="Times New Roman" w:hAnsi="Times New Roman"/>
          <w:sz w:val="17"/>
          <w:szCs w:val="17"/>
          <w:color w:val="auto"/>
        </w:rPr>
        <w:t>(ii)           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78" w:lineRule="exact"/>
        <w:rPr>
          <w:sz w:val="20"/>
          <w:szCs w:val="20"/>
          <w:color w:val="auto"/>
        </w:rPr>
      </w:pPr>
    </w:p>
    <w:p>
      <w:pPr>
        <w:jc w:val="both"/>
        <w:ind w:right="60" w:firstLine="622"/>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w:t>
      </w:r>
    </w:p>
    <w:p>
      <w:pPr>
        <w:spacing w:after="0" w:line="4" w:lineRule="exact"/>
        <w:rPr>
          <w:sz w:val="20"/>
          <w:szCs w:val="20"/>
          <w:color w:val="auto"/>
        </w:rPr>
      </w:pPr>
    </w:p>
    <w:p>
      <w:pPr>
        <w:ind w:firstLine="4"/>
        <w:spacing w:after="0" w:line="255" w:lineRule="auto"/>
        <w:tabs>
          <w:tab w:leader="none" w:pos="25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ind w:firstLine="1243"/>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ind w:right="120" w:firstLine="1243"/>
        <w:spacing w:after="0" w:line="260"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3" w:name="page54"/>
    <w:bookmarkEnd w:id="53"/>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72" w:lineRule="exact"/>
        <w:rPr>
          <w:sz w:val="20"/>
          <w:szCs w:val="20"/>
          <w:color w:val="auto"/>
        </w:rPr>
      </w:pPr>
    </w:p>
    <w:p>
      <w:pPr>
        <w:ind w:right="300" w:firstLine="622"/>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RSUs until such shares of Common Stock have been issued to you.</w:t>
      </w:r>
    </w:p>
    <w:p>
      <w:pPr>
        <w:spacing w:after="0" w:line="148" w:lineRule="exact"/>
        <w:rPr>
          <w:sz w:val="20"/>
          <w:szCs w:val="20"/>
          <w:color w:val="auto"/>
        </w:rPr>
      </w:pPr>
    </w:p>
    <w:p>
      <w:pPr>
        <w:ind w:right="40" w:firstLine="622"/>
        <w:spacing w:after="0" w:line="262"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Non-solicitation or Confidentiality Covenants.</w:t>
      </w:r>
      <w:r>
        <w:rPr>
          <w:rFonts w:ascii="Times New Roman" w:cs="Times New Roman" w:eastAsia="Times New Roman" w:hAnsi="Times New Roman"/>
          <w:sz w:val="17"/>
          <w:szCs w:val="17"/>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RSUs will be forfeited; and (ii) you shall, within ten</w:t>
      </w:r>
    </w:p>
    <w:p>
      <w:pPr>
        <w:ind w:left="340" w:hanging="336"/>
        <w:spacing w:after="0"/>
        <w:tabs>
          <w:tab w:leader="none" w:pos="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notice of the Administrator’s determination of such breach, repay all cash or shares of Common Stock paid in settlement of the RSUs within twelve</w:t>
      </w:r>
    </w:p>
    <w:p>
      <w:pPr>
        <w:spacing w:after="0" w:line="11" w:lineRule="exact"/>
        <w:rPr>
          <w:rFonts w:ascii="Times New Roman" w:cs="Times New Roman" w:eastAsia="Times New Roman" w:hAnsi="Times New Roman"/>
          <w:sz w:val="17"/>
          <w:szCs w:val="17"/>
          <w:color w:val="auto"/>
        </w:rPr>
      </w:pPr>
    </w:p>
    <w:p>
      <w:pPr>
        <w:ind w:right="20" w:firstLine="4"/>
        <w:spacing w:after="0" w:line="268" w:lineRule="auto"/>
        <w:tabs>
          <w:tab w:leader="none" w:pos="33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preceding your termination from Service. The forfeiture and clawback rights in this Section are in addition to, and not in substitution of, any rights of repurchase or other recoupment rights the Company may have.</w:t>
      </w:r>
    </w:p>
    <w:p>
      <w:pPr>
        <w:spacing w:after="0" w:line="166"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Issuance of Shares</w:t>
      </w:r>
      <w:r>
        <w:rPr>
          <w:rFonts w:ascii="Times New Roman" w:cs="Times New Roman" w:eastAsia="Times New Roman" w:hAnsi="Times New Roman"/>
          <w:sz w:val="17"/>
          <w:szCs w:val="17"/>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535305</wp:posOffset>
            </wp:positionV>
            <wp:extent cx="71380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4" w:name="page55"/>
    <w:bookmarkEnd w:id="54"/>
    <w:p>
      <w:pPr>
        <w:ind w:firstLine="622"/>
        <w:spacing w:after="0" w:line="273"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62"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2"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xml:space="preserve"> This Agreement is intended to fit within the “short-term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RSUs are considered deferred compensation subject to Code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173"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ind w:right="140" w:firstLine="622"/>
        <w:spacing w:after="0" w:line="273"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48" w:lineRule="exact"/>
        <w:rPr>
          <w:sz w:val="20"/>
          <w:szCs w:val="20"/>
          <w:color w:val="auto"/>
        </w:rPr>
      </w:pPr>
    </w:p>
    <w:p>
      <w:pPr>
        <w:ind w:right="200" w:firstLine="622"/>
        <w:spacing w:after="0" w:line="266"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9" w:lineRule="exact"/>
        <w:rPr>
          <w:sz w:val="20"/>
          <w:szCs w:val="20"/>
          <w:color w:val="auto"/>
        </w:rPr>
      </w:pPr>
    </w:p>
    <w:p>
      <w:pPr>
        <w:ind w:right="120" w:firstLine="622"/>
        <w:spacing w:after="0" w:line="260"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5" w:name="page56"/>
    <w:bookmarkEnd w:id="55"/>
    <w:p>
      <w:pPr>
        <w:ind w:firstLine="622"/>
        <w:spacing w:after="0" w:line="26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75"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Glossary begins on next page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431800</wp:posOffset>
            </wp:positionV>
            <wp:extent cx="7138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ind w:right="140" w:firstLine="1243"/>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committee or committees appointed by the Board to administer the Plan.</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(f)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Internal Revenue Code of 1986, as amended, and the Treasury regulations and other guidance promulgated thereunder.</w:t>
      </w:r>
    </w:p>
    <w:p>
      <w:pPr>
        <w:spacing w:after="0" w:line="2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ind w:firstLine="1243"/>
        <w:spacing w:after="0" w:line="29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RSUs made to you as set forth in the relevant Notice.</w:t>
      </w:r>
    </w:p>
    <w:p>
      <w:pPr>
        <w:spacing w:after="0" w:line="219" w:lineRule="exact"/>
        <w:rPr>
          <w:sz w:val="20"/>
          <w:szCs w:val="20"/>
          <w:color w:val="auto"/>
        </w:rPr>
      </w:pPr>
    </w:p>
    <w:p>
      <w:pPr>
        <w:ind w:right="260" w:firstLine="1243"/>
        <w:spacing w:after="0" w:line="296"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RSUs made to you.</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the Company’s commitment to issue one share of Common Stock at a future date, subject to the terms of the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Plan.</w:t>
      </w:r>
    </w:p>
    <w:p>
      <w:pPr>
        <w:spacing w:after="0" w:line="196" w:lineRule="exact"/>
        <w:rPr>
          <w:sz w:val="20"/>
          <w:szCs w:val="20"/>
          <w:color w:val="auto"/>
        </w:rPr>
      </w:pPr>
    </w:p>
    <w:p>
      <w:pPr>
        <w:ind w:right="20" w:firstLine="1243"/>
        <w:spacing w:after="0" w:line="268"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ind w:right="220" w:firstLine="1243"/>
        <w:spacing w:after="0" w:line="268"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0"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(COMBINED RATIO)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/$ParticipantName$/</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Notice evidences the award of performance-based restricted stock units (each, a “</w:t>
      </w:r>
      <w:r>
        <w:rPr>
          <w:rFonts w:ascii="Times New Roman" w:cs="Times New Roman" w:eastAsia="Times New Roman" w:hAnsi="Times New Roman"/>
          <w:sz w:val="17"/>
          <w:szCs w:val="17"/>
          <w:b w:val="1"/>
          <w:bCs w:val="1"/>
          <w:i w:val="1"/>
          <w:iCs w:val="1"/>
          <w:color w:val="auto"/>
        </w:rPr>
        <w:t>PSU,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PSUs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of Skyward Specialty Insurance Group,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and conditioned upon your agreement to the terms of the attached Performance-Based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Grant Date:</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/$GrantDate$/</w:t>
            </w:r>
          </w:p>
        </w:tc>
      </w:tr>
      <w:tr>
        <w:trPr>
          <w:trHeight w:val="20"/>
        </w:trPr>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94"/>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Performance Period:</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January 1, 2026 to December 31, 2028, with separate Measurement Periods (as defined in Exhibit A).</w:t>
            </w:r>
          </w:p>
        </w:tc>
      </w:tr>
      <w:tr>
        <w:trPr>
          <w:trHeight w:val="20"/>
        </w:trPr>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94"/>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Target Number of PSUs:</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/$AwardsGranted$/ subject to adjustment as provided by the Agreement.</w:t>
            </w:r>
          </w:p>
        </w:tc>
      </w:tr>
      <w:tr>
        <w:trPr>
          <w:trHeight w:val="20"/>
        </w:trPr>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394"/>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Maximum Number of PSUs:</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As specified in Exhibit A.</w:t>
            </w:r>
          </w:p>
        </w:tc>
      </w:tr>
      <w:tr>
        <w:trPr>
          <w:trHeight w:val="20"/>
        </w:trPr>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394"/>
        </w:trPr>
        <w:tc>
          <w:tcPr>
            <w:tcW w:w="1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Vesting Conditions:</w:t>
            </w:r>
          </w:p>
        </w:tc>
        <w:tc>
          <w:tcPr>
            <w:tcW w:w="300" w:type="dxa"/>
            <w:vAlign w:val="bottom"/>
          </w:tcPr>
          <w:p>
            <w:pPr>
              <w:spacing w:after="0"/>
              <w:rPr>
                <w:sz w:val="24"/>
                <w:szCs w:val="24"/>
                <w:color w:val="auto"/>
              </w:rPr>
            </w:pP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All of the PSUs are nonvested and forfeitable as of the Grant Date.  In order for any PSUs to vest, each of two vesting</w:t>
            </w:r>
          </w:p>
        </w:tc>
      </w:tr>
      <w:tr>
        <w:trPr>
          <w:trHeight w:val="226"/>
        </w:trPr>
        <w:tc>
          <w:tcPr>
            <w:tcW w:w="7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conditions must be satisfied: (i) the Service Vesting Condition, and (ii) the Performance Vesting Condition.</w:t>
            </w:r>
          </w:p>
        </w:tc>
      </w:tr>
    </w:tbl>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u w:val="single" w:color="auto"/>
          <w:color w:val="auto"/>
        </w:rPr>
        <w:t>Performance Vesting Condition</w:t>
      </w:r>
      <w:r>
        <w:rPr>
          <w:rFonts w:ascii="Times New Roman" w:cs="Times New Roman" w:eastAsia="Times New Roman" w:hAnsi="Times New Roman"/>
          <w:sz w:val="17"/>
          <w:szCs w:val="17"/>
          <w:color w:val="auto"/>
        </w:rPr>
        <w:t xml:space="preserve">: The number of Performance Stock Units that may actually vest and that the Participant may actually earn for the Award Period, is subject to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Performance Vesting Condition</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u w:val="single" w:color="auto"/>
          <w:color w:val="auto"/>
        </w:rPr>
        <w:t>Service Vesting Condition</w:t>
      </w:r>
      <w:r>
        <w:rPr>
          <w:rFonts w:ascii="Times New Roman" w:cs="Times New Roman" w:eastAsia="Times New Roman" w:hAnsi="Times New Roman"/>
          <w:sz w:val="17"/>
          <w:szCs w:val="17"/>
          <w:color w:val="auto"/>
        </w:rPr>
        <w:t xml:space="preserve">: Except as set forth in Section 3 of the Agreement, your eligibility to satisfy the Service Vesting Condition is contingent upon your Service continuing through and including the last date of the Performance Period (such applicable </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8"/>
          <w:szCs w:val="28"/>
          <w:color w:val="auto"/>
          <w:strike w:val="1"/>
          <w:vertAlign w:val="superscript"/>
        </w:rPr>
        <w: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xml:space="preserve">”). Subject to the terms of the Agreement, so long as your Service is continuous from the Grant Date through the Vesting Date, the number of PSUs that are eligible to vest will be based on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further specified in Section 3 of the Agreement, in the event your Service is terminated prior to the Vesting Date due to your: (A) death or Total and Permanent Disability, (B) Qualifying Retirement, or (C) Change in Control Qualifying Termination, you will be deemed to have either partially or fully satisfied the Service Vesting Condition as specified in Section 3 of the Agreement and are eligible to vest in the applicable number of PSUs as specified in Section 3 of the Agreement, subject to the terms specified therein.</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By accepting the PSUs, you acknowledge and agree that: (i) you have carefully read the Agreement and the Plan, (ii) you agree to be bound by all of the provisions set forth in those documents,(iii) you consent to electronic delivery of all notices or other information with respect to the PSUs or the Company, and (iv) you have received the Prospectus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PSUs are nonvested and forfeitable as of the Grant Date. So long as your Service is continuous from the Grant Date through the Vesting Date or earlier termination date as set forth in Section 3, the PSUs will become vested and nonforfeitable in accordance with the vesting conditions set forth in the Notice or this Agreement. Except for the specific circumstances, if any, described in the Notice and Section 3 of this Agreement, none of the PSUs will become vested and nonforfeitable after your Service ceases if such termination of your Service occurs prior to the Vesting Date.</w:t>
      </w:r>
    </w:p>
    <w:p>
      <w:pPr>
        <w:spacing w:after="0" w:line="16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or approved by the Administrator, if your Service with the Company ceases for any reason prior to the Vesting Date other than as specified in this Section 3, all PSUs will be forfeited to the Company immediately and automatically upon such cessation of your Service without payment of any consideration therefor and you will have no further right, title or interest in or to such PSUs or the underlying shares of Common Stock.</w:t>
      </w:r>
    </w:p>
    <w:p>
      <w:pPr>
        <w:spacing w:after="0" w:line="169" w:lineRule="exact"/>
        <w:rPr>
          <w:sz w:val="20"/>
          <w:szCs w:val="20"/>
          <w:color w:val="auto"/>
        </w:rPr>
      </w:pPr>
    </w:p>
    <w:p>
      <w:pPr>
        <w:jc w:val="both"/>
        <w:ind w:firstLine="1243"/>
        <w:spacing w:after="0" w:line="25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Death or Total and Permanent Disability</w:t>
      </w:r>
      <w:r>
        <w:rPr>
          <w:rFonts w:ascii="Times New Roman" w:cs="Times New Roman" w:eastAsia="Times New Roman" w:hAnsi="Times New Roman"/>
          <w:sz w:val="17"/>
          <w:szCs w:val="17"/>
          <w:color w:val="auto"/>
        </w:rPr>
        <w:t>. In the event your Service is terminated due to your death or Total and Permanent Disability prior to the Vesting Date, you will be deemed to have fully satisfied the Service Vesting Condition as of your date of termination and the number of PSUs that vest will be calculated by using the actual performance for any Measurement Periods completed on or prior to the termination date and deemed target performance achievement for any Measurement Period that is not completed prior to the termination date, and such applicable number of PSUs shall be deemed vested as of your termination date based on such applicable average of the deemed and attained performance level for such Measurement Periods with the same weighting applied to all Measurement Periods in such averaging calculation. For the avoidance of doubt, any Measurement Periods that are scheduled to begin and/or end after the date on which the termination due to your death or Total and Permanent Disability occurs, if applicable, shall also be included in the average calculation at the deemed target performance level for purposes of determining the level of performance achievement and the number of PSUs that are eligible to vest.</w:t>
      </w:r>
    </w:p>
    <w:p>
      <w:pPr>
        <w:spacing w:after="0" w:line="177" w:lineRule="exact"/>
        <w:rPr>
          <w:sz w:val="20"/>
          <w:szCs w:val="20"/>
          <w:color w:val="auto"/>
        </w:rPr>
      </w:pPr>
    </w:p>
    <w:p>
      <w:pPr>
        <w:jc w:val="both"/>
        <w:ind w:firstLine="1243"/>
        <w:spacing w:after="0" w:line="25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Qualifying Retirement</w:t>
      </w:r>
      <w:r>
        <w:rPr>
          <w:rFonts w:ascii="Times New Roman" w:cs="Times New Roman" w:eastAsia="Times New Roman" w:hAnsi="Times New Roman"/>
          <w:sz w:val="17"/>
          <w:szCs w:val="17"/>
          <w:color w:val="auto"/>
        </w:rPr>
        <w:t>. In the event your Service is terminated due to a Qualifying Retirement prior to the Vesting Date, you will be deemed to have satisfied the Service Vesting Condition on a pro-rata basis and the number of PSUs that are eligible to vest will be a pro-rata number based on the number of days you were in Service during the Performance Period and the actual average performance level achieved through the end of the Measurement Period in which the Qualifying Retirement occurs. Your pro-rata satisfaction of the Service Vesting Condition and such pro-rata portion of the number of PSUs which are eligible to vest will be determined by dividing (i) the number of days that have elapsed prior to the date of the Qualifying Retirement date since the start of the applicable Performance Period by (ii) the total number of days in such Performance Period. The pro-rata number of PSUs which are eligible to vest based on the applicable performance level attained will be calculated by reference to the average of the actual performance for any completed Measurement Periods as of the termination date and actual performance achieved for the Measurement Period in which the Qualifying Retirement occurs, and such applicable pro-rata number of PSUs shall vest contingent on the Release Effective Date. For the avoidance of doubt, any Measurement Periods that are scheduled to begin after the date on which the Qualifying Retirement occurs will not be included in the average calculation for purposes of determining the level of performance achievement and number of pro-rata PSUs which are eligible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9" w:name="page60"/>
    <w:bookmarkEnd w:id="59"/>
    <w:p>
      <w:pPr>
        <w:jc w:val="both"/>
        <w:ind w:firstLine="1243"/>
        <w:spacing w:after="0" w:line="258"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Change in Control Qualifying Termination</w:t>
      </w:r>
      <w:r>
        <w:rPr>
          <w:rFonts w:ascii="Times New Roman" w:cs="Times New Roman" w:eastAsia="Times New Roman" w:hAnsi="Times New Roman"/>
          <w:sz w:val="17"/>
          <w:szCs w:val="17"/>
          <w:color w:val="auto"/>
        </w:rPr>
        <w:t>. In the event your Service is terminated due to a Change in Control Qualifying Termination prior to the Vesting Date, the Service Vesting Condition will be deemed fully satisfied on the Release Effective Date, and the total number of PSUs that are eligible to vest will be calculated by reference to actual performance for any Measurement Periods completed on or prior to the date of the Change in Control Qualifying Termination and deemed target performance achievement for any Measurement Period that is not completed prior to the date of the Change in Control Qualifying Termination and such applicable number of PSUs shall be deemed vested as of the date of your Change in Control Qualifying Termination based on such applicable average of the deemed and attained performance level for such Measurement Periods with the same weighting applied to all Measurement Periods in such averaging calculation and in all cases subject to and contingent upon the closing of the Change in Control. For the avoidance of doubt, any Measurement Periods that are scheduled to begin and/or end after the date on which the Change in Control Qualifying Termination occurs, if applicable, shall also be included in the average calculation at the deemed target performance level for purposes of determining the level of performance achievement and the number of PSUs that are eligible to vest.</w:t>
      </w:r>
    </w:p>
    <w:p>
      <w:pPr>
        <w:spacing w:after="0" w:line="178"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spacing w:after="0" w:line="16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If,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 be subject to the same vesting and forfeiture restrictions as the PSUs to which they are attributable and shall be paid in cash no later than the same date that the PSUs to which they are attributable are settled and paid in accordance with Section 6 hereof. If your vested PSUs have been settled after the record date but prior to the dividend payment date, any dividend equivalents that would be credited pursuant to the preceding sentence shall be paid on or as soon as practicable after the dividend payment date.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PSUs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865"/>
        <w:spacing w:after="0" w:line="234"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Service Through Vesting Date</w:t>
      </w:r>
      <w:r>
        <w:rPr>
          <w:rFonts w:ascii="Times New Roman" w:cs="Times New Roman" w:eastAsia="Times New Roman" w:hAnsi="Times New Roman"/>
          <w:sz w:val="17"/>
          <w:szCs w:val="17"/>
          <w:color w:val="auto"/>
        </w:rPr>
        <w:t>. Subject to the provisions in Section 6(b)(v) below, if your PSUs vest in connection with your continued Service through the Vesting Date, your PSUs will be settled by the Company, via the issuance of Common Stock as described herein, on a date selected by the Company that is within sixty (60) days following the date the number of PSU which are eligible to vest is determined by the Administrator and such selected settlement date shall occur in all cases not earlier than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and not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first calendar year that commences following</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7"/>
          <w:szCs w:val="17"/>
          <w:color w:val="auto"/>
        </w:rPr>
        <w:t>the Vesting Date, which settlement date during such single calendar year shall be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the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first calendar year that commences following the Vesting Date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412115</wp:posOffset>
            </wp:positionV>
            <wp:extent cx="7138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0" w:name="page61"/>
    <w:bookmarkEnd w:id="60"/>
    <w:p>
      <w:pPr>
        <w:jc w:val="both"/>
        <w:ind w:firstLine="1865"/>
        <w:spacing w:after="0" w:line="262"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Death or Total and Permanent Disability</w:t>
      </w:r>
      <w:r>
        <w:rPr>
          <w:rFonts w:ascii="Times New Roman" w:cs="Times New Roman" w:eastAsia="Times New Roman" w:hAnsi="Times New Roman"/>
          <w:sz w:val="17"/>
          <w:szCs w:val="17"/>
          <w:color w:val="auto"/>
        </w:rPr>
        <w:t>. Subject to the provisions in Section 6(b)(v) and Section 6(b)(vi) below, if your PSUs vest in connection with your death or Total and Permanent Disability, your PSUs will be settled by the Company, via the issuance of Common Stock as described herein, as soon as administratively practicable on a date selected by the Company that is within the ninety (90) day period following the date of such termination,</w:t>
      </w:r>
    </w:p>
    <w:p>
      <w:pPr>
        <w:jc w:val="both"/>
        <w:spacing w:after="0" w:line="210" w:lineRule="auto"/>
        <w:rPr>
          <w:sz w:val="20"/>
          <w:szCs w:val="20"/>
          <w:color w:val="auto"/>
        </w:rPr>
      </w:pPr>
      <w:r>
        <w:rPr>
          <w:rFonts w:ascii="Times New Roman" w:cs="Times New Roman" w:eastAsia="Times New Roman" w:hAnsi="Times New Roman"/>
          <w:sz w:val="17"/>
          <w:szCs w:val="17"/>
          <w:color w:val="auto"/>
        </w:rPr>
        <w:t>which settlement date during such ninety (90) day period shall be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date of your death or Total and Permanent Disability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189" w:lineRule="exact"/>
        <w:rPr>
          <w:sz w:val="20"/>
          <w:szCs w:val="20"/>
          <w:color w:val="auto"/>
        </w:rPr>
      </w:pPr>
    </w:p>
    <w:p>
      <w:pPr>
        <w:jc w:val="both"/>
        <w:ind w:firstLine="1865"/>
        <w:spacing w:after="0" w:line="265" w:lineRule="auto"/>
        <w:rPr>
          <w:sz w:val="20"/>
          <w:szCs w:val="20"/>
          <w:color w:val="auto"/>
        </w:rPr>
      </w:pPr>
      <w:r>
        <w:rPr>
          <w:rFonts w:ascii="Times New Roman" w:cs="Times New Roman" w:eastAsia="Times New Roman" w:hAnsi="Times New Roman"/>
          <w:sz w:val="17"/>
          <w:szCs w:val="17"/>
          <w:color w:val="auto"/>
        </w:rPr>
        <w:t>(iii)          Qualifying Retirement. Subject to the provisions in Section 6(b)(v) below, if your PSUs vest in connection with a Qualifying Retirement, your PSUs will be settled by the Company, via the issuance of Common Stock as described herein, on a date selected by the Company that shall occur</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in all cases not earlier than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and not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first calendar year that commences following the year in which the Qualifying Retirement occurs, provided that such selected settlement date shall occur in all cases within the sixty (60) day period following the later of: (i) the date that is six</w:t>
      </w:r>
    </w:p>
    <w:p>
      <w:pPr>
        <w:jc w:val="both"/>
        <w:ind w:firstLine="4"/>
        <w:spacing w:after="0" w:line="259" w:lineRule="auto"/>
        <w:tabs>
          <w:tab w:leader="none" w:pos="25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and one (1) day following the date of Qualifying Retirement, or (ii) the date the number of PSU which are eligible to vest in connection with such Qualifying Retirement is determined by the Administrator, and such selected settlement date which settlement date during such single calendar year shall be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December 31st of the first calendar year that commences following the date of Qualifying Retirement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174" w:lineRule="exact"/>
        <w:rPr>
          <w:sz w:val="20"/>
          <w:szCs w:val="20"/>
          <w:color w:val="auto"/>
        </w:rPr>
      </w:pPr>
    </w:p>
    <w:p>
      <w:pPr>
        <w:jc w:val="both"/>
        <w:ind w:firstLine="1865"/>
        <w:spacing w:after="0" w:line="260"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Change in Control Qualifying Termination</w:t>
      </w:r>
      <w:r>
        <w:rPr>
          <w:rFonts w:ascii="Times New Roman" w:cs="Times New Roman" w:eastAsia="Times New Roman" w:hAnsi="Times New Roman"/>
          <w:sz w:val="17"/>
          <w:szCs w:val="17"/>
          <w:color w:val="auto"/>
        </w:rPr>
        <w:t>. Subject to the provisions in Section 6(b)(v) below, if your PSUs vest in connection with a Change in Control Qualifying Termination, your PSUs will be settled by the Company, via the issuance of Common Stock as described herein, on a date selected by the Company that is in all cases within ninety (90) days following the later of: (1) the date of the Change in Control, or (2) the date that is six (6) months and one (1) day following the date of Change in Control Qualifying Termination, which settlement date during such ninety (90) day period shall be the</w:t>
      </w:r>
    </w:p>
    <w:p>
      <w:pPr>
        <w:jc w:val="both"/>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later of: (1) the date of the Change in Control, or (2) the date that is six (6) months and one (1) day following the date of Change in Control Qualifying Termination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332" w:lineRule="exact"/>
        <w:rPr>
          <w:sz w:val="20"/>
          <w:szCs w:val="20"/>
          <w:color w:val="auto"/>
        </w:rPr>
      </w:pPr>
    </w:p>
    <w:p>
      <w:pPr>
        <w:jc w:val="both"/>
        <w:ind w:firstLine="1865"/>
        <w:spacing w:after="0" w:line="266" w:lineRule="auto"/>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Delayed Issuance Timing</w:t>
      </w:r>
      <w:r>
        <w:rPr>
          <w:rFonts w:ascii="Times New Roman" w:cs="Times New Roman" w:eastAsia="Times New Roman" w:hAnsi="Times New Roman"/>
          <w:sz w:val="17"/>
          <w:szCs w:val="17"/>
          <w:color w:val="auto"/>
        </w:rPr>
        <w:t>. In all cases, if the applicable Original Issuance Date falls on a date that is prior to the applicable Issuance Deadline and on a date that is not a business day, delivery shall instead occur on the next following business day if such date is not later than the Issuance Deadline. Additionally, if the Original Issuance Date falls on a date that precedes the applicable Issuance Deadline for your vested PSUs, the following provisions shall be applicable with respect to the issuance of shares in settlement of your vested PSUs.</w:t>
      </w:r>
    </w:p>
    <w:p>
      <w:pPr>
        <w:spacing w:after="0" w:line="169" w:lineRule="exact"/>
        <w:rPr>
          <w:sz w:val="20"/>
          <w:szCs w:val="20"/>
          <w:color w:val="auto"/>
        </w:rPr>
      </w:pPr>
    </w:p>
    <w:p>
      <w:pPr>
        <w:jc w:val="both"/>
        <w:ind w:firstLine="2486"/>
        <w:spacing w:after="0" w:line="263" w:lineRule="auto"/>
        <w:rPr>
          <w:sz w:val="20"/>
          <w:szCs w:val="20"/>
          <w:color w:val="auto"/>
        </w:rPr>
      </w:pPr>
      <w:r>
        <w:rPr>
          <w:rFonts w:ascii="Times New Roman" w:cs="Times New Roman" w:eastAsia="Times New Roman" w:hAnsi="Times New Roman"/>
          <w:sz w:val="17"/>
          <w:szCs w:val="17"/>
          <w:color w:val="auto"/>
        </w:rPr>
        <w:t>a.            If the applicable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Arrangement</w:t>
      </w:r>
      <w:r>
        <w:rPr>
          <w:rFonts w:ascii="Times New Roman" w:cs="Times New Roman" w:eastAsia="Times New Roman" w:hAnsi="Times New Roman"/>
          <w:sz w:val="17"/>
          <w:szCs w:val="17"/>
          <w:color w:val="auto"/>
        </w:rPr>
        <w:t>”)), and</w:t>
      </w:r>
    </w:p>
    <w:p>
      <w:pPr>
        <w:spacing w:after="0" w:line="172" w:lineRule="exact"/>
        <w:rPr>
          <w:sz w:val="20"/>
          <w:szCs w:val="20"/>
          <w:color w:val="auto"/>
        </w:rPr>
      </w:pPr>
    </w:p>
    <w:p>
      <w:pPr>
        <w:jc w:val="both"/>
        <w:ind w:firstLine="2486"/>
        <w:spacing w:after="0" w:line="265" w:lineRule="auto"/>
        <w:rPr>
          <w:sz w:val="20"/>
          <w:szCs w:val="20"/>
          <w:color w:val="auto"/>
        </w:rPr>
      </w:pPr>
      <w:r>
        <w:rPr>
          <w:rFonts w:ascii="Times New Roman" w:cs="Times New Roman" w:eastAsia="Times New Roman" w:hAnsi="Times New Roman"/>
          <w:sz w:val="17"/>
          <w:szCs w:val="17"/>
          <w:color w:val="auto"/>
        </w:rPr>
        <w:t>b.            either (1) Withholding Taxes do not apply, or (2) the Company decides, prior to the Original Issuance Date, (A) not to satisfy the Withholding Taxes by withholding shares of Common Stock from the shares otherwise due, on the Original Issuance Date, to you under this PSU, and</w:t>
      </w:r>
    </w:p>
    <w:p>
      <w:pPr>
        <w:spacing w:after="0" w:line="1" w:lineRule="exact"/>
        <w:rPr>
          <w:sz w:val="20"/>
          <w:szCs w:val="20"/>
          <w:color w:val="auto"/>
        </w:rPr>
      </w:pPr>
    </w:p>
    <w:p>
      <w:pPr>
        <w:jc w:val="both"/>
        <w:ind w:firstLine="4"/>
        <w:spacing w:after="0" w:line="259" w:lineRule="auto"/>
        <w:tabs>
          <w:tab w:leader="none" w:pos="28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the applicable Issuance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401320</wp:posOffset>
            </wp:positionV>
            <wp:extent cx="71380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1" w:name="page62"/>
    <w:bookmarkEnd w:id="61"/>
    <w:p>
      <w:pPr>
        <w:jc w:val="both"/>
        <w:ind w:firstLine="1865"/>
        <w:spacing w:after="0" w:line="263"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Participant Death Prior to Settlement</w:t>
      </w:r>
      <w:r>
        <w:rPr>
          <w:rFonts w:ascii="Times New Roman" w:cs="Times New Roman" w:eastAsia="Times New Roman" w:hAnsi="Times New Roman"/>
          <w:sz w:val="17"/>
          <w:szCs w:val="17"/>
          <w:color w:val="auto"/>
        </w:rPr>
        <w:t>. Notwithstanding the foregoing or anything to the contrary set forth herein, to the extent your PSUs vest upon your death or your death occurs prior to settlement of your previously vested PSUs, the Company is not obligated to settle such PSUs until such date selected by the Company that is as soon as administratively practicable within the thirty (30) day period following the date that the Company receives evidence of the applicable beneficiary who is entitled to receive such settlement (the “</w:t>
      </w:r>
      <w:r>
        <w:rPr>
          <w:rFonts w:ascii="Times New Roman" w:cs="Times New Roman" w:eastAsia="Times New Roman" w:hAnsi="Times New Roman"/>
          <w:sz w:val="17"/>
          <w:szCs w:val="17"/>
          <w:b w:val="1"/>
          <w:bCs w:val="1"/>
          <w:i w:val="1"/>
          <w:i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settlement of the PSUs, including but not limited to any tax liability.</w:t>
      </w:r>
    </w:p>
    <w:p>
      <w:pPr>
        <w:spacing w:after="0" w:line="172"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w:t>
      </w:r>
    </w:p>
    <w:p>
      <w:pPr>
        <w:spacing w:after="0" w:line="4" w:lineRule="exact"/>
        <w:rPr>
          <w:sz w:val="20"/>
          <w:szCs w:val="20"/>
          <w:color w:val="auto"/>
        </w:rPr>
      </w:pPr>
    </w:p>
    <w:p>
      <w:pPr>
        <w:jc w:val="both"/>
        <w:ind w:firstLine="4"/>
        <w:spacing w:after="0" w:line="255" w:lineRule="auto"/>
        <w:tabs>
          <w:tab w:leader="none" w:pos="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applicable statutory withholding rates, as determined by the Company, for federal, state, local and foreign tax purposes, including payroll taxes.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jc w:val="both"/>
        <w:ind w:firstLine="1243"/>
        <w:spacing w:after="0" w:line="26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PSUs would have been entitled, in the same manner and to the same extent as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534035</wp:posOffset>
            </wp:positionV>
            <wp:extent cx="7138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spacing w:after="0" w:line="17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PSUs until such shares of Common Stock have been issued to you.</w:t>
      </w:r>
    </w:p>
    <w:p>
      <w:pPr>
        <w:spacing w:after="0" w:line="148"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Non-solicitation or Confidentiality Covenants</w:t>
      </w:r>
      <w:r>
        <w:rPr>
          <w:rFonts w:ascii="Times New Roman" w:cs="Times New Roman" w:eastAsia="Times New Roman" w:hAnsi="Times New Roman"/>
          <w:sz w:val="17"/>
          <w:szCs w:val="17"/>
          <w:color w:val="auto"/>
        </w:rPr>
        <w:t>.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As a condition to this Agreement, you also agree to be bound by the terms of the Company’s Policy for Recovery of Erroneously Awarded Incentive Compensation, as it may be amended from time to time. The forfeiture and clawback rights in this Section are in addition to, and not in substitution of, any rights of repurchase or other recoupment rights the Company may have.</w:t>
      </w:r>
    </w:p>
    <w:p>
      <w:pPr>
        <w:spacing w:after="0" w:line="175"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the Issuance of Shares</w:t>
      </w:r>
      <w:r>
        <w:rPr>
          <w:rFonts w:ascii="Times New Roman" w:cs="Times New Roman" w:eastAsia="Times New Roman" w:hAnsi="Times New Roman"/>
          <w:sz w:val="17"/>
          <w:szCs w:val="17"/>
          <w:color w:val="auto"/>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535305</wp:posOffset>
            </wp:positionV>
            <wp:extent cx="71380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3" w:name="page64"/>
    <w:bookmarkEnd w:id="63"/>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contain the entire agreement between the parties with respect to the PSUs granted hereunder. Any oral or written agreements, representations, warranties, written inducements, or other communications made prior to the execution of this Agreement with respect to the PSUs granted hereunder shall be void and ineffective for all purposes.</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spacing w:after="0" w:line="162"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17.           280G Best After-Tax. In the event that the grant of PSUs and/or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 Upon the occurrence of any event that might reasonably be anticipated to result in an “excess parachute payment” to the Participant as described above the Company shall appoint a nationally recognized tax firm to make the determination required by this Section (the “</w:t>
      </w:r>
      <w:r>
        <w:rPr>
          <w:rFonts w:ascii="Times New Roman" w:cs="Times New Roman" w:eastAsia="Times New Roman" w:hAnsi="Times New Roman"/>
          <w:sz w:val="17"/>
          <w:szCs w:val="17"/>
          <w:b w:val="1"/>
          <w:bCs w:val="1"/>
          <w:i w:val="1"/>
          <w:iCs w:val="1"/>
          <w:color w:val="auto"/>
        </w:rPr>
        <w:t>Tax Firm</w:t>
      </w:r>
      <w:r>
        <w:rPr>
          <w:rFonts w:ascii="Times New Roman" w:cs="Times New Roman" w:eastAsia="Times New Roman" w:hAnsi="Times New Roman"/>
          <w:sz w:val="17"/>
          <w:szCs w:val="17"/>
          <w:color w:val="auto"/>
        </w:rPr>
        <w:t>”). The Company and the Participant shall furnish to the Tax Firm such information and documents as the Tax Firm may reasonably request in order to make their required determination. The Company shall bear all fees and expenses the Tax Firm may charge in connection with their services contemplated by this Section.</w:t>
      </w:r>
    </w:p>
    <w:p>
      <w:pPr>
        <w:spacing w:after="0" w:line="177"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and the PSUs granted hereunder are intended to comply with the payment timing requirements of Section 409A of the Code, as payable upon the earliest of Section 409A compliant specified payment dates or permitted payment events and any ambiguities herein shall be construed consistent with such intent. In administering this Agreement, the Company shall interpret this Agreement in a manner consistent with such intent. As of the date of your separation from service (within the meaning of Treasury Regulation Section 1.409A-1(h)), the issuance of any shares that would otherwise be made to you in connection with your separation from service or within the first six (6) months thereafter will not be made on the originally scheduled date(s) and will instead be issued on the date that is six (6) months and one day after the date of the separation from service, or if earlier, upon earlier death.</w:t>
      </w:r>
    </w:p>
    <w:p>
      <w:pPr>
        <w:spacing w:after="0" w:line="382"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1380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4" w:name="page65"/>
    <w:bookmarkEnd w:id="64"/>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75"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jc w:val="both"/>
        <w:ind w:firstLine="622"/>
        <w:spacing w:after="0" w:line="262"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383"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p>
      <w:pPr>
        <w:jc w:val="both"/>
        <w:ind w:firstLine="622"/>
        <w:spacing w:after="0" w:line="257"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{Glossary begins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431800</wp:posOffset>
            </wp:positionV>
            <wp:extent cx="7138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Compensation Committee or Compensation Committees appointed by the Board to administer the Plan.</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have the meaning set forth in the Plan provided that such transaction is also a “change in control event,” as defined in Treasury Regulations Section 1.409A-3(i)(5)(i).</w:t>
      </w:r>
    </w:p>
    <w:p>
      <w:pPr>
        <w:spacing w:after="0" w:line="139" w:lineRule="exact"/>
        <w:rPr>
          <w:sz w:val="20"/>
          <w:szCs w:val="20"/>
          <w:color w:val="auto"/>
        </w:rPr>
      </w:pPr>
    </w:p>
    <w:p>
      <w:pPr>
        <w:jc w:val="both"/>
        <w:ind w:firstLine="1243"/>
        <w:spacing w:after="0" w:line="27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“Change in Control Qualifying Termination”</w:t>
      </w:r>
      <w:r>
        <w:rPr>
          <w:rFonts w:ascii="Times New Roman" w:cs="Times New Roman" w:eastAsia="Times New Roman" w:hAnsi="Times New Roman"/>
          <w:sz w:val="17"/>
          <w:szCs w:val="17"/>
          <w:color w:val="auto"/>
        </w:rPr>
        <w:t xml:space="preserve"> shall mean a Qualifying Termination which occurs: (i) at the direction or request of the acquiring entity and within the six (6) month period immediately prior to the closing of a Change in Control, or (ii) within the twelve (12) month period immediately following the closing of such Change in Control.</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Treasury regulations and other guidance promulgated thereunder.</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jc w:val="both"/>
        <w:ind w:firstLine="1243"/>
        <w:spacing w:after="0" w:line="244"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xml:space="preserve">” means, without your written consent, (i) a material reduction in your base salary or annual cash incentive targets; (ii) a material diminution in your title, duties, or responsibilities;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(iii) any material breach of this Agreement by the Company; or (iv) any relocation of your principal place of employment that results in an increased commute of more than thirty-five (35)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200" w:lineRule="exact"/>
        <w:rPr>
          <w:sz w:val="20"/>
          <w:szCs w:val="20"/>
          <w:color w:val="auto"/>
        </w:rPr>
      </w:pP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PSUs made to you as set forth in the relevant Notice.</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Measurement Period</w:t>
      </w:r>
      <w:r>
        <w:rPr>
          <w:rFonts w:ascii="Times New Roman" w:cs="Times New Roman" w:eastAsia="Times New Roman" w:hAnsi="Times New Roman"/>
          <w:sz w:val="17"/>
          <w:szCs w:val="17"/>
          <w:color w:val="auto"/>
        </w:rPr>
        <w:t xml:space="preserve">” means the separate periods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17843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160" w:lineRule="exact"/>
        <w:rPr>
          <w:sz w:val="20"/>
          <w:szCs w:val="20"/>
          <w:color w:val="auto"/>
        </w:rPr>
      </w:pPr>
    </w:p>
    <w:p>
      <w:pPr>
        <w:ind w:left="120" w:hanging="116"/>
        <w:spacing w:after="0"/>
        <w:tabs>
          <w:tab w:leader="none" w:pos="12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i w:val="1"/>
          <w:iCs w:val="1"/>
          <w:color w:val="auto"/>
        </w:rPr>
        <w:t>Prong (ii) of the Good Reason trigger to be only included in form award agreement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71380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7" w:name="page68"/>
    <w:bookmarkEnd w:id="67"/>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PSUs made to you.</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jc w:val="both"/>
        <w:ind w:firstLine="1243"/>
        <w:spacing w:after="0" w:line="259"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i w:val="1"/>
          <w:iCs w:val="1"/>
          <w:color w:val="auto"/>
        </w:rPr>
        <w:t>Qualifying Retirement</w:t>
      </w:r>
      <w:r>
        <w:rPr>
          <w:rFonts w:ascii="Times New Roman" w:cs="Times New Roman" w:eastAsia="Times New Roman" w:hAnsi="Times New Roman"/>
          <w:sz w:val="17"/>
          <w:szCs w:val="17"/>
          <w:color w:val="auto"/>
        </w:rPr>
        <w:t>” means your termination of employment which is also a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 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1243"/>
        <w:spacing w:after="0" w:line="268"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xml:space="preserve"> means your termination without Cause or resignation for Good Reason which constitutes a “separation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(r)            “</w:t>
      </w:r>
      <w:r>
        <w:rPr>
          <w:rFonts w:ascii="Times New Roman" w:cs="Times New Roman" w:eastAsia="Times New Roman" w:hAnsi="Times New Roman"/>
          <w:sz w:val="17"/>
          <w:szCs w:val="17"/>
          <w:b w:val="1"/>
          <w:bCs w:val="1"/>
          <w:i w:val="1"/>
          <w:iCs w:val="1"/>
          <w:color w:val="auto"/>
        </w:rPr>
        <w:t>PSU</w:t>
      </w:r>
      <w:r>
        <w:rPr>
          <w:rFonts w:ascii="Times New Roman" w:cs="Times New Roman" w:eastAsia="Times New Roman" w:hAnsi="Times New Roman"/>
          <w:sz w:val="17"/>
          <w:szCs w:val="17"/>
          <w:color w:val="auto"/>
        </w:rPr>
        <w:t>” means the Company’s commitment to issue one share of Common Stock at a future date, subject to the terms of the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Plan.</w:t>
      </w:r>
    </w:p>
    <w:p>
      <w:pPr>
        <w:spacing w:after="0" w:line="196" w:lineRule="exact"/>
        <w:rPr>
          <w:sz w:val="20"/>
          <w:szCs w:val="20"/>
          <w:color w:val="auto"/>
        </w:rPr>
      </w:pPr>
    </w:p>
    <w:p>
      <w:pPr>
        <w:jc w:val="both"/>
        <w:ind w:firstLine="1243"/>
        <w:spacing w:after="0" w:line="268" w:lineRule="auto"/>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(t)            </w:t>
      </w:r>
      <w:r>
        <w:rPr>
          <w:rFonts w:ascii="Times New Roman" w:cs="Times New Roman" w:eastAsia="Times New Roman" w:hAnsi="Times New Roman"/>
          <w:sz w:val="17"/>
          <w:szCs w:val="17"/>
          <w:b w:val="1"/>
          <w:bCs w:val="1"/>
          <w:i w:val="1"/>
          <w:iCs w:val="1"/>
          <w:color w:val="auto"/>
        </w:rPr>
        <w:t>“Total and Permanent Disability”</w:t>
      </w:r>
      <w:r>
        <w:rPr>
          <w:rFonts w:ascii="Times New Roman" w:cs="Times New Roman" w:eastAsia="Times New Roman" w:hAnsi="Times New Roman"/>
          <w:sz w:val="17"/>
          <w:szCs w:val="17"/>
          <w:color w:val="auto"/>
        </w:rPr>
        <w:t xml:space="preserve"> shall have the meaning set forth in the Plan provided that you are also considered “disabled” as defined in Treasury Regulations Section 1.409A-3(i)(4)(i).</w:t>
      </w:r>
    </w:p>
    <w:p>
      <w:pPr>
        <w:spacing w:after="0" w:line="139" w:lineRule="exact"/>
        <w:rPr>
          <w:sz w:val="20"/>
          <w:szCs w:val="20"/>
          <w:color w:val="auto"/>
        </w:rPr>
      </w:pPr>
    </w:p>
    <w:p>
      <w:pPr>
        <w:jc w:val="both"/>
        <w:ind w:firstLine="1243"/>
        <w:spacing w:after="0" w:line="268" w:lineRule="auto"/>
        <w:rPr>
          <w:sz w:val="20"/>
          <w:szCs w:val="20"/>
          <w:color w:val="auto"/>
        </w:rPr>
      </w:pPr>
      <w:r>
        <w:rPr>
          <w:rFonts w:ascii="Times New Roman" w:cs="Times New Roman" w:eastAsia="Times New Roman" w:hAnsi="Times New Roman"/>
          <w:sz w:val="17"/>
          <w:szCs w:val="17"/>
          <w:color w:val="auto"/>
        </w:rPr>
        <w:t>(u)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8" w:name="page69"/>
    <w:bookmarkEnd w:id="68"/>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CERTAIN CONFIDENTIAL PORTIONS OF THIS EXHIBIT HAVE BEEN OMITTED AND REPLACED WITH “[***]”. SUCH IDENTIFIED INFORMATION HAS BEEN EXCLUDED FROM THIS EXHIBIT BECAUSE IT IS (I) NOT MATERIAL AND (II) WOULD LIKELY CAUSE COMPETITIVE HARM TO THE COMPANY IF DISCLOSED</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431800</wp:posOffset>
            </wp:positionV>
            <wp:extent cx="71380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(Relative GBVPS)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/$ParticipantName$/</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Notice evidences the award of performance-based restricted stock units (each, a “</w:t>
      </w:r>
      <w:r>
        <w:rPr>
          <w:rFonts w:ascii="Times New Roman" w:cs="Times New Roman" w:eastAsia="Times New Roman" w:hAnsi="Times New Roman"/>
          <w:sz w:val="17"/>
          <w:szCs w:val="17"/>
          <w:b w:val="1"/>
          <w:bCs w:val="1"/>
          <w:i w:val="1"/>
          <w:iCs w:val="1"/>
          <w:color w:val="auto"/>
        </w:rPr>
        <w:t>PSU,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PSUs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of Skyward Specialty Insurance Group,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and conditioned upon your agreement to the terms of the attached Performance-Based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Grant Date:</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/$GrantDate$/</w:t>
            </w:r>
          </w:p>
        </w:tc>
      </w:tr>
      <w:tr>
        <w:trPr>
          <w:trHeight w:val="20"/>
        </w:trPr>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94"/>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Performance Period:</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January 1, 2026 to December 31, 2028, with separate Measurement Periods (as defined in Exhibit A).</w:t>
            </w:r>
          </w:p>
        </w:tc>
      </w:tr>
      <w:tr>
        <w:trPr>
          <w:trHeight w:val="20"/>
        </w:trPr>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94"/>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Target Number of PSUs:</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/$AwardsGranted$/ subject to adjustment as provided by the Agreement.</w:t>
            </w:r>
          </w:p>
        </w:tc>
      </w:tr>
      <w:tr>
        <w:trPr>
          <w:trHeight w:val="20"/>
        </w:trPr>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394"/>
        </w:trPr>
        <w:tc>
          <w:tcPr>
            <w:tcW w:w="22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Maximum Number of PSUs:</w:t>
            </w: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As specified in Exhibit A.</w:t>
            </w:r>
          </w:p>
        </w:tc>
      </w:tr>
      <w:tr>
        <w:trPr>
          <w:trHeight w:val="20"/>
        </w:trPr>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394"/>
        </w:trPr>
        <w:tc>
          <w:tcPr>
            <w:tcW w:w="1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Vesting Conditions:</w:t>
            </w:r>
          </w:p>
        </w:tc>
        <w:tc>
          <w:tcPr>
            <w:tcW w:w="300" w:type="dxa"/>
            <w:vAlign w:val="bottom"/>
          </w:tcPr>
          <w:p>
            <w:pPr>
              <w:spacing w:after="0"/>
              <w:rPr>
                <w:sz w:val="24"/>
                <w:szCs w:val="24"/>
                <w:color w:val="auto"/>
              </w:rPr>
            </w:pP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All of the PSUs are nonvested and forfeitable as of the Grant Date.  In order for any PSUs to vest, each of two vesting</w:t>
            </w:r>
          </w:p>
        </w:tc>
      </w:tr>
      <w:tr>
        <w:trPr>
          <w:trHeight w:val="226"/>
        </w:trPr>
        <w:tc>
          <w:tcPr>
            <w:tcW w:w="7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conditions must be satisfied: (i) the Service Vesting Condition, and (ii) the Performance Vesting Condition.</w:t>
            </w:r>
          </w:p>
        </w:tc>
      </w:tr>
    </w:tbl>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u w:val="single" w:color="auto"/>
          <w:color w:val="auto"/>
        </w:rPr>
        <w:t>Performance Vesting Condition</w:t>
      </w:r>
      <w:r>
        <w:rPr>
          <w:rFonts w:ascii="Times New Roman" w:cs="Times New Roman" w:eastAsia="Times New Roman" w:hAnsi="Times New Roman"/>
          <w:sz w:val="17"/>
          <w:szCs w:val="17"/>
          <w:color w:val="auto"/>
        </w:rPr>
        <w:t xml:space="preserve">: The number of Performance Stock Units that may actually vest and that the Participant may actually earn for the Award Period, is subject to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Performance Vesting Condition</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u w:val="single" w:color="auto"/>
          <w:color w:val="auto"/>
        </w:rPr>
        <w:t>Service Vesting Condition</w:t>
      </w:r>
      <w:r>
        <w:rPr>
          <w:rFonts w:ascii="Times New Roman" w:cs="Times New Roman" w:eastAsia="Times New Roman" w:hAnsi="Times New Roman"/>
          <w:sz w:val="17"/>
          <w:szCs w:val="17"/>
          <w:color w:val="auto"/>
        </w:rPr>
        <w:t>: Except as set forth in Section 3 of the Agreement, your eligibility to satisfy the Service Vesting Condition is contingent upon your Service continuing through and including the last date of the Performance Period (such applicable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xml:space="preserve">”). Subject to the terms of the Agreement, so long as your Service is continuous from the Grant Date through the Vesting Date, the number of PSUs that are eligible to vest will be based on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further specified in Section 3 of the Agreement, in the event your Service is terminated prior to the Vesting Date due to your: (A) death or Total and Permanent Disability, (B) Qualifying Retirement, or (C) Change in Control Qualifying Termination, you will be deemed to have either partially or fully satisfied the Service Vesting Condition as specified in Section 3 of the Agreement and are eligible to vest in the applicable number of PSUs as specified in Section 3 of the Agreement, subject to the terms specified therein.</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By accepting the PSUs, you acknowledge and agree that: (i) you have carefully read the Agreement and the Plan, (ii) you agree to be bound by all of the provisions set forth in those documents, (iii) you consent to electronic delivery of all notices or other information with respect to the PSUs or the Company, and (iv) you have received the Prospectus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PSUs are nonvested and forfeitable as of the Grant Date. So long as your Service is continuous from the Grant Date through the Vesting Date or earlier termination date as set forth in Section 3, the PSUs will become vested and nonforfeitable in accordance with the vesting conditions set forth in the Notice or this Agreement. Except for the specific circumstances, if any, described in the Notice and Section 3 of this Agreement, none of the PSUs will become vested and nonforfeitable after your Service ceases if such termination of your Service occurs prior to the Vesting Date.</w:t>
      </w:r>
    </w:p>
    <w:p>
      <w:pPr>
        <w:spacing w:after="0" w:line="16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or approved by the Administrator, if your Service with the Company ceases for any reason prior to the Vesting Date other than as specified in this Section 3, all PSUs will be forfeited to the Company immediately and automatically upon such cessation of your Service without payment of any consideration therefor and you will have no further right, title or interest in or to such PSUs or the underlying shares of Common Stock.</w:t>
      </w:r>
    </w:p>
    <w:p>
      <w:pPr>
        <w:spacing w:after="0" w:line="169" w:lineRule="exact"/>
        <w:rPr>
          <w:sz w:val="20"/>
          <w:szCs w:val="20"/>
          <w:color w:val="auto"/>
        </w:rPr>
      </w:pPr>
    </w:p>
    <w:p>
      <w:pPr>
        <w:jc w:val="both"/>
        <w:ind w:firstLine="1243"/>
        <w:spacing w:after="0" w:line="25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Death or Total and Permanent Disability</w:t>
      </w:r>
      <w:r>
        <w:rPr>
          <w:rFonts w:ascii="Times New Roman" w:cs="Times New Roman" w:eastAsia="Times New Roman" w:hAnsi="Times New Roman"/>
          <w:sz w:val="17"/>
          <w:szCs w:val="17"/>
          <w:color w:val="auto"/>
        </w:rPr>
        <w:t>. In the event your Service is terminated due to your death or Total and Permanent Disability prior to the Vesting Date, you will be deemed to have fully satisfied the Service Vesting Condition as of your date of termination and the number of PSUs that vest will be calculated by using the actual performance for any Measurement Periods completed on or prior to the termination date and deemed target performance achievement for any Measurement Period that is not completed prior to the termination date, and such applicable number of PSUs shall be deemed vested as of your termination date based on such applicable average of the deemed and attained performance level for such Measurement Periods with the same weighting applied to all Measurement Periods in such averaging calculation. For the avoidance of doubt, any Measurement Periods that are scheduled to begin and/or end after the date on which the termination due to your death or Total and Permanent Disability occurs, if applicable, shall also be included in the average calculation at the deemed target performance level for purposes of determining the level of performance achievement and the number of PSUs that are eligible to vest.</w:t>
      </w:r>
    </w:p>
    <w:p>
      <w:pPr>
        <w:spacing w:after="0" w:line="177" w:lineRule="exact"/>
        <w:rPr>
          <w:sz w:val="20"/>
          <w:szCs w:val="20"/>
          <w:color w:val="auto"/>
        </w:rPr>
      </w:pPr>
    </w:p>
    <w:p>
      <w:pPr>
        <w:jc w:val="both"/>
        <w:ind w:firstLine="1243"/>
        <w:spacing w:after="0" w:line="25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Qualifying Retirement</w:t>
      </w:r>
      <w:r>
        <w:rPr>
          <w:rFonts w:ascii="Times New Roman" w:cs="Times New Roman" w:eastAsia="Times New Roman" w:hAnsi="Times New Roman"/>
          <w:sz w:val="17"/>
          <w:szCs w:val="17"/>
          <w:color w:val="auto"/>
        </w:rPr>
        <w:t>. In the event your Service is terminated due to a Qualifying Retirement prior to the Vesting Date, you will be deemed to have satisfied the Service Vesting Condition on a pro-rata basis and the number of PSUs that are eligible to vest will be a pro-rata number based on the number of days you were in Service during the Performance Period and the actual average performance level achieved through the end of the Measurement Period in which the Qualifying Retirement occurs. Your pro-rata satisfaction of the Service Vesting Condition and such pro-rata portion of the number of PSUs which are eligible to vest will be determined by dividing (i) the number of days that have elapsed prior to the date of the Qualifying Retirement date since the start of the applicable Performance Period by (ii) the total number of days in such Performance Period. The pro-rata number of PSUs which are eligible to vest based on the applicable performance level attained will be calculated by reference to the average of the actual performance for any completed Measurement Periods as of the termination date and actual performance achieved for the Measurement Period in which the Qualifying Retirement occurs, and such applicable pro-rata number of PSUs shall vest contingent on the Release Effective Date. For the avoidance of doubt, any Measurement Periods that are scheduled to begin after the date on which the Qualifying Retirement occurs will not be included in the average calculation for purposes of determining the level of performance achievement and number of pro-rata PSUs which are eligible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1" w:name="page72"/>
    <w:bookmarkEnd w:id="71"/>
    <w:p>
      <w:pPr>
        <w:jc w:val="both"/>
        <w:ind w:firstLine="1243"/>
        <w:spacing w:after="0" w:line="258"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Change in Control Qualifying Termination</w:t>
      </w:r>
      <w:r>
        <w:rPr>
          <w:rFonts w:ascii="Times New Roman" w:cs="Times New Roman" w:eastAsia="Times New Roman" w:hAnsi="Times New Roman"/>
          <w:sz w:val="17"/>
          <w:szCs w:val="17"/>
          <w:color w:val="auto"/>
        </w:rPr>
        <w:t>. In the event your Service is terminated due to a Change in Control Qualifying Termination prior to the Vesting Date, the Service Vesting Condition will be deemed fully satisfied on the Release Effective Date, and the total number of PSUs that are eligible to vest will be calculated by reference to actual performance for any Measurement Periods completed on or prior to the date of the Change in Control Qualifying Termination and deemed target performance achievement for any Measurement Period that is not completed prior to the date of the Change in Control Qualifying Termination and such applicable number of PSUs shall be deemed vested as of the date of your Change in Control Qualifying Termination based on such applicable average of the deemed and attained performance level for such Measurement Periods with the same weighting applied to all Measurement Periods in such averaging calculation and in all cases subject to and contingent upon the closing of the Change in Control. For the avoidance of doubt, any Measurement Periods that are scheduled to begin and/or end after the date on which the Change in Control Qualifying Termination occurs, if applicable, shall also be included in the average calculation at the deemed target performance level for purposes of determining the level of performance achievement and the number of PSUs that are eligible to vest.</w:t>
      </w:r>
    </w:p>
    <w:p>
      <w:pPr>
        <w:spacing w:after="0" w:line="178"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spacing w:after="0" w:line="16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If,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 be subject to the same vesting and forfeiture restrictions as the PSUs to which they are attributable and shall be paid in cash no later than the same date that the PSUs to which they are attributable are settled and paid in accordance with Section 6 hereof. If your vested PSUs have been settled after the record date but prior to the dividend payment date, any dividend equivalents that would be credited pursuant to the preceding sentence shall be paid on or as soon as practicable after the dividend payment date.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PSUs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865"/>
        <w:spacing w:after="0" w:line="234"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Service Through Vesting Date</w:t>
      </w:r>
      <w:r>
        <w:rPr>
          <w:rFonts w:ascii="Times New Roman" w:cs="Times New Roman" w:eastAsia="Times New Roman" w:hAnsi="Times New Roman"/>
          <w:sz w:val="17"/>
          <w:szCs w:val="17"/>
          <w:color w:val="auto"/>
        </w:rPr>
        <w:t>. Subject to the provisions in Section 6(b)(v) below, if your PSUs vest in connection with your continued Service through the Vesting Date, your PSUs will be settled by the Company, via the issuance of Common Stock as described herein, on a date selected by the Company that is within sixty (60) days following the date the number of PSU which are eligible to vest is determined by the Administrator and such selected settlement date shall occur in all cases not earlier than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and not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first calendar year that commences following</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7"/>
          <w:szCs w:val="17"/>
          <w:color w:val="auto"/>
        </w:rPr>
        <w:t>the Vesting Date, which settlement date during such single calendar year shall be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the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first calendar year that commences following the Vesting Date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412115</wp:posOffset>
            </wp:positionV>
            <wp:extent cx="7138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2" w:name="page73"/>
    <w:bookmarkEnd w:id="72"/>
    <w:p>
      <w:pPr>
        <w:jc w:val="both"/>
        <w:ind w:firstLine="1865"/>
        <w:spacing w:after="0" w:line="262"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Death or Total and Permanent Disability</w:t>
      </w:r>
      <w:r>
        <w:rPr>
          <w:rFonts w:ascii="Times New Roman" w:cs="Times New Roman" w:eastAsia="Times New Roman" w:hAnsi="Times New Roman"/>
          <w:sz w:val="17"/>
          <w:szCs w:val="17"/>
          <w:color w:val="auto"/>
        </w:rPr>
        <w:t>. Subject to the provisions in Section 6(b)(v) and Section 6(b)(vi) below, if your PSUs vest in connection with your death or Total and Permanent Disability, your PSUs will be settled by the Company, via the issuance of Common Stock as described herein, as soon as administratively practicable on a date selected by the Company that is within the ninety (90) day period following the date of such termination,</w:t>
      </w:r>
    </w:p>
    <w:p>
      <w:pPr>
        <w:jc w:val="both"/>
        <w:spacing w:after="0" w:line="210" w:lineRule="auto"/>
        <w:rPr>
          <w:sz w:val="20"/>
          <w:szCs w:val="20"/>
          <w:color w:val="auto"/>
        </w:rPr>
      </w:pPr>
      <w:r>
        <w:rPr>
          <w:rFonts w:ascii="Times New Roman" w:cs="Times New Roman" w:eastAsia="Times New Roman" w:hAnsi="Times New Roman"/>
          <w:sz w:val="17"/>
          <w:szCs w:val="17"/>
          <w:color w:val="auto"/>
        </w:rPr>
        <w:t>which settlement date during such ninety (90) day period shall be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date of your death or Total and Permanent Disability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189" w:lineRule="exact"/>
        <w:rPr>
          <w:sz w:val="20"/>
          <w:szCs w:val="20"/>
          <w:color w:val="auto"/>
        </w:rPr>
      </w:pPr>
    </w:p>
    <w:p>
      <w:pPr>
        <w:jc w:val="both"/>
        <w:ind w:firstLine="1865"/>
        <w:spacing w:after="0" w:line="265" w:lineRule="auto"/>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u w:val="single" w:color="auto"/>
          <w:color w:val="auto"/>
        </w:rPr>
        <w:t>  Qualifying Retirement</w:t>
      </w:r>
      <w:r>
        <w:rPr>
          <w:rFonts w:ascii="Times New Roman" w:cs="Times New Roman" w:eastAsia="Times New Roman" w:hAnsi="Times New Roman"/>
          <w:sz w:val="17"/>
          <w:szCs w:val="17"/>
          <w:color w:val="auto"/>
        </w:rPr>
        <w:t>. Subject to the provisions in Section 6(b)(v) below, if your PSUs vest in connection with a Qualifying Retirement, your PSUs will be settled by the Company, via the issuance of Common Stock as described herein, on a date selected by the Company that shall occur</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in all cases not earlier than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and not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first calendar year that commences following the year in which the Qualifying Retirement occurs, provided that such selected settlement date shall occur in all cases within the sixty (60) day period following the later of: (i) the date that is six</w:t>
      </w:r>
    </w:p>
    <w:p>
      <w:pPr>
        <w:jc w:val="both"/>
        <w:ind w:firstLine="4"/>
        <w:spacing w:after="0" w:line="259" w:lineRule="auto"/>
        <w:tabs>
          <w:tab w:leader="none" w:pos="25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and one (1) day following the date of Qualifying Retirement, or (ii) the date the number of PSU which are eligible to vest in connection with such Qualifying Retirement is determined by the Administrator, and such selected settlement date which settlement date during such single calendar year shall be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December 31st of the first calendar year that commences following the date of Qualifying Retirement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174" w:lineRule="exact"/>
        <w:rPr>
          <w:sz w:val="20"/>
          <w:szCs w:val="20"/>
          <w:color w:val="auto"/>
        </w:rPr>
      </w:pPr>
    </w:p>
    <w:p>
      <w:pPr>
        <w:jc w:val="both"/>
        <w:ind w:firstLine="1865"/>
        <w:spacing w:after="0" w:line="260"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Change in Control Qualifying Termination</w:t>
      </w:r>
      <w:r>
        <w:rPr>
          <w:rFonts w:ascii="Times New Roman" w:cs="Times New Roman" w:eastAsia="Times New Roman" w:hAnsi="Times New Roman"/>
          <w:sz w:val="17"/>
          <w:szCs w:val="17"/>
          <w:color w:val="auto"/>
        </w:rPr>
        <w:t>. Subject to the provisions in Section 6(b)(v) below, if your PSUs vest in connection with a Change in Control Qualifying Termination, your PSUs will be settled by the Company, via the issuance of Common Stock as described herein, on a date selected by the Company that is in all cases within ninety (90) days following the later of: (1) the date of the Change in Control, or (2) the date that is six (6) months and one (1) day following the date of Change in Control Qualifying Termination, which settlement date during such ninety (90) day period shall be the</w:t>
      </w:r>
    </w:p>
    <w:p>
      <w:pPr>
        <w:jc w:val="both"/>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with respect to such PSUs, and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later of: (1) the date of the Change in Control, or (2) the date that is six (6) months and one (1) day following the date of Change in Control Qualifying Termination is the applicable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with respect to your PSUs.</w:t>
      </w:r>
    </w:p>
    <w:p>
      <w:pPr>
        <w:spacing w:after="0" w:line="332" w:lineRule="exact"/>
        <w:rPr>
          <w:sz w:val="20"/>
          <w:szCs w:val="20"/>
          <w:color w:val="auto"/>
        </w:rPr>
      </w:pPr>
    </w:p>
    <w:p>
      <w:pPr>
        <w:jc w:val="both"/>
        <w:ind w:firstLine="1865"/>
        <w:spacing w:after="0" w:line="266" w:lineRule="auto"/>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Delayed Issuance Timing</w:t>
      </w:r>
      <w:r>
        <w:rPr>
          <w:rFonts w:ascii="Times New Roman" w:cs="Times New Roman" w:eastAsia="Times New Roman" w:hAnsi="Times New Roman"/>
          <w:sz w:val="17"/>
          <w:szCs w:val="17"/>
          <w:color w:val="auto"/>
        </w:rPr>
        <w:t>. In all cases, if the applicable Original Issuance Date falls on a date that is prior to the applicable Issuance Deadline and on a date that is not a business day, delivery shall instead occur on the next following business day if such date is not later than the Issuance Deadline. Additionally, if the Original Issuance Date falls on a date that precedes the applicable Issuance Deadline for your vested PSUs, the following provisions shall be applicable with respect to the issuance of shares in settlement of your vested PSUs.</w:t>
      </w:r>
    </w:p>
    <w:p>
      <w:pPr>
        <w:spacing w:after="0" w:line="169" w:lineRule="exact"/>
        <w:rPr>
          <w:sz w:val="20"/>
          <w:szCs w:val="20"/>
          <w:color w:val="auto"/>
        </w:rPr>
      </w:pPr>
    </w:p>
    <w:p>
      <w:pPr>
        <w:jc w:val="both"/>
        <w:ind w:firstLine="2486"/>
        <w:spacing w:after="0" w:line="263" w:lineRule="auto"/>
        <w:rPr>
          <w:sz w:val="20"/>
          <w:szCs w:val="20"/>
          <w:color w:val="auto"/>
        </w:rPr>
      </w:pPr>
      <w:r>
        <w:rPr>
          <w:rFonts w:ascii="Times New Roman" w:cs="Times New Roman" w:eastAsia="Times New Roman" w:hAnsi="Times New Roman"/>
          <w:sz w:val="17"/>
          <w:szCs w:val="17"/>
          <w:color w:val="auto"/>
        </w:rPr>
        <w:t>a.            If the applicable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Arrangement</w:t>
      </w:r>
      <w:r>
        <w:rPr>
          <w:rFonts w:ascii="Times New Roman" w:cs="Times New Roman" w:eastAsia="Times New Roman" w:hAnsi="Times New Roman"/>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400685</wp:posOffset>
            </wp:positionV>
            <wp:extent cx="7138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3" w:name="page74"/>
    <w:bookmarkEnd w:id="73"/>
    <w:p>
      <w:pPr>
        <w:ind w:firstLine="2486"/>
        <w:spacing w:after="0" w:line="265" w:lineRule="auto"/>
        <w:rPr>
          <w:sz w:val="20"/>
          <w:szCs w:val="20"/>
          <w:color w:val="auto"/>
        </w:rPr>
      </w:pPr>
      <w:r>
        <w:rPr>
          <w:rFonts w:ascii="Times New Roman" w:cs="Times New Roman" w:eastAsia="Times New Roman" w:hAnsi="Times New Roman"/>
          <w:sz w:val="17"/>
          <w:szCs w:val="17"/>
          <w:color w:val="auto"/>
        </w:rPr>
        <w:t>b.            either (1) Withholding Taxes do not apply, or (2) the Company decides, prior to the Original Issuance Date, (A) not to satisfy the Withholding Taxes by withholding shares of Common Stock from the shares otherwise due, on the Original Issuance Date, to you under this PSU, and</w:t>
      </w:r>
    </w:p>
    <w:p>
      <w:pPr>
        <w:spacing w:after="0" w:line="1" w:lineRule="exact"/>
        <w:rPr>
          <w:sz w:val="20"/>
          <w:szCs w:val="20"/>
          <w:color w:val="auto"/>
        </w:rPr>
      </w:pPr>
    </w:p>
    <w:p>
      <w:pPr>
        <w:jc w:val="both"/>
        <w:ind w:firstLine="4"/>
        <w:spacing w:after="0" w:line="259" w:lineRule="auto"/>
        <w:tabs>
          <w:tab w:leader="none" w:pos="28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the applicable Issuance Deadline.</w:t>
      </w:r>
    </w:p>
    <w:p>
      <w:pPr>
        <w:spacing w:after="0" w:line="174" w:lineRule="exact"/>
        <w:rPr>
          <w:sz w:val="20"/>
          <w:szCs w:val="20"/>
          <w:color w:val="auto"/>
        </w:rPr>
      </w:pPr>
    </w:p>
    <w:p>
      <w:pPr>
        <w:jc w:val="both"/>
        <w:ind w:firstLine="1865"/>
        <w:spacing w:after="0" w:line="263"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Participant Death Prior to Settlement</w:t>
      </w:r>
      <w:r>
        <w:rPr>
          <w:rFonts w:ascii="Times New Roman" w:cs="Times New Roman" w:eastAsia="Times New Roman" w:hAnsi="Times New Roman"/>
          <w:sz w:val="17"/>
          <w:szCs w:val="17"/>
          <w:color w:val="auto"/>
        </w:rPr>
        <w:t>. Notwithstanding the foregoing or anything to the contrary set forth herein, to the extent your PSUs vest upon your death or your death occurs prior to settlement of your previously vested PSUs, the Company is not obligated to settle such PSUs until such date selected by the Company that is as soon as administratively practicable within the thirty (30) day period following the date that the Company receives evidence of the applicable beneficiary who is entitled to receive such settlement (the “</w:t>
      </w:r>
      <w:r>
        <w:rPr>
          <w:rFonts w:ascii="Times New Roman" w:cs="Times New Roman" w:eastAsia="Times New Roman" w:hAnsi="Times New Roman"/>
          <w:sz w:val="17"/>
          <w:szCs w:val="17"/>
          <w:b w:val="1"/>
          <w:bCs w:val="1"/>
          <w:i w:val="1"/>
          <w:i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settlement of the PSUs, including but not limited to any tax liability.</w:t>
      </w:r>
    </w:p>
    <w:p>
      <w:pPr>
        <w:spacing w:after="0" w:line="172"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w:t>
      </w:r>
    </w:p>
    <w:p>
      <w:pPr>
        <w:spacing w:after="0" w:line="4" w:lineRule="exact"/>
        <w:rPr>
          <w:sz w:val="20"/>
          <w:szCs w:val="20"/>
          <w:color w:val="auto"/>
        </w:rPr>
      </w:pPr>
    </w:p>
    <w:p>
      <w:pPr>
        <w:jc w:val="both"/>
        <w:ind w:firstLine="4"/>
        <w:spacing w:after="0" w:line="255" w:lineRule="auto"/>
        <w:tabs>
          <w:tab w:leader="none" w:pos="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applicable statutory withholding rates, as determined by the Company, for federal, state, local and foreign tax purposes, including payroll taxes.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4" w:name="page75"/>
    <w:bookmarkEnd w:id="74"/>
    <w:p>
      <w:pPr>
        <w:jc w:val="both"/>
        <w:ind w:firstLine="1243"/>
        <w:spacing w:after="0" w:line="26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PSUs would have been entitled, in the same manner and to the same extent as the PSUs.</w:t>
      </w:r>
    </w:p>
    <w:p>
      <w:pPr>
        <w:spacing w:after="0" w:line="382"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spacing w:after="0" w:line="17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PSUs until such shares of Common Stock have been issued to you.</w:t>
      </w:r>
    </w:p>
    <w:p>
      <w:pPr>
        <w:spacing w:after="0" w:line="148"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Non-Solicitation or Confidentiality Covenants</w:t>
      </w:r>
      <w:r>
        <w:rPr>
          <w:rFonts w:ascii="Times New Roman" w:cs="Times New Roman" w:eastAsia="Times New Roman" w:hAnsi="Times New Roman"/>
          <w:sz w:val="17"/>
          <w:szCs w:val="17"/>
          <w:color w:val="auto"/>
        </w:rPr>
        <w:t>.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As a condition to this Agreement, you also agree to be bound by the terms of the Company’s Policy for Recovery of Erroneously Awarded Incentive Compensation, as it may be amended from time to time. The forfeiture and clawback rights in this Section are in addition to, and not in substitution of, any rights of repurchase or other recoupment rights the Company may have.</w:t>
      </w:r>
    </w:p>
    <w:p>
      <w:pPr>
        <w:spacing w:after="0" w:line="175"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the Issuance of Shares</w:t>
      </w:r>
      <w:r>
        <w:rPr>
          <w:rFonts w:ascii="Times New Roman" w:cs="Times New Roman" w:eastAsia="Times New Roman" w:hAnsi="Times New Roman"/>
          <w:sz w:val="17"/>
          <w:szCs w:val="17"/>
          <w:color w:val="auto"/>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5" w:name="page76"/>
    <w:bookmarkEnd w:id="75"/>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384"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contain the entire agreement between the parties with respect to the PSUs granted hereunder. Any oral or written agreements, representations, warranties, written inducements, or other communications made prior to the execution of this Agreement with respect to the PSUs granted hereunder shall be void and ineffective for all purposes.</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spacing w:after="0" w:line="162"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280G Best After-Tax</w:t>
      </w:r>
      <w:r>
        <w:rPr>
          <w:rFonts w:ascii="Times New Roman" w:cs="Times New Roman" w:eastAsia="Times New Roman" w:hAnsi="Times New Roman"/>
          <w:sz w:val="17"/>
          <w:szCs w:val="17"/>
          <w:color w:val="auto"/>
        </w:rPr>
        <w:t>. In the event that the grant of PSUs and/or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 Upon the occurrence of any event that might reasonably be anticipated to result in an “excess parachute payment” to the Participant as described above the Company shall appoint a nationally recognized tax firm to make the determination required by this Section (the “</w:t>
      </w:r>
      <w:r>
        <w:rPr>
          <w:rFonts w:ascii="Times New Roman" w:cs="Times New Roman" w:eastAsia="Times New Roman" w:hAnsi="Times New Roman"/>
          <w:sz w:val="17"/>
          <w:szCs w:val="17"/>
          <w:b w:val="1"/>
          <w:bCs w:val="1"/>
          <w:i w:val="1"/>
          <w:iCs w:val="1"/>
          <w:color w:val="auto"/>
        </w:rPr>
        <w:t>Tax Firm</w:t>
      </w:r>
      <w:r>
        <w:rPr>
          <w:rFonts w:ascii="Times New Roman" w:cs="Times New Roman" w:eastAsia="Times New Roman" w:hAnsi="Times New Roman"/>
          <w:sz w:val="17"/>
          <w:szCs w:val="17"/>
          <w:color w:val="auto"/>
        </w:rPr>
        <w:t>”). The Company and the Participant shall furnish to the Tax Firm such information and documents as the Tax Firm may reasonably request in order to make their required determination. The Company shall bear all fees and expenses the Tax Firm may charge in connection with their services contemplated by this Section.</w:t>
      </w:r>
    </w:p>
    <w:p>
      <w:pPr>
        <w:spacing w:after="0" w:line="177"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and the PSUs granted hereunder are intended to comply with the payment timing requirements of Section 409A of the Code, as payable upon the earliest of Section 409A compliant specified payment dates or permitted payment events and any ambiguities herein shall be construed consistent with such intent. In administering this Agreement, the Company shall interpret this Agreement in a manner consistent with such intent. As of the date of your separation from service (within the meaning of Treasury Regulation Section 1.409A-1(h)), the issuance of any shares that would otherwise be made to you in connection with your separation from service or within the first six (6) months thereafter will not be made on the originally scheduled date(s) and will instead be issued on the date that is six (6) months and one day after the date of the separation from service, or if earlier, upon earlier death.</w:t>
      </w:r>
    </w:p>
    <w:p>
      <w:pPr>
        <w:spacing w:after="0" w:line="382"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6" w:name="page77"/>
    <w:bookmarkEnd w:id="76"/>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spacing w:after="0" w:line="148"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75"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jc w:val="both"/>
        <w:ind w:firstLine="622"/>
        <w:spacing w:after="0" w:line="262"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534670</wp:posOffset>
            </wp:positionV>
            <wp:extent cx="7138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7" w:name="page78"/>
    <w:bookmarkEnd w:id="77"/>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spacing w:after="0" w:line="175" w:lineRule="exact"/>
        <w:rPr>
          <w:sz w:val="20"/>
          <w:szCs w:val="20"/>
          <w:color w:val="auto"/>
        </w:rPr>
      </w:pPr>
    </w:p>
    <w:p>
      <w:pPr>
        <w:jc w:val="both"/>
        <w:ind w:firstLine="622"/>
        <w:spacing w:after="0" w:line="257"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Compensation Committee or Compensation Committees appointed by the Board to administer the Plan.</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have the meaning set forth in the Plan provided that such transaction is also a “change in control event,” as defined in Treasury Regulations Section 1.409A-3(i)(5)(i).</w:t>
      </w:r>
    </w:p>
    <w:p>
      <w:pPr>
        <w:spacing w:after="0" w:line="139" w:lineRule="exact"/>
        <w:rPr>
          <w:sz w:val="20"/>
          <w:szCs w:val="20"/>
          <w:color w:val="auto"/>
        </w:rPr>
      </w:pPr>
    </w:p>
    <w:p>
      <w:pPr>
        <w:jc w:val="both"/>
        <w:ind w:firstLine="1243"/>
        <w:spacing w:after="0" w:line="27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“Change in Control Qualifying Termination”</w:t>
      </w:r>
      <w:r>
        <w:rPr>
          <w:rFonts w:ascii="Times New Roman" w:cs="Times New Roman" w:eastAsia="Times New Roman" w:hAnsi="Times New Roman"/>
          <w:sz w:val="17"/>
          <w:szCs w:val="17"/>
          <w:color w:val="auto"/>
        </w:rPr>
        <w:t xml:space="preserve"> shall mean a Qualifying Termination which occurs at the direction or request of the acquiring entity and: (i) within the six (6) month period immediately prior to the closing of a Change in Control, or (ii) within the twelve (12) month period immediately following the closing of such Change in Control.</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Treasury regulations and other guidance promulgated thereunder.</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jc w:val="both"/>
        <w:ind w:firstLine="1243"/>
        <w:spacing w:after="0" w:line="259"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without your written consent, (i) a material reduction in your base salary or annual cash incentive targets; (ii) a material diminution in your title, duties, or responsibilities; (iii) any material breach of this Agreement by the Company; or (iv) any relocation of your principal place of employment that results in an increased commute of more than thirty-five (35)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3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PSUs made to you as set forth in the relevant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433070</wp:posOffset>
            </wp:positionV>
            <wp:extent cx="7138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9" w:name="page80"/>
    <w:bookmarkEnd w:id="79"/>
    <w:p>
      <w:pPr>
        <w:ind w:left="12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Measurement Period</w:t>
      </w:r>
      <w:r>
        <w:rPr>
          <w:rFonts w:ascii="Times New Roman" w:cs="Times New Roman" w:eastAsia="Times New Roman" w:hAnsi="Times New Roman"/>
          <w:sz w:val="17"/>
          <w:szCs w:val="17"/>
          <w:color w:val="auto"/>
        </w:rPr>
        <w:t xml:space="preserve">” means the separate periods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PSUs made to you.</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jc w:val="both"/>
        <w:ind w:firstLine="1243"/>
        <w:spacing w:after="0" w:line="259"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i w:val="1"/>
          <w:iCs w:val="1"/>
          <w:color w:val="auto"/>
        </w:rPr>
        <w:t>Qualifying Retirement</w:t>
      </w:r>
      <w:r>
        <w:rPr>
          <w:rFonts w:ascii="Times New Roman" w:cs="Times New Roman" w:eastAsia="Times New Roman" w:hAnsi="Times New Roman"/>
          <w:sz w:val="17"/>
          <w:szCs w:val="17"/>
          <w:color w:val="auto"/>
        </w:rPr>
        <w:t>” means your termination of employment which is also a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 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1243"/>
        <w:spacing w:after="0" w:line="268"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xml:space="preserve"> means your termination without Cause or resignation for Good Reason which constitutes a “separation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             “</w:t>
      </w:r>
      <w:r>
        <w:rPr>
          <w:rFonts w:ascii="Times New Roman" w:cs="Times New Roman" w:eastAsia="Times New Roman" w:hAnsi="Times New Roman"/>
          <w:sz w:val="17"/>
          <w:szCs w:val="17"/>
          <w:b w:val="1"/>
          <w:bCs w:val="1"/>
          <w:i w:val="1"/>
          <w:iCs w:val="1"/>
          <w:color w:val="auto"/>
        </w:rPr>
        <w:t>PSU</w:t>
      </w:r>
      <w:r>
        <w:rPr>
          <w:rFonts w:ascii="Times New Roman" w:cs="Times New Roman" w:eastAsia="Times New Roman" w:hAnsi="Times New Roman"/>
          <w:sz w:val="17"/>
          <w:szCs w:val="17"/>
          <w:color w:val="auto"/>
        </w:rPr>
        <w:t>” means the Company’s commitment to issue one share of Common Stock at a future date, subject to the terms of the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Plan.</w:t>
      </w:r>
    </w:p>
    <w:p>
      <w:pPr>
        <w:spacing w:after="0" w:line="196" w:lineRule="exact"/>
        <w:rPr>
          <w:sz w:val="20"/>
          <w:szCs w:val="20"/>
          <w:color w:val="auto"/>
        </w:rPr>
      </w:pPr>
    </w:p>
    <w:p>
      <w:pPr>
        <w:jc w:val="both"/>
        <w:ind w:firstLine="1243"/>
        <w:spacing w:after="0" w:line="268" w:lineRule="auto"/>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jc w:val="both"/>
        <w:ind w:firstLine="1243"/>
        <w:spacing w:after="0" w:line="296" w:lineRule="auto"/>
        <w:rPr>
          <w:sz w:val="20"/>
          <w:szCs w:val="20"/>
          <w:color w:val="auto"/>
        </w:rPr>
      </w:pPr>
      <w:r>
        <w:rPr>
          <w:rFonts w:ascii="Times New Roman" w:cs="Times New Roman" w:eastAsia="Times New Roman" w:hAnsi="Times New Roman"/>
          <w:sz w:val="17"/>
          <w:szCs w:val="17"/>
          <w:color w:val="auto"/>
        </w:rPr>
        <w:t>(t)            </w:t>
      </w:r>
      <w:r>
        <w:rPr>
          <w:rFonts w:ascii="Times New Roman" w:cs="Times New Roman" w:eastAsia="Times New Roman" w:hAnsi="Times New Roman"/>
          <w:sz w:val="17"/>
          <w:szCs w:val="17"/>
          <w:b w:val="1"/>
          <w:bCs w:val="1"/>
          <w:i w:val="1"/>
          <w:iCs w:val="1"/>
          <w:color w:val="auto"/>
        </w:rPr>
        <w:t>“Total and Permanent Disability”</w:t>
      </w:r>
      <w:r>
        <w:rPr>
          <w:rFonts w:ascii="Times New Roman" w:cs="Times New Roman" w:eastAsia="Times New Roman" w:hAnsi="Times New Roman"/>
          <w:sz w:val="17"/>
          <w:szCs w:val="17"/>
          <w:color w:val="auto"/>
        </w:rPr>
        <w:t xml:space="preserve"> shall have the meaning set forth in the Plan provided that you are also considered “disabled” as defined in Treasury Regulations Section 1.409A-3(i)(4)(i).</w:t>
      </w:r>
    </w:p>
    <w:p>
      <w:pPr>
        <w:spacing w:after="0" w:line="139" w:lineRule="exact"/>
        <w:rPr>
          <w:sz w:val="20"/>
          <w:szCs w:val="20"/>
          <w:color w:val="auto"/>
        </w:rPr>
      </w:pPr>
    </w:p>
    <w:p>
      <w:pPr>
        <w:jc w:val="both"/>
        <w:ind w:firstLine="1243"/>
        <w:spacing w:after="0" w:line="268" w:lineRule="auto"/>
        <w:rPr>
          <w:sz w:val="20"/>
          <w:szCs w:val="20"/>
          <w:color w:val="auto"/>
        </w:rPr>
      </w:pPr>
      <w:r>
        <w:rPr>
          <w:rFonts w:ascii="Times New Roman" w:cs="Times New Roman" w:eastAsia="Times New Roman" w:hAnsi="Times New Roman"/>
          <w:sz w:val="17"/>
          <w:szCs w:val="17"/>
          <w:color w:val="auto"/>
        </w:rPr>
        <w:t>(u)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0" w:name="page81"/>
    <w:bookmarkEnd w:id="80"/>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CERTAIN CONFIDENTIAL PORTIONS OF THIS EXHIBIT HAVE BEEN OMITTED AND REPLACED WITH “[***]”. SUCH IDENTIFIED INFORMATION HAS BEEN EXCLUDED FROM THIS EXHIBIT BECAUSE IT IS (I) NOT MATERIAL AND (II) WOULD LIKELY CAUSE COMPETITIVE HARM TO THE COMPANY IF DISCLOSED</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431800</wp:posOffset>
            </wp:positionV>
            <wp:extent cx="7138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LONG-TERM CASH BONUS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Effective February 25, 2026</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I.            </w:t>
      </w:r>
      <w:r>
        <w:rPr>
          <w:rFonts w:ascii="Times New Roman" w:cs="Times New Roman" w:eastAsia="Times New Roman" w:hAnsi="Times New Roman"/>
          <w:sz w:val="17"/>
          <w:szCs w:val="17"/>
          <w:b w:val="1"/>
          <w:bCs w:val="1"/>
          <w:u w:val="single" w:color="auto"/>
          <w:color w:val="auto"/>
        </w:rPr>
        <w:t>  Purpose</w:t>
      </w:r>
      <w:r>
        <w:rPr>
          <w:rFonts w:ascii="Times New Roman" w:cs="Times New Roman" w:eastAsia="Times New Roman" w:hAnsi="Times New Roman"/>
          <w:sz w:val="17"/>
          <w:szCs w:val="17"/>
          <w:color w:val="auto"/>
        </w:rPr>
        <w:t>. The purpose of the Skyward Specialty Insurance Group, Inc. Long-Term Cash Bonus Incentive Plan is to promote the interests of Skyward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Specialty Insurance Group, Inc., by providing both an incentive and a financial reward to certain senior leaders and other key contributors who contribute most to the operating results and growth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w:t>
      </w:r>
      <w:r>
        <w:rPr>
          <w:rFonts w:ascii="Times New Roman" w:cs="Times New Roman" w:eastAsia="Times New Roman" w:hAnsi="Times New Roman"/>
          <w:sz w:val="17"/>
          <w:szCs w:val="17"/>
          <w:b w:val="1"/>
          <w:bCs w:val="1"/>
          <w:u w:val="single" w:color="auto"/>
          <w:color w:val="auto"/>
        </w:rPr>
        <w:t>  Definitions</w:t>
      </w:r>
      <w:r>
        <w:rPr>
          <w:rFonts w:ascii="Times New Roman" w:cs="Times New Roman" w:eastAsia="Times New Roman" w:hAnsi="Times New Roman"/>
          <w:sz w:val="17"/>
          <w:szCs w:val="17"/>
          <w:color w:val="auto"/>
        </w:rPr>
        <w:t>. Whenever used herein, the following terms will have the respective meanings set forth below:</w:t>
      </w:r>
    </w:p>
    <w:p>
      <w:pPr>
        <w:spacing w:after="0" w:line="219" w:lineRule="exact"/>
        <w:rPr>
          <w:sz w:val="20"/>
          <w:szCs w:val="20"/>
          <w:color w:val="auto"/>
        </w:rPr>
      </w:pPr>
    </w:p>
    <w:p>
      <w:pPr>
        <w:jc w:val="both"/>
        <w:ind w:firstLine="1243"/>
        <w:spacing w:after="0" w:line="294"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i w:val="1"/>
          <w:iCs w:val="1"/>
          <w:color w:val="auto"/>
        </w:rPr>
        <w:t>Award Notice</w:t>
      </w:r>
      <w:r>
        <w:rPr>
          <w:rFonts w:ascii="Times New Roman" w:cs="Times New Roman" w:eastAsia="Times New Roman" w:hAnsi="Times New Roman"/>
          <w:sz w:val="17"/>
          <w:szCs w:val="17"/>
          <w:color w:val="auto"/>
        </w:rPr>
        <w:t>” means the written document(s), including an electronic writing acceptable to the Committee, and any addendum or supplement thereto, memorializing the terms and conditions of the Bonus Payment awarded pursuant to the Plan and which shall incorporate the terms of the Plan.</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i w:val="1"/>
          <w:iCs w:val="1"/>
          <w:color w:val="auto"/>
        </w:rPr>
        <w:t>Bonus Payment</w:t>
      </w:r>
      <w:r>
        <w:rPr>
          <w:rFonts w:ascii="Times New Roman" w:cs="Times New Roman" w:eastAsia="Times New Roman" w:hAnsi="Times New Roman"/>
          <w:sz w:val="17"/>
          <w:szCs w:val="17"/>
          <w:color w:val="auto"/>
        </w:rPr>
        <w:t xml:space="preserve">” means the amount payable to a Participant under Article IV of the Plan, and calculated as set forth in </w:t>
      </w:r>
      <w:r>
        <w:rPr>
          <w:rFonts w:ascii="Times New Roman" w:cs="Times New Roman" w:eastAsia="Times New Roman" w:hAnsi="Times New Roman"/>
          <w:sz w:val="17"/>
          <w:szCs w:val="17"/>
          <w:b w:val="1"/>
          <w:bCs w:val="1"/>
          <w:u w:val="single" w:color="auto"/>
          <w:color w:val="auto"/>
        </w:rPr>
        <w:t>Exhibit A.</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shall have the meaning set forth in the Company’s 2022 Long-Term Incentive Plan.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i w:val="1"/>
          <w:iCs w:val="1"/>
          <w:color w:val="auto"/>
        </w:rPr>
        <w:t>CEO</w:t>
      </w:r>
      <w:r>
        <w:rPr>
          <w:rFonts w:ascii="Times New Roman" w:cs="Times New Roman" w:eastAsia="Times New Roman" w:hAnsi="Times New Roman"/>
          <w:sz w:val="17"/>
          <w:szCs w:val="17"/>
          <w:color w:val="auto"/>
        </w:rPr>
        <w:t>” means the Chief Executive Officer of the Company.</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shall have the same meaning as set forth in the Company’s 2022 Long-Term Incentive Plan, as amended from time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time.</w:t>
      </w:r>
    </w:p>
    <w:p>
      <w:pPr>
        <w:spacing w:after="0" w:line="198" w:lineRule="exact"/>
        <w:rPr>
          <w:sz w:val="20"/>
          <w:szCs w:val="20"/>
          <w:color w:val="auto"/>
        </w:rPr>
      </w:pPr>
    </w:p>
    <w:p>
      <w:pPr>
        <w:jc w:val="both"/>
        <w:ind w:firstLine="1243"/>
        <w:spacing w:after="0" w:line="274"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i w:val="1"/>
          <w:iCs w:val="1"/>
          <w:color w:val="auto"/>
        </w:rPr>
        <w:t>“Change in Control Qualifying Termination”</w:t>
      </w:r>
      <w:r>
        <w:rPr>
          <w:rFonts w:ascii="Times New Roman" w:cs="Times New Roman" w:eastAsia="Times New Roman" w:hAnsi="Times New Roman"/>
          <w:sz w:val="17"/>
          <w:szCs w:val="17"/>
          <w:color w:val="auto"/>
        </w:rPr>
        <w:t xml:space="preserve"> shall mean a Qualifying Termination which occurs at the direction or request of the acquiring entity and: (i) within the six (6) month period immediately prior to the closing of a Change in Control, or (ii) within the twelve (12) month period immediately following the closing of such Change in Control.</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Internal Revenue Code of 1986, as amended and the regulations issued thereunder.</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2.9            “</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means the Compensation Committee of the Board.</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Skyward Specialty Insurance Group, Inc. or any successor thereto.</w:t>
      </w:r>
    </w:p>
    <w:p>
      <w:pPr>
        <w:spacing w:after="0" w:line="219" w:lineRule="exact"/>
        <w:rPr>
          <w:sz w:val="20"/>
          <w:szCs w:val="20"/>
          <w:color w:val="auto"/>
        </w:rPr>
      </w:pPr>
    </w:p>
    <w:p>
      <w:pPr>
        <w:jc w:val="both"/>
        <w:ind w:firstLine="1243"/>
        <w:spacing w:after="0" w:line="258" w:lineRule="auto"/>
        <w:rPr>
          <w:sz w:val="20"/>
          <w:szCs w:val="20"/>
          <w:color w:val="auto"/>
        </w:rPr>
      </w:pPr>
      <w:r>
        <w:rPr>
          <w:rFonts w:ascii="Times New Roman" w:cs="Times New Roman" w:eastAsia="Times New Roman" w:hAnsi="Times New Roman"/>
          <w:sz w:val="17"/>
          <w:szCs w:val="17"/>
          <w:color w:val="auto"/>
        </w:rPr>
        <w:t>2.11          “</w:t>
      </w:r>
      <w:r>
        <w:rPr>
          <w:rFonts w:ascii="Times New Roman" w:cs="Times New Roman" w:eastAsia="Times New Roman" w:hAnsi="Times New Roman"/>
          <w:sz w:val="17"/>
          <w:szCs w:val="17"/>
          <w:i w:val="1"/>
          <w:iCs w:val="1"/>
          <w:color w:val="auto"/>
        </w:rPr>
        <w:t>Good Reason</w:t>
      </w:r>
      <w:r>
        <w:rPr>
          <w:rFonts w:ascii="Times New Roman" w:cs="Times New Roman" w:eastAsia="Times New Roman" w:hAnsi="Times New Roman"/>
          <w:sz w:val="17"/>
          <w:szCs w:val="17"/>
          <w:color w:val="auto"/>
        </w:rPr>
        <w:t>” means, without Participant’s written consent, (a) a material reduction in Participant’s base salary or annual cash incentive targets; (b) any material breach of the terms of this Plan by the Company; or (c) any relocation of Participant’s principal place of employment that results in an increased commute of more than thirty-five (35) miles (unless Participant is currently working, or is provided the opportunity to work, remotely or otherwise not required to relocate Participant’s principal place of employment, in which case this subpart (iv) shall not apply); provided, however, that Participant must provide notice of Good Reason within thirty (30) days of the occurrence of the event giving rise to the purported Good Reason, after which the Company shall have thirty (30) days to cure the alleged Good Reason and, if such remains uncured, Participant must resign from such employment within thirty (30) days of the expiration of the cure period. In the event that the Company reasonably believes that Participant may have engaged in conduct constituting Cause, the Company may, in its sole and absolute discretion, suspend Participant duties or employment which shall not constitute a basis for Good Reason hereunder or otherwise constitute a breach of this Plan by the Company; provided, that no such suspension shall alter the Company’s obligations under this Plan during such period of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405765</wp:posOffset>
            </wp:positionV>
            <wp:extent cx="7138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82" w:name="page83"/>
    <w:bookmarkEnd w:id="82"/>
    <w:p>
      <w:pPr>
        <w:ind w:left="1240"/>
        <w:spacing w:after="0"/>
        <w:rPr>
          <w:sz w:val="20"/>
          <w:szCs w:val="20"/>
          <w:color w:val="auto"/>
        </w:rPr>
      </w:pPr>
      <w:r>
        <w:rPr>
          <w:rFonts w:ascii="Times New Roman" w:cs="Times New Roman" w:eastAsia="Times New Roman" w:hAnsi="Times New Roman"/>
          <w:sz w:val="17"/>
          <w:szCs w:val="17"/>
          <w:color w:val="auto"/>
        </w:rPr>
        <w:t>2.12          “</w:t>
      </w:r>
      <w:r>
        <w:rPr>
          <w:rFonts w:ascii="Times New Roman" w:cs="Times New Roman" w:eastAsia="Times New Roman" w:hAnsi="Times New Roman"/>
          <w:sz w:val="17"/>
          <w:szCs w:val="17"/>
          <w:i w:val="1"/>
          <w:iCs w:val="1"/>
          <w:color w:val="auto"/>
        </w:rPr>
        <w:t>Measurement Period</w:t>
      </w:r>
      <w:r>
        <w:rPr>
          <w:rFonts w:ascii="Times New Roman" w:cs="Times New Roman" w:eastAsia="Times New Roman" w:hAnsi="Times New Roman"/>
          <w:sz w:val="17"/>
          <w:szCs w:val="17"/>
          <w:color w:val="auto"/>
        </w:rPr>
        <w:t>” means each calendar year within a Performance Period.</w:t>
      </w:r>
    </w:p>
    <w:p>
      <w:pPr>
        <w:spacing w:after="0" w:line="219" w:lineRule="exact"/>
        <w:rPr>
          <w:sz w:val="20"/>
          <w:szCs w:val="20"/>
          <w:color w:val="auto"/>
        </w:rPr>
      </w:pPr>
    </w:p>
    <w:p>
      <w:pPr>
        <w:jc w:val="both"/>
        <w:ind w:firstLine="1243"/>
        <w:spacing w:after="0" w:line="294"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i w:val="1"/>
          <w:iCs w:val="1"/>
          <w:color w:val="auto"/>
        </w:rPr>
        <w:t>Participant</w:t>
      </w:r>
      <w:r>
        <w:rPr>
          <w:rFonts w:ascii="Times New Roman" w:cs="Times New Roman" w:eastAsia="Times New Roman" w:hAnsi="Times New Roman"/>
          <w:sz w:val="17"/>
          <w:szCs w:val="17"/>
          <w:color w:val="auto"/>
        </w:rPr>
        <w:t>” means an eligible employee or other individual who provides services to the Company or its subsidiaries and who is described in Section III as a participant in the Plan.</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2.14          “</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this Skyward Specialty Insurance Group, Inc. Long-Term Cash Bonus Incentive Plan, as in effect from time to time.</w:t>
      </w:r>
    </w:p>
    <w:p>
      <w:pPr>
        <w:spacing w:after="0" w:line="219" w:lineRule="exact"/>
        <w:rPr>
          <w:sz w:val="20"/>
          <w:szCs w:val="20"/>
          <w:color w:val="auto"/>
        </w:rPr>
      </w:pPr>
    </w:p>
    <w:p>
      <w:pPr>
        <w:jc w:val="both"/>
        <w:ind w:firstLine="1243"/>
        <w:spacing w:after="0" w:line="262" w:lineRule="auto"/>
        <w:rPr>
          <w:sz w:val="20"/>
          <w:szCs w:val="20"/>
          <w:color w:val="auto"/>
        </w:rPr>
      </w:pPr>
      <w:r>
        <w:rPr>
          <w:rFonts w:ascii="Times New Roman" w:cs="Times New Roman" w:eastAsia="Times New Roman" w:hAnsi="Times New Roman"/>
          <w:sz w:val="17"/>
          <w:szCs w:val="17"/>
          <w:color w:val="auto"/>
        </w:rPr>
        <w:t>2.15          “</w:t>
      </w:r>
      <w:r>
        <w:rPr>
          <w:rFonts w:ascii="Times New Roman" w:cs="Times New Roman" w:eastAsia="Times New Roman" w:hAnsi="Times New Roman"/>
          <w:sz w:val="17"/>
          <w:szCs w:val="17"/>
          <w:i w:val="1"/>
          <w:iCs w:val="1"/>
          <w:color w:val="auto"/>
        </w:rPr>
        <w:t>Qualifying Retirement</w:t>
      </w:r>
      <w:r>
        <w:rPr>
          <w:rFonts w:ascii="Times New Roman" w:cs="Times New Roman" w:eastAsia="Times New Roman" w:hAnsi="Times New Roman"/>
          <w:sz w:val="17"/>
          <w:szCs w:val="17"/>
          <w:color w:val="auto"/>
        </w:rPr>
        <w:t>” means a Participant’s termination of employment which is also a “separation from service” as such term is defined under Section 409A of the Code and applicable regulations, where all the following requirements are met: (i) the termination occurs on a date that is at least one year following the beginning of the Performance Period, (ii) the termination is other than on account of Participant’s termination of Service for Cause,</w:t>
      </w:r>
    </w:p>
    <w:p>
      <w:pPr>
        <w:spacing w:after="0" w:line="2" w:lineRule="exact"/>
        <w:rPr>
          <w:sz w:val="20"/>
          <w:szCs w:val="20"/>
          <w:color w:val="auto"/>
        </w:rPr>
      </w:pPr>
    </w:p>
    <w:p>
      <w:pPr>
        <w:jc w:val="both"/>
        <w:ind w:firstLine="4"/>
        <w:spacing w:after="0" w:line="257" w:lineRule="auto"/>
        <w:tabs>
          <w:tab w:leader="none" w:pos="25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occurs after attainment of minimum age of fifty-five (55), (iv) as of the date of termination the Participant has at least (5) years of continuous service with the Company, (v) the Participant notifies the Chief People and Administrative Officer in writing at least twelve (12) months’ in advance of the effective retirement date; (vi) the Participant continues to actively assist the Company in succession planning and the transitioning of his/her responsibilities through the Participant retirement date as determined and directed by the Company in its sole discretion; and (vi) the Participant timely executes and delivers to the Company a signed waiver and release of claims upon the Participant’s “separation from service.” as is provided to Participant by the Company in connection with Participant’s termination and permits it to become effective in accordance with its terms (such applicable date of release effectiveness, the “</w:t>
      </w:r>
      <w:r>
        <w:rPr>
          <w:rFonts w:ascii="Times New Roman" w:cs="Times New Roman" w:eastAsia="Times New Roman" w:hAnsi="Times New Roman"/>
          <w:sz w:val="17"/>
          <w:szCs w:val="17"/>
          <w:i w:val="1"/>
          <w:iCs w:val="1"/>
          <w:color w:val="auto"/>
        </w:rPr>
        <w:t>Release 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jc w:val="both"/>
        <w:ind w:firstLine="1243"/>
        <w:spacing w:after="0" w:line="267" w:lineRule="auto"/>
        <w:rPr>
          <w:sz w:val="20"/>
          <w:szCs w:val="20"/>
          <w:color w:val="auto"/>
        </w:rPr>
      </w:pPr>
      <w:r>
        <w:rPr>
          <w:rFonts w:ascii="Times New Roman" w:cs="Times New Roman" w:eastAsia="Times New Roman" w:hAnsi="Times New Roman"/>
          <w:sz w:val="17"/>
          <w:szCs w:val="17"/>
          <w:color w:val="auto"/>
        </w:rPr>
        <w:t>2.16         </w:t>
      </w:r>
      <w:r>
        <w:rPr>
          <w:rFonts w:ascii="Times New Roman" w:cs="Times New Roman" w:eastAsia="Times New Roman" w:hAnsi="Times New Roman"/>
          <w:sz w:val="17"/>
          <w:szCs w:val="17"/>
          <w:i w:val="1"/>
          <w:iCs w:val="1"/>
          <w:color w:val="auto"/>
        </w:rPr>
        <w:t>“Qualifying Termination”</w:t>
      </w:r>
      <w:r>
        <w:rPr>
          <w:rFonts w:ascii="Times New Roman" w:cs="Times New Roman" w:eastAsia="Times New Roman" w:hAnsi="Times New Roman"/>
          <w:sz w:val="17"/>
          <w:szCs w:val="17"/>
          <w:color w:val="auto"/>
        </w:rPr>
        <w:t xml:space="preserve"> means Participant’s termination without Cause or resignation for Good Reason which constitutes a “separation from service” as such term is defined under Section 409A of the Code and applicable regulations; provided that Participant timely execute and deliver to the Company a signed waiver and release of claims in such form as is provided to Participant by the Company in connection with Participant’s termination of employment and permits it to become effective in accordance with its terms (such applicable date of release effectiveness, the “</w:t>
      </w:r>
      <w:r>
        <w:rPr>
          <w:rFonts w:ascii="Times New Roman" w:cs="Times New Roman" w:eastAsia="Times New Roman" w:hAnsi="Times New Roman"/>
          <w:sz w:val="17"/>
          <w:szCs w:val="17"/>
          <w:i w:val="1"/>
          <w:iCs w:val="1"/>
          <w:color w:val="auto"/>
        </w:rPr>
        <w:t>Release Effective Date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1243"/>
        <w:spacing w:after="0" w:line="294" w:lineRule="auto"/>
        <w:rPr>
          <w:sz w:val="20"/>
          <w:szCs w:val="20"/>
          <w:color w:val="auto"/>
        </w:rPr>
      </w:pPr>
      <w:r>
        <w:rPr>
          <w:rFonts w:ascii="Times New Roman" w:cs="Times New Roman" w:eastAsia="Times New Roman" w:hAnsi="Times New Roman"/>
          <w:sz w:val="17"/>
          <w:szCs w:val="17"/>
          <w:color w:val="auto"/>
        </w:rPr>
        <w:t>2.17          “</w:t>
      </w:r>
      <w:r>
        <w:rPr>
          <w:rFonts w:ascii="Times New Roman" w:cs="Times New Roman" w:eastAsia="Times New Roman" w:hAnsi="Times New Roman"/>
          <w:sz w:val="17"/>
          <w:szCs w:val="17"/>
          <w:i w:val="1"/>
          <w:iCs w:val="1"/>
          <w:color w:val="auto"/>
        </w:rPr>
        <w:t>STIP Performance Factor</w:t>
      </w:r>
      <w:r>
        <w:rPr>
          <w:rFonts w:ascii="Times New Roman" w:cs="Times New Roman" w:eastAsia="Times New Roman" w:hAnsi="Times New Roman"/>
          <w:sz w:val="17"/>
          <w:szCs w:val="17"/>
          <w:color w:val="auto"/>
        </w:rPr>
        <w:t>” means a percentage based on the Company’s performance as determined by the Committee under the Company’s Short-Term Incentive Plan.</w:t>
      </w:r>
    </w:p>
    <w:p>
      <w:pPr>
        <w:spacing w:after="0" w:line="143" w:lineRule="exact"/>
        <w:rPr>
          <w:sz w:val="20"/>
          <w:szCs w:val="20"/>
          <w:color w:val="auto"/>
        </w:rPr>
      </w:pPr>
    </w:p>
    <w:p>
      <w:pPr>
        <w:jc w:val="both"/>
        <w:ind w:firstLine="1243"/>
        <w:spacing w:after="0" w:line="274" w:lineRule="auto"/>
        <w:rPr>
          <w:sz w:val="20"/>
          <w:szCs w:val="20"/>
          <w:color w:val="auto"/>
        </w:rPr>
      </w:pPr>
      <w:r>
        <w:rPr>
          <w:rFonts w:ascii="Times New Roman" w:cs="Times New Roman" w:eastAsia="Times New Roman" w:hAnsi="Times New Roman"/>
          <w:sz w:val="17"/>
          <w:szCs w:val="17"/>
          <w:color w:val="auto"/>
        </w:rPr>
        <w:t>2.18          “</w:t>
      </w:r>
      <w:r>
        <w:rPr>
          <w:rFonts w:ascii="Times New Roman" w:cs="Times New Roman" w:eastAsia="Times New Roman" w:hAnsi="Times New Roman"/>
          <w:sz w:val="17"/>
          <w:szCs w:val="17"/>
          <w:i w:val="1"/>
          <w:iCs w:val="1"/>
          <w:color w:val="auto"/>
        </w:rPr>
        <w:t>Total and Permanent Disability</w:t>
      </w:r>
      <w:r>
        <w:rPr>
          <w:rFonts w:ascii="Times New Roman" w:cs="Times New Roman" w:eastAsia="Times New Roman" w:hAnsi="Times New Roman"/>
          <w:sz w:val="17"/>
          <w:szCs w:val="17"/>
          <w:color w:val="auto"/>
        </w:rPr>
        <w:t>” means, with respect to a Participant, except as otherwise provided in the relevant Award Notice, a Participant’s inability to engage in any substantial gainful activity by reason of any medically determinable physical or mental impairment so that the Participant is eligible for long-term disability benefits as determined by Skyward Specialty’s long-term disability insurance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3" w:name="page84"/>
    <w:bookmarkEnd w:id="83"/>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III.         </w:t>
      </w:r>
      <w:r>
        <w:rPr>
          <w:rFonts w:ascii="Times New Roman" w:cs="Times New Roman" w:eastAsia="Times New Roman" w:hAnsi="Times New Roman"/>
          <w:sz w:val="17"/>
          <w:szCs w:val="17"/>
          <w:b w:val="1"/>
          <w:bCs w:val="1"/>
          <w:u w:val="single" w:color="auto"/>
          <w:color w:val="auto"/>
        </w:rPr>
        <w:t>  Participation</w:t>
      </w:r>
      <w:r>
        <w:rPr>
          <w:rFonts w:ascii="Times New Roman" w:cs="Times New Roman" w:eastAsia="Times New Roman" w:hAnsi="Times New Roman"/>
          <w:sz w:val="17"/>
          <w:szCs w:val="17"/>
          <w:color w:val="auto"/>
        </w:rPr>
        <w:t>. All employees of the Company and its subsidiaries who are employed in the positions of certain senior leaders and other key, non-executive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as selected by the CEO, shall be eligible to participate in the Plan for each three-year performance period (the “</w:t>
      </w:r>
      <w:r>
        <w:rPr>
          <w:rFonts w:ascii="Times New Roman" w:cs="Times New Roman" w:eastAsia="Times New Roman" w:hAnsi="Times New Roman"/>
          <w:sz w:val="17"/>
          <w:szCs w:val="17"/>
          <w:i w:val="1"/>
          <w:iCs w:val="1"/>
          <w:color w:val="auto"/>
        </w:rPr>
        <w:t>Performance Period</w:t>
      </w:r>
      <w:r>
        <w:rPr>
          <w:rFonts w:ascii="Times New Roman" w:cs="Times New Roman" w:eastAsia="Times New Roman" w:hAnsi="Times New Roman"/>
          <w:sz w:val="17"/>
          <w:szCs w:val="17"/>
          <w:color w:val="auto"/>
        </w:rPr>
        <w:t>”). A new Performance Period begins on each January 1st and ends on December 31st of the third year of such Performance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IV.         </w:t>
      </w:r>
      <w:r>
        <w:rPr>
          <w:rFonts w:ascii="Times New Roman" w:cs="Times New Roman" w:eastAsia="Times New Roman" w:hAnsi="Times New Roman"/>
          <w:sz w:val="17"/>
          <w:szCs w:val="17"/>
          <w:b w:val="1"/>
          <w:bCs w:val="1"/>
          <w:u w:val="single" w:color="auto"/>
          <w:color w:val="auto"/>
        </w:rPr>
        <w:t>  Annual Bonus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64" w:lineRule="auto"/>
        <w:rPr>
          <w:sz w:val="20"/>
          <w:szCs w:val="20"/>
          <w:color w:val="auto"/>
        </w:rPr>
      </w:pPr>
      <w:r>
        <w:rPr>
          <w:rFonts w:ascii="Times New Roman" w:cs="Times New Roman" w:eastAsia="Times New Roman" w:hAnsi="Times New Roman"/>
          <w:sz w:val="17"/>
          <w:szCs w:val="17"/>
          <w:color w:val="auto"/>
        </w:rPr>
        <w:t>4.1            </w:t>
      </w:r>
      <w:r>
        <w:rPr>
          <w:rFonts w:ascii="Times New Roman" w:cs="Times New Roman" w:eastAsia="Times New Roman" w:hAnsi="Times New Roman"/>
          <w:sz w:val="17"/>
          <w:szCs w:val="17"/>
          <w:b w:val="1"/>
          <w:bCs w:val="1"/>
          <w:color w:val="auto"/>
        </w:rPr>
        <w:t>Target Bonus.</w:t>
      </w:r>
      <w:r>
        <w:rPr>
          <w:rFonts w:ascii="Times New Roman" w:cs="Times New Roman" w:eastAsia="Times New Roman" w:hAnsi="Times New Roman"/>
          <w:sz w:val="17"/>
          <w:szCs w:val="17"/>
          <w:color w:val="auto"/>
        </w:rPr>
        <w:t xml:space="preserve"> At or as soon as practicable following the beginning of each calendar year, the CEO shall establish target bonuses for the Performance Period that commences for such calendar year as a dollar amount that shall be set forth on an Award Notice. Once the Bonus Pool, as defined in 4.3 below is determined by the Committee, the CEO, in his sole discretion, assigns a performance factor for the Performance Period based on the achievement of Company and division and/or functional group (“Division”) performance goals during the Performance Period. The amount actually paid to a Participant is set by the performance factor attributed to the Division.</w:t>
      </w:r>
    </w:p>
    <w:p>
      <w:pPr>
        <w:spacing w:after="0" w:line="168" w:lineRule="exact"/>
        <w:rPr>
          <w:sz w:val="20"/>
          <w:szCs w:val="20"/>
          <w:color w:val="auto"/>
        </w:rPr>
      </w:pPr>
    </w:p>
    <w:p>
      <w:pPr>
        <w:jc w:val="both"/>
        <w:ind w:firstLine="1243"/>
        <w:spacing w:after="0" w:line="294" w:lineRule="auto"/>
        <w:rPr>
          <w:sz w:val="20"/>
          <w:szCs w:val="20"/>
          <w:color w:val="auto"/>
        </w:rPr>
      </w:pPr>
      <w:r>
        <w:rPr>
          <w:rFonts w:ascii="Times New Roman" w:cs="Times New Roman" w:eastAsia="Times New Roman" w:hAnsi="Times New Roman"/>
          <w:sz w:val="17"/>
          <w:szCs w:val="17"/>
          <w:color w:val="auto"/>
        </w:rPr>
        <w:t>4.2            </w:t>
      </w:r>
      <w:r>
        <w:rPr>
          <w:rFonts w:ascii="Times New Roman" w:cs="Times New Roman" w:eastAsia="Times New Roman" w:hAnsi="Times New Roman"/>
          <w:sz w:val="17"/>
          <w:szCs w:val="17"/>
          <w:b w:val="1"/>
          <w:bCs w:val="1"/>
          <w:color w:val="auto"/>
        </w:rPr>
        <w:t>Performance Criteria</w:t>
      </w:r>
      <w:r>
        <w:rPr>
          <w:rFonts w:ascii="Times New Roman" w:cs="Times New Roman" w:eastAsia="Times New Roman" w:hAnsi="Times New Roman"/>
          <w:sz w:val="17"/>
          <w:szCs w:val="17"/>
          <w:color w:val="auto"/>
        </w:rPr>
        <w:t xml:space="preserve">. Bonus Payments are paid based upon meeting certain performance criteria. Unless otherwise specified for a Performance Period, these criteria shall be as set forth in </w:t>
      </w:r>
      <w:r>
        <w:rPr>
          <w:rFonts w:ascii="Times New Roman" w:cs="Times New Roman" w:eastAsia="Times New Roman" w:hAnsi="Times New Roman"/>
          <w:sz w:val="17"/>
          <w:szCs w:val="17"/>
          <w:b w:val="1"/>
          <w:bCs w:val="1"/>
          <w:u w:val="single" w:color="auto"/>
          <w:color w:val="auto"/>
        </w:rPr>
        <w:t>Exhibit A.</w:t>
      </w:r>
    </w:p>
    <w:p>
      <w:pPr>
        <w:spacing w:after="0" w:line="143" w:lineRule="exact"/>
        <w:rPr>
          <w:sz w:val="20"/>
          <w:szCs w:val="20"/>
          <w:color w:val="auto"/>
        </w:rPr>
      </w:pPr>
    </w:p>
    <w:p>
      <w:pPr>
        <w:jc w:val="both"/>
        <w:ind w:firstLine="1243"/>
        <w:spacing w:after="0" w:line="274" w:lineRule="auto"/>
        <w:rPr>
          <w:sz w:val="20"/>
          <w:szCs w:val="20"/>
          <w:color w:val="auto"/>
        </w:rPr>
      </w:pPr>
      <w:r>
        <w:rPr>
          <w:rFonts w:ascii="Times New Roman" w:cs="Times New Roman" w:eastAsia="Times New Roman" w:hAnsi="Times New Roman"/>
          <w:sz w:val="17"/>
          <w:szCs w:val="17"/>
          <w:color w:val="auto"/>
        </w:rPr>
        <w:t>4.3            </w:t>
      </w:r>
      <w:r>
        <w:rPr>
          <w:rFonts w:ascii="Times New Roman" w:cs="Times New Roman" w:eastAsia="Times New Roman" w:hAnsi="Times New Roman"/>
          <w:sz w:val="17"/>
          <w:szCs w:val="17"/>
          <w:b w:val="1"/>
          <w:bCs w:val="1"/>
          <w:color w:val="auto"/>
        </w:rPr>
        <w:t>Calculating Bonus Payment.</w:t>
      </w:r>
      <w:r>
        <w:rPr>
          <w:rFonts w:ascii="Times New Roman" w:cs="Times New Roman" w:eastAsia="Times New Roman" w:hAnsi="Times New Roman"/>
          <w:sz w:val="17"/>
          <w:szCs w:val="17"/>
          <w:color w:val="auto"/>
        </w:rPr>
        <w:t xml:space="preserve"> The amount that may be approved and available for payment for each Performance Period, (the “Bonus Pool”), if any, will be determined in accordance with the terms and conditions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and other factors as determined by the CEO in consultation with the Committee in their sole discretion.</w:t>
      </w:r>
    </w:p>
    <w:p>
      <w:pPr>
        <w:spacing w:after="0" w:line="159" w:lineRule="exact"/>
        <w:rPr>
          <w:sz w:val="20"/>
          <w:szCs w:val="20"/>
          <w:color w:val="auto"/>
        </w:rPr>
      </w:pPr>
    </w:p>
    <w:p>
      <w:pPr>
        <w:jc w:val="both"/>
        <w:ind w:firstLine="1243"/>
        <w:spacing w:after="0" w:line="274" w:lineRule="auto"/>
        <w:rPr>
          <w:sz w:val="20"/>
          <w:szCs w:val="20"/>
          <w:color w:val="auto"/>
        </w:rPr>
      </w:pPr>
      <w:r>
        <w:rPr>
          <w:rFonts w:ascii="Times New Roman" w:cs="Times New Roman" w:eastAsia="Times New Roman" w:hAnsi="Times New Roman"/>
          <w:sz w:val="17"/>
          <w:szCs w:val="17"/>
          <w:color w:val="auto"/>
        </w:rPr>
        <w:t>4.4            </w:t>
      </w:r>
      <w:r>
        <w:rPr>
          <w:rFonts w:ascii="Times New Roman" w:cs="Times New Roman" w:eastAsia="Times New Roman" w:hAnsi="Times New Roman"/>
          <w:sz w:val="17"/>
          <w:szCs w:val="17"/>
          <w:b w:val="1"/>
          <w:bCs w:val="1"/>
          <w:color w:val="auto"/>
        </w:rPr>
        <w:t>Approval of Bonus Payments.</w:t>
      </w:r>
      <w:r>
        <w:rPr>
          <w:rFonts w:ascii="Times New Roman" w:cs="Times New Roman" w:eastAsia="Times New Roman" w:hAnsi="Times New Roman"/>
          <w:sz w:val="17"/>
          <w:szCs w:val="17"/>
          <w:color w:val="auto"/>
        </w:rPr>
        <w:t xml:space="preserve"> After the end of a Performance Period, the CEO shall determine the amount of each Division’s Bonus Pool, if any, based on the total Bonus Pool funding and Division performance for the applicable Performance Period, and other factors as determined by the CEO in the CEO’s sole discretion. The Committee shall have sole discretion to determine whether and to what extent the Company’s performance goals have been met.</w:t>
      </w:r>
    </w:p>
    <w:p>
      <w:pPr>
        <w:spacing w:after="0" w:line="159" w:lineRule="exact"/>
        <w:rPr>
          <w:sz w:val="20"/>
          <w:szCs w:val="20"/>
          <w:color w:val="auto"/>
        </w:rPr>
      </w:pPr>
    </w:p>
    <w:p>
      <w:pPr>
        <w:jc w:val="both"/>
        <w:ind w:firstLine="1243"/>
        <w:spacing w:after="0" w:line="274" w:lineRule="auto"/>
        <w:rPr>
          <w:sz w:val="20"/>
          <w:szCs w:val="20"/>
          <w:color w:val="auto"/>
        </w:rPr>
      </w:pPr>
      <w:r>
        <w:rPr>
          <w:rFonts w:ascii="Times New Roman" w:cs="Times New Roman" w:eastAsia="Times New Roman" w:hAnsi="Times New Roman"/>
          <w:sz w:val="17"/>
          <w:szCs w:val="17"/>
          <w:color w:val="auto"/>
        </w:rPr>
        <w:t>4.5            </w:t>
      </w:r>
      <w:r>
        <w:rPr>
          <w:rFonts w:ascii="Times New Roman" w:cs="Times New Roman" w:eastAsia="Times New Roman" w:hAnsi="Times New Roman"/>
          <w:sz w:val="17"/>
          <w:szCs w:val="17"/>
          <w:b w:val="1"/>
          <w:bCs w:val="1"/>
          <w:color w:val="auto"/>
        </w:rPr>
        <w:t>Newly Hired Employees, Promotions and Transfers</w:t>
      </w:r>
      <w:r>
        <w:rPr>
          <w:rFonts w:ascii="Times New Roman" w:cs="Times New Roman" w:eastAsia="Times New Roman" w:hAnsi="Times New Roman"/>
          <w:sz w:val="17"/>
          <w:szCs w:val="17"/>
          <w:color w:val="auto"/>
        </w:rPr>
        <w:t>. Employees who are (1) newly hired, or (2) who are promoted or transferred into a position eligible to participate in the Plan during the first Measurement Period of a Performance Period may be eligible to participate in the current Performance Period at the sole discretion of the CEO.</w:t>
      </w:r>
    </w:p>
    <w:p>
      <w:pPr>
        <w:spacing w:after="0" w:line="159" w:lineRule="exact"/>
        <w:rPr>
          <w:sz w:val="20"/>
          <w:szCs w:val="20"/>
          <w:color w:val="auto"/>
        </w:rPr>
      </w:pPr>
    </w:p>
    <w:p>
      <w:pPr>
        <w:jc w:val="both"/>
        <w:ind w:firstLine="1243"/>
        <w:spacing w:after="0" w:line="267" w:lineRule="auto"/>
        <w:rPr>
          <w:sz w:val="20"/>
          <w:szCs w:val="20"/>
          <w:color w:val="auto"/>
        </w:rPr>
      </w:pPr>
      <w:r>
        <w:rPr>
          <w:rFonts w:ascii="Times New Roman" w:cs="Times New Roman" w:eastAsia="Times New Roman" w:hAnsi="Times New Roman"/>
          <w:sz w:val="17"/>
          <w:szCs w:val="17"/>
          <w:color w:val="auto"/>
        </w:rPr>
        <w:t>4.6            </w:t>
      </w:r>
      <w:r>
        <w:rPr>
          <w:rFonts w:ascii="Times New Roman" w:cs="Times New Roman" w:eastAsia="Times New Roman" w:hAnsi="Times New Roman"/>
          <w:sz w:val="17"/>
          <w:szCs w:val="17"/>
          <w:b w:val="1"/>
          <w:bCs w:val="1"/>
          <w:color w:val="auto"/>
        </w:rPr>
        <w:t>Payment of Bonus.</w:t>
      </w:r>
      <w:r>
        <w:rPr>
          <w:rFonts w:ascii="Times New Roman" w:cs="Times New Roman" w:eastAsia="Times New Roman" w:hAnsi="Times New Roman"/>
          <w:sz w:val="17"/>
          <w:szCs w:val="17"/>
          <w:color w:val="auto"/>
        </w:rPr>
        <w:t xml:space="preserve"> Except as provided in Article V and Section 8.4, each Bonus Payment that is approved to be paid for a Performance Period shall be paid in cash to the Participant in a single lump sum payment on or after January 1 but not later than March 15 of the calendar year following the end of the Performance Period with respect to which the Bonus Payment relates. No Bonus Payment is considered earned under this Plan until the time that the Bonus Payment is actually paid to the Participant.</w:t>
      </w:r>
    </w:p>
    <w:p>
      <w:pPr>
        <w:spacing w:after="0" w:line="166" w:lineRule="exact"/>
        <w:rPr>
          <w:sz w:val="20"/>
          <w:szCs w:val="20"/>
          <w:color w:val="auto"/>
        </w:rPr>
      </w:pPr>
    </w:p>
    <w:p>
      <w:pPr>
        <w:jc w:val="both"/>
        <w:ind w:firstLine="1243"/>
        <w:spacing w:after="0" w:line="294" w:lineRule="auto"/>
        <w:rPr>
          <w:sz w:val="20"/>
          <w:szCs w:val="20"/>
          <w:color w:val="auto"/>
        </w:rPr>
      </w:pPr>
      <w:r>
        <w:rPr>
          <w:rFonts w:ascii="Times New Roman" w:cs="Times New Roman" w:eastAsia="Times New Roman" w:hAnsi="Times New Roman"/>
          <w:sz w:val="17"/>
          <w:szCs w:val="17"/>
          <w:color w:val="auto"/>
        </w:rPr>
        <w:t>4.7            </w:t>
      </w:r>
      <w:r>
        <w:rPr>
          <w:rFonts w:ascii="Times New Roman" w:cs="Times New Roman" w:eastAsia="Times New Roman" w:hAnsi="Times New Roman"/>
          <w:sz w:val="17"/>
          <w:szCs w:val="17"/>
          <w:b w:val="1"/>
          <w:bCs w:val="1"/>
          <w:color w:val="auto"/>
        </w:rPr>
        <w:t>Withholding Tax.</w:t>
      </w:r>
      <w:r>
        <w:rPr>
          <w:rFonts w:ascii="Times New Roman" w:cs="Times New Roman" w:eastAsia="Times New Roman" w:hAnsi="Times New Roman"/>
          <w:sz w:val="17"/>
          <w:szCs w:val="17"/>
          <w:color w:val="auto"/>
        </w:rPr>
        <w:t xml:space="preserve"> The Company shall withhold from any Bonus Payment an amount sufficient to satisfy all federal, state, and local tax withholding requirements relating to the bonus.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          </w:t>
      </w:r>
      <w:r>
        <w:rPr>
          <w:rFonts w:ascii="Times New Roman" w:cs="Times New Roman" w:eastAsia="Times New Roman" w:hAnsi="Times New Roman"/>
          <w:sz w:val="17"/>
          <w:szCs w:val="17"/>
          <w:b w:val="1"/>
          <w:bCs w:val="1"/>
          <w:u w:val="single" w:color="auto"/>
          <w:color w:val="auto"/>
        </w:rPr>
        <w:t>  Termination of Employment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243"/>
        <w:spacing w:after="0" w:line="273" w:lineRule="auto"/>
        <w:rPr>
          <w:sz w:val="20"/>
          <w:szCs w:val="20"/>
          <w:color w:val="auto"/>
        </w:rPr>
      </w:pPr>
      <w:r>
        <w:rPr>
          <w:rFonts w:ascii="Times New Roman" w:cs="Times New Roman" w:eastAsia="Times New Roman" w:hAnsi="Times New Roman"/>
          <w:sz w:val="17"/>
          <w:szCs w:val="17"/>
          <w:color w:val="auto"/>
        </w:rPr>
        <w:t>5.1            Except as provided below with respect to a termination due to death or Total and Permanent Disability, Qualifying Retirement, or Change in Control Qualifying Termination, or as otherwise determined in the CEO’s sole discretion, a Participant must be employed by the Company through the end of the Performance Period in order to receive a Bonus Payment for such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4" w:name="page85"/>
    <w:bookmarkEnd w:id="84"/>
    <w:p>
      <w:pPr>
        <w:jc w:val="both"/>
        <w:ind w:firstLine="1243"/>
        <w:spacing w:after="0" w:line="257" w:lineRule="auto"/>
        <w:rPr>
          <w:sz w:val="20"/>
          <w:szCs w:val="20"/>
          <w:color w:val="auto"/>
        </w:rPr>
      </w:pPr>
      <w:r>
        <w:rPr>
          <w:rFonts w:ascii="Times New Roman" w:cs="Times New Roman" w:eastAsia="Times New Roman" w:hAnsi="Times New Roman"/>
          <w:sz w:val="17"/>
          <w:szCs w:val="17"/>
          <w:color w:val="auto"/>
        </w:rPr>
        <w:t>5.2            </w:t>
      </w:r>
      <w:r>
        <w:rPr>
          <w:rFonts w:ascii="Times New Roman" w:cs="Times New Roman" w:eastAsia="Times New Roman" w:hAnsi="Times New Roman"/>
          <w:sz w:val="17"/>
          <w:szCs w:val="17"/>
          <w:b w:val="1"/>
          <w:bCs w:val="1"/>
          <w:color w:val="auto"/>
        </w:rPr>
        <w:t>Death or Total and Permanent Disability</w:t>
      </w:r>
      <w:r>
        <w:rPr>
          <w:rFonts w:ascii="Times New Roman" w:cs="Times New Roman" w:eastAsia="Times New Roman" w:hAnsi="Times New Roman"/>
          <w:sz w:val="17"/>
          <w:szCs w:val="17"/>
          <w:color w:val="auto"/>
        </w:rPr>
        <w:t>. Subject to the provisions of Section 4, if the Participant’s employment with the Company is terminated due to the Participant’s death or Total and Permanent Disability prior to the last date of a Performance Period, unless otherwise determined by the CEO, as determined in the CEO’s sole discretion, the Participant will be eligible to receive any approved Bonus Payment for such Performance Period that will be calculated by using the actual performance for any Measurement Periods completed on or prior to the employment termination date and deemed target performance achievement for any Measurement Period of such Performance Period that is not completed prior to the employment termination date, and such applicable Bonus Payment amount calculated based on such applicable average of the deemed and attained performance level for such Measurement Periods with the same weighting applied to all Measurement Periods in such averaging calculation. For the avoidance of doubt, any Measurement Periods that are scheduled to begin and/or end after the date on which the Participant’s employment terminates due to death or Total and Permanent Disability occurs, if applicable, shall also be included in the average calculation at the deemed target performance level for purposes of determining the level of performance achievement and the applicable amount of such Bonus Payment. Subject to the provisions of Section 8.4, such Bonus Payment shall be made to the Participant or the Participant’s death beneficiary as soon as administratively practicable within the sixty (60) day period following the date of such termination. Notwithstanding the foregoing or anything to the contrary set forth herein, to the extent a Bonus Payment is earned upon a Participant’s death, the Company is not obligated to make such Bonus Payment until a date selected by the Company that is as soon as administratively practicable within the thirty (30) day period following the date that the Company receives evidence of the applicable beneficiary who is entitled to receive such Bonus Payment (the “</w:t>
      </w:r>
      <w:r>
        <w:rPr>
          <w:rFonts w:ascii="Times New Roman" w:cs="Times New Roman" w:eastAsia="Times New Roman" w:hAnsi="Times New Roman"/>
          <w:sz w:val="17"/>
          <w:szCs w:val="17"/>
          <w:b w:val="1"/>
          <w:bCs w:val="1"/>
          <w:i w:val="1"/>
          <w:i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delivery of the Bonus Payment, including but not limited to any tax liability.</w:t>
      </w:r>
    </w:p>
    <w:p>
      <w:pPr>
        <w:spacing w:after="0" w:line="383" w:lineRule="exact"/>
        <w:rPr>
          <w:sz w:val="20"/>
          <w:szCs w:val="20"/>
          <w:color w:val="auto"/>
        </w:rPr>
      </w:pPr>
    </w:p>
    <w:p>
      <w:pPr>
        <w:jc w:val="both"/>
        <w:ind w:firstLine="1243"/>
        <w:spacing w:after="0" w:line="257" w:lineRule="auto"/>
        <w:rPr>
          <w:sz w:val="20"/>
          <w:szCs w:val="20"/>
          <w:color w:val="auto"/>
        </w:rPr>
      </w:pPr>
      <w:r>
        <w:rPr>
          <w:rFonts w:ascii="Times New Roman" w:cs="Times New Roman" w:eastAsia="Times New Roman" w:hAnsi="Times New Roman"/>
          <w:sz w:val="17"/>
          <w:szCs w:val="17"/>
          <w:color w:val="auto"/>
        </w:rPr>
        <w:t>5.3            </w:t>
      </w:r>
      <w:r>
        <w:rPr>
          <w:rFonts w:ascii="Times New Roman" w:cs="Times New Roman" w:eastAsia="Times New Roman" w:hAnsi="Times New Roman"/>
          <w:sz w:val="17"/>
          <w:szCs w:val="17"/>
          <w:b w:val="1"/>
          <w:bCs w:val="1"/>
          <w:color w:val="auto"/>
        </w:rPr>
        <w:t>Qualifying Retirement.</w:t>
      </w:r>
      <w:r>
        <w:rPr>
          <w:rFonts w:ascii="Times New Roman" w:cs="Times New Roman" w:eastAsia="Times New Roman" w:hAnsi="Times New Roman"/>
          <w:sz w:val="17"/>
          <w:szCs w:val="17"/>
          <w:color w:val="auto"/>
        </w:rPr>
        <w:t xml:space="preserve"> Subject to the provisions of Section 4, If the Participant’s employment with the Company is terminated due to the Participant’s Qualifying Retirement prior to the last date of a Performance Period, unless otherwise determined by the CEO, as determined in the CEO’s sole discretion, Participant will be eligible to earn a pro-rata portion of any approved Bonus Payment for such Performance Period calculated based on the number of days the Participant was employed during the Performance Period and the actual average performance level achieved through the end of the Measurement Period in which the Qualifying Retirement occurs. Such pro-rata portion of the applicable Bonus Payment will be determined by dividing (a) the number of days that have elapsed prior to the date of the Qualifying Retirement date since the start of the applicable Performance Period by (b) the total number of days in such Performance Period. The pro-rata amount of Bonus Payment which is eligible to be earned based on the applicable performance level attained will be calculated by reference to the average of the actual performance for any completed Measurement Periods as of the Qualifying Retirement date and actual performance achieved for the Measurement Period in which the Qualifying Retirement occurs, and such applicable Bonus Payment amount is eligible to be earned contingent on the Release Effective Date. For the avoidance of doubt, any Measurement Periods that are scheduled to begin after the date on which the Qualifying Retirement occurs will not be included in the average calculation for purposes of determining the applicable level of performance achievement and the applicable Bonus Payment amount that is eligible to be earned for such Performance Period. Subject to the provisions of Section 8.4, such Bonus Payment, if any, shall be paid as described in Section 4.6, in all cases during the period from January 1 to March 15 of the first calendar year that commences following the date of termination due to Qualifying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537845</wp:posOffset>
            </wp:positionV>
            <wp:extent cx="7138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5" w:name="page86"/>
    <w:bookmarkEnd w:id="85"/>
    <w:p>
      <w:pPr>
        <w:jc w:val="both"/>
        <w:ind w:firstLine="1243"/>
        <w:spacing w:after="0" w:line="257" w:lineRule="auto"/>
        <w:rPr>
          <w:sz w:val="20"/>
          <w:szCs w:val="20"/>
          <w:color w:val="auto"/>
        </w:rPr>
      </w:pPr>
      <w:r>
        <w:rPr>
          <w:rFonts w:ascii="Times New Roman" w:cs="Times New Roman" w:eastAsia="Times New Roman" w:hAnsi="Times New Roman"/>
          <w:sz w:val="17"/>
          <w:szCs w:val="17"/>
          <w:color w:val="auto"/>
        </w:rPr>
        <w:t>5.4            </w:t>
      </w:r>
      <w:r>
        <w:rPr>
          <w:rFonts w:ascii="Times New Roman" w:cs="Times New Roman" w:eastAsia="Times New Roman" w:hAnsi="Times New Roman"/>
          <w:sz w:val="17"/>
          <w:szCs w:val="17"/>
          <w:b w:val="1"/>
          <w:bCs w:val="1"/>
          <w:color w:val="auto"/>
        </w:rPr>
        <w:t>Change in Control Qualifying Termination. Subject</w:t>
      </w:r>
      <w:r>
        <w:rPr>
          <w:rFonts w:ascii="Times New Roman" w:cs="Times New Roman" w:eastAsia="Times New Roman" w:hAnsi="Times New Roman"/>
          <w:sz w:val="17"/>
          <w:szCs w:val="17"/>
          <w:color w:val="auto"/>
        </w:rPr>
        <w:t xml:space="preserve"> to the provisions of Section 4, If the Participant’s employment with the Company is terminated due to a Change in Control Qualifying Termination prior to the last date of a Performance Period, unless otherwise determined by the CEO, as determined in the CEO’s sole discretion, Participant is eligible to earn any approved Bonus Payment for such Performance Period contingent on the Release Effective Date, with such Bonus Payment amount calculated by reference to actual performance for any Measurement Periods of such Performance Period that were completed on or prior to the date of the Change in Control Qualifying Termination and deemed target performance achievement for any Measurement Periods of such Performance Period that are not completed prior to the date of the Change in Control Qualifying Termination and such applicable Bonus Payment amount that is eligible to be earned shall be calculated based on such applicable average of the deemed and attained performance level for such Measurement Periods with the same weighting applied to all Measurement Periods in such averaging calculation and in all cases subject to and contingent upon the closing of the Change in Control. For the avoidance of doubt, any Measurement Periods that are scheduled to begin and/or end after the date on which the Change in Control Qualifying Termination occurs, if applicable, shall also be included in the average calculation at the deemed target performance level for purposes of determining the level of performance achievement and the applicable Bonus Payment amount that is eligible to be earned for such Performance Period. Subject to the provisions of Section 8.4, such Bonus Payment, if any, shall be paid as described in Section 4.6, in all cases as soon as administratively practicable following the later of: (1) the date of the Change in Control, or (2) the date of the Change in Control Qualifying Termination, but in no event later than sixty (60) days following the later of: (1) the date of the Change in Control, or (2) the date of the Change in Control Qualifying Termination.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VI.         </w:t>
      </w:r>
      <w:r>
        <w:rPr>
          <w:rFonts w:ascii="Times New Roman" w:cs="Times New Roman" w:eastAsia="Times New Roman" w:hAnsi="Times New Roman"/>
          <w:sz w:val="17"/>
          <w:szCs w:val="17"/>
          <w:b w:val="1"/>
          <w:bCs w:val="1"/>
          <w:u w:val="single" w:color="auto"/>
          <w:color w:val="auto"/>
        </w:rPr>
        <w:t>  Impact of Change in Control on Performance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 Change in Control occurs prior to the last date of a Performance Period, the CEO reserves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in the CEO’s sole discretion, to instead provide that the Performance Period shall consist of the period beginning on the first date of the Performance Period and ending on the closing date of the Change in Control for purposes of determining the applicable amount of any Bonus Payment that is approved and eligible to be earned for such Performance Period based on the average applicable level of performance attained for the Measurement Periods of such Performance Period that were completed on or prior to the date of the Change in Control, and deemed target performance achievement for any Measurement Periods of such Performance Period that are not completed prior to the Change in Control based on such applicable average deemed and attained performance level for such Measurement Periods with the same weighting applied to all Measurement Periods in such averaging calculation and in all cases subject to and contingent upon the closing of the Change in Control. For the avoidance of doubt, any Measurement Periods that are scheduled to begin and/or end after the date on which the Change in Control occurs, if applicable, shall also be included in the average calculation at the deemed target performance level for purposes of determining level of performance achievement and the applicable Bonus Amount that is eligible to be earned for such Performance Period if the CEO elects to exercise such discretion. Unless otherwise determined in the CEO’s discretion, any such determined and approved Bonus Amount is eligible to be earned by Participant subject to Participant’s continued employment through the last date of the applicable Performance Period, or earlier termination of employment due to the Participant’s death, Total or Permanent Disability, or Change in Control Qualifying Termination. For the avoidance of doubt, if Participant’s employment subsequently terminates due to the Participant’s Qualifying Retirement, unless otherwise determined in the CEO’s discretion, the Participant will earn a pro-rata portion of any determined and approved Bonus Payment amount with such pro-rata portion determined by dividing (a) the number of days that have elapsed prior to the date of the Qualifying Retirement date since the start of the applicable Performance Period by (b) the total number of days in such Performance Period and multiplying the resulting fraction by the determined Bonus 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410210</wp:posOffset>
            </wp:positionV>
            <wp:extent cx="7138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6" w:name="page87"/>
    <w:bookmarkEnd w:id="86"/>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VII.       </w:t>
      </w:r>
      <w:r>
        <w:rPr>
          <w:rFonts w:ascii="Times New Roman" w:cs="Times New Roman" w:eastAsia="Times New Roman" w:hAnsi="Times New Roman"/>
          <w:sz w:val="17"/>
          <w:szCs w:val="17"/>
          <w:b w:val="1"/>
          <w:bCs w:val="1"/>
          <w:u w:val="single" w:color="auto"/>
          <w:color w:val="auto"/>
        </w:rPr>
        <w:t>  Administration</w:t>
      </w:r>
      <w:r>
        <w:rPr>
          <w:rFonts w:ascii="Times New Roman" w:cs="Times New Roman" w:eastAsia="Times New Roman" w:hAnsi="Times New Roman"/>
          <w:sz w:val="17"/>
          <w:szCs w:val="17"/>
          <w:color w:val="auto"/>
        </w:rPr>
        <w:t>. The Committee establishes the Plan. The Committee shall have full power and discretionary authority to interpret the Plan, to set the final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Bonus Pool as detailed in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and to prescribe, amend and rescind any rules, forms or procedures as the Committee deems necessary or appropriate for the proper administration of the Plan and to make any other determinations and take such other actions as the Committee deems necessary or advisable in carrying out its duties under the Plan. Any action required of the Committee under the Plan shall be made in the Committee’s sole discretion and not in a fiduciary capacity. All decisions and determinations by the Committee shall be final, conclusive, and binding on the Company, the Participants, and any other persons having or claiming an interest hereunder. The Committee may delegate to one or more officers of the Company or any of its subsidiaries, including, but not limited to the CEO, the authority to take any other actions on its behalf pursuant to the Plan. Any reference to “Committee” in the Plan shall mean its delegee with regard to any delegated action.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determination of Participants and bonus targets and applicable Bonus Payment amounts shall be made by the CEO, in his/her sole discretion, as long as they do not exceed 100% of the final Committee-approved Bonus Pool. All Bonus Payments shall be awarded conditional upon the Participant’s acknowledgement, by continuing in employment with the Company, that all decisions and determinations of the Committee shall be final and binding on the Participant, his or her beneficiaries and any other person having or claiming an interest in such Bonus Payment.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VIII.      </w:t>
      </w:r>
      <w:r>
        <w:rPr>
          <w:rFonts w:ascii="Times New Roman" w:cs="Times New Roman" w:eastAsia="Times New Roman" w:hAnsi="Times New Roman"/>
          <w:sz w:val="17"/>
          <w:szCs w:val="17"/>
          <w:b w:val="1"/>
          <w:bCs w:val="1"/>
          <w:u w:val="single" w:color="auto"/>
          <w:color w:val="auto"/>
        </w:rPr>
        <w:t>  General Provisions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43"/>
        <w:spacing w:after="0" w:line="267" w:lineRule="auto"/>
        <w:rPr>
          <w:sz w:val="20"/>
          <w:szCs w:val="20"/>
          <w:color w:val="auto"/>
        </w:rPr>
      </w:pPr>
      <w:r>
        <w:rPr>
          <w:rFonts w:ascii="Times New Roman" w:cs="Times New Roman" w:eastAsia="Times New Roman" w:hAnsi="Times New Roman"/>
          <w:sz w:val="17"/>
          <w:szCs w:val="17"/>
          <w:color w:val="auto"/>
        </w:rPr>
        <w:t>8.1            </w:t>
      </w:r>
      <w:r>
        <w:rPr>
          <w:rFonts w:ascii="Times New Roman" w:cs="Times New Roman" w:eastAsia="Times New Roman" w:hAnsi="Times New Roman"/>
          <w:sz w:val="17"/>
          <w:szCs w:val="17"/>
          <w:b w:val="1"/>
          <w:bCs w:val="1"/>
          <w:color w:val="auto"/>
        </w:rPr>
        <w:t>Transferability.</w:t>
      </w:r>
      <w:r>
        <w:rPr>
          <w:rFonts w:ascii="Times New Roman" w:cs="Times New Roman" w:eastAsia="Times New Roman" w:hAnsi="Times New Roman"/>
          <w:sz w:val="17"/>
          <w:szCs w:val="17"/>
          <w:color w:val="auto"/>
        </w:rPr>
        <w:t xml:space="preserve"> No Bonus Payment under this Plan shall be transferred, assigned, pledged, or encumbered by the Participant nor shall it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In the event of a Participant’s death, any amounts payable under this Plan, as determined by the CEO in consultation with the Committee, shall be paid to the Participant’s estate.</w:t>
      </w:r>
    </w:p>
    <w:p>
      <w:pPr>
        <w:spacing w:after="0" w:line="166" w:lineRule="exact"/>
        <w:rPr>
          <w:sz w:val="20"/>
          <w:szCs w:val="20"/>
          <w:color w:val="auto"/>
        </w:rPr>
      </w:pPr>
    </w:p>
    <w:p>
      <w:pPr>
        <w:jc w:val="both"/>
        <w:ind w:firstLine="1243"/>
        <w:spacing w:after="0" w:line="267" w:lineRule="auto"/>
        <w:rPr>
          <w:sz w:val="20"/>
          <w:szCs w:val="20"/>
          <w:color w:val="auto"/>
        </w:rPr>
      </w:pPr>
      <w:r>
        <w:rPr>
          <w:rFonts w:ascii="Times New Roman" w:cs="Times New Roman" w:eastAsia="Times New Roman" w:hAnsi="Times New Roman"/>
          <w:sz w:val="17"/>
          <w:szCs w:val="17"/>
          <w:color w:val="auto"/>
        </w:rPr>
        <w:t>8.2            </w:t>
      </w:r>
      <w:r>
        <w:rPr>
          <w:rFonts w:ascii="Times New Roman" w:cs="Times New Roman" w:eastAsia="Times New Roman" w:hAnsi="Times New Roman"/>
          <w:sz w:val="17"/>
          <w:szCs w:val="17"/>
          <w:b w:val="1"/>
          <w:bCs w:val="1"/>
          <w:color w:val="auto"/>
        </w:rPr>
        <w:t>Unfunded Arrangement.</w:t>
      </w:r>
      <w:r>
        <w:rPr>
          <w:rFonts w:ascii="Times New Roman" w:cs="Times New Roman" w:eastAsia="Times New Roman" w:hAnsi="Times New Roman"/>
          <w:sz w:val="17"/>
          <w:szCs w:val="17"/>
          <w:color w:val="auto"/>
        </w:rPr>
        <w:t xml:space="preserve"> The Plan is an unfunded incentive compensation arrangement. Nothing contained in the Plan, and no action taken pursuant to the Plan, shall create or be construed to create a trust of any kind. Each Participant’s right to receive a bonus shall be no greater than the right of an unsecured general creditor of the Company. All bonuses shall be paid from the general funds of the Company, and no special or separate fund shall be established, and no segregation of assets shall be made to assure payment of bonuses.</w:t>
      </w:r>
    </w:p>
    <w:p>
      <w:pPr>
        <w:spacing w:after="0" w:line="166" w:lineRule="exact"/>
        <w:rPr>
          <w:sz w:val="20"/>
          <w:szCs w:val="20"/>
          <w:color w:val="auto"/>
        </w:rPr>
      </w:pPr>
    </w:p>
    <w:p>
      <w:pPr>
        <w:jc w:val="both"/>
        <w:ind w:firstLine="1243"/>
        <w:spacing w:after="0" w:line="274" w:lineRule="auto"/>
        <w:rPr>
          <w:sz w:val="20"/>
          <w:szCs w:val="20"/>
          <w:color w:val="auto"/>
        </w:rPr>
      </w:pPr>
      <w:r>
        <w:rPr>
          <w:rFonts w:ascii="Times New Roman" w:cs="Times New Roman" w:eastAsia="Times New Roman" w:hAnsi="Times New Roman"/>
          <w:sz w:val="17"/>
          <w:szCs w:val="17"/>
          <w:color w:val="auto"/>
        </w:rPr>
        <w:t>8.3            </w:t>
      </w:r>
      <w:r>
        <w:rPr>
          <w:rFonts w:ascii="Times New Roman" w:cs="Times New Roman" w:eastAsia="Times New Roman" w:hAnsi="Times New Roman"/>
          <w:sz w:val="17"/>
          <w:szCs w:val="17"/>
          <w:b w:val="1"/>
          <w:bCs w:val="1"/>
          <w:color w:val="auto"/>
        </w:rPr>
        <w:t>No Rights to Employment.</w:t>
      </w:r>
      <w:r>
        <w:rPr>
          <w:rFonts w:ascii="Times New Roman" w:cs="Times New Roman" w:eastAsia="Times New Roman" w:hAnsi="Times New Roman"/>
          <w:sz w:val="17"/>
          <w:szCs w:val="17"/>
          <w:color w:val="auto"/>
        </w:rPr>
        <w:t xml:space="preserve"> Nothing in the Plan, and no action taken pursuant hereto, shall confer upon a Participant the right to continue in the employ of the Company, or affect the right of the Company to terminate a Participant’s employment at any time for cause or for no cause whatsoever.</w:t>
      </w:r>
    </w:p>
    <w:p>
      <w:pPr>
        <w:spacing w:after="0" w:line="159" w:lineRule="exact"/>
        <w:rPr>
          <w:sz w:val="20"/>
          <w:szCs w:val="20"/>
          <w:color w:val="auto"/>
        </w:rPr>
      </w:pPr>
    </w:p>
    <w:p>
      <w:pPr>
        <w:jc w:val="both"/>
        <w:ind w:firstLine="1243"/>
        <w:spacing w:after="0" w:line="259" w:lineRule="auto"/>
        <w:rPr>
          <w:sz w:val="20"/>
          <w:szCs w:val="20"/>
          <w:color w:val="auto"/>
        </w:rPr>
      </w:pPr>
      <w:r>
        <w:rPr>
          <w:rFonts w:ascii="Times New Roman" w:cs="Times New Roman" w:eastAsia="Times New Roman" w:hAnsi="Times New Roman"/>
          <w:sz w:val="17"/>
          <w:szCs w:val="17"/>
          <w:color w:val="auto"/>
        </w:rPr>
        <w:t>8.4            </w:t>
      </w: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It is intended that the Plan be exempt from section 409A of the Code by paying bonuses within the “short-term deferral exception” set forth in the regulations under section 409A of the Code, and the Plan shall be interpreted on a basis consistent with such intent. For purposes of Section 409A of the Code, each payment made under the Plan shall be treated as a separate payment To the extent that any provision of the Plan would cause a conflict with the requirements for an exemption from application of Section 409A of the Code, or would cause the administration of the Plan to fail to satisfy the requirements of Section 409A, such provision shall be deemed null and void to the extent permitted by applicable law. To the extent necessary to avoid adverse tax consequences under Section 409A of the Code, with respect to any payment under the Plan which does not qualify for an exemption and is deferred compensation subject to the requirements of Section 409A of the Code, any payment made to any Participant who is a “specified employee” in connection with such Participant’s separation from service shall not be made before the date that is six months and one day following the date of such Participant’s separation from service or any earlier date of the Participant’s death. In no event shall a Participant, directly or indirectly designate the calendar year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7" w:name="page88"/>
    <w:bookmarkEnd w:id="87"/>
    <w:p>
      <w:pPr>
        <w:ind w:left="1240"/>
        <w:spacing w:after="0"/>
        <w:rPr>
          <w:sz w:val="20"/>
          <w:szCs w:val="20"/>
          <w:color w:val="auto"/>
        </w:rPr>
      </w:pPr>
      <w:r>
        <w:rPr>
          <w:rFonts w:ascii="Times New Roman" w:cs="Times New Roman" w:eastAsia="Times New Roman" w:hAnsi="Times New Roman"/>
          <w:sz w:val="17"/>
          <w:szCs w:val="17"/>
          <w:color w:val="auto"/>
        </w:rPr>
        <w:t>8.5            </w:t>
      </w:r>
      <w:r>
        <w:rPr>
          <w:rFonts w:ascii="Times New Roman" w:cs="Times New Roman" w:eastAsia="Times New Roman" w:hAnsi="Times New Roman"/>
          <w:sz w:val="17"/>
          <w:szCs w:val="17"/>
          <w:b w:val="1"/>
          <w:bCs w:val="1"/>
          <w:color w:val="auto"/>
        </w:rPr>
        <w:t>Termination and Amendment of the Plan.</w:t>
      </w:r>
      <w:r>
        <w:rPr>
          <w:rFonts w:ascii="Times New Roman" w:cs="Times New Roman" w:eastAsia="Times New Roman" w:hAnsi="Times New Roman"/>
          <w:sz w:val="17"/>
          <w:szCs w:val="17"/>
          <w:color w:val="auto"/>
        </w:rPr>
        <w:t xml:space="preserve"> The Committee may amend (in whole or in part) or terminate the Plan at any time.</w:t>
      </w:r>
    </w:p>
    <w:p>
      <w:pPr>
        <w:spacing w:after="0" w:line="219" w:lineRule="exact"/>
        <w:rPr>
          <w:sz w:val="20"/>
          <w:szCs w:val="20"/>
          <w:color w:val="auto"/>
        </w:rPr>
      </w:pPr>
    </w:p>
    <w:p>
      <w:pPr>
        <w:ind w:firstLine="1243"/>
        <w:spacing w:after="0" w:line="294" w:lineRule="auto"/>
        <w:rPr>
          <w:sz w:val="20"/>
          <w:szCs w:val="20"/>
          <w:color w:val="auto"/>
        </w:rPr>
      </w:pPr>
      <w:r>
        <w:rPr>
          <w:rFonts w:ascii="Times New Roman" w:cs="Times New Roman" w:eastAsia="Times New Roman" w:hAnsi="Times New Roman"/>
          <w:sz w:val="17"/>
          <w:szCs w:val="17"/>
          <w:color w:val="auto"/>
        </w:rPr>
        <w:t>8.6            </w:t>
      </w:r>
      <w:r>
        <w:rPr>
          <w:rFonts w:ascii="Times New Roman" w:cs="Times New Roman" w:eastAsia="Times New Roman" w:hAnsi="Times New Roman"/>
          <w:sz w:val="17"/>
          <w:szCs w:val="17"/>
          <w:b w:val="1"/>
          <w:bCs w:val="1"/>
          <w:color w:val="auto"/>
        </w:rPr>
        <w:t>Successors.</w:t>
      </w:r>
      <w:r>
        <w:rPr>
          <w:rFonts w:ascii="Times New Roman" w:cs="Times New Roman" w:eastAsia="Times New Roman" w:hAnsi="Times New Roman"/>
          <w:sz w:val="17"/>
          <w:szCs w:val="17"/>
          <w:color w:val="auto"/>
        </w:rPr>
        <w:t xml:space="preserve"> The Plan shall be binding upon and inure to the benefit of the Company, its successors and assigns, and each Participant and his or her heirs, executors, administrators, and legal representatives.</w:t>
      </w:r>
    </w:p>
    <w:p>
      <w:pPr>
        <w:spacing w:after="0" w:line="143" w:lineRule="exact"/>
        <w:rPr>
          <w:sz w:val="20"/>
          <w:szCs w:val="20"/>
          <w:color w:val="auto"/>
        </w:rPr>
      </w:pPr>
    </w:p>
    <w:p>
      <w:pPr>
        <w:ind w:firstLine="1243"/>
        <w:spacing w:after="0" w:line="294" w:lineRule="auto"/>
        <w:rPr>
          <w:sz w:val="20"/>
          <w:szCs w:val="20"/>
          <w:color w:val="auto"/>
        </w:rPr>
      </w:pPr>
      <w:r>
        <w:rPr>
          <w:rFonts w:ascii="Times New Roman" w:cs="Times New Roman" w:eastAsia="Times New Roman" w:hAnsi="Times New Roman"/>
          <w:sz w:val="17"/>
          <w:szCs w:val="17"/>
          <w:color w:val="auto"/>
        </w:rPr>
        <w:t>8.7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The Plan shall be construed and governed in accordance with the laws of the State of Delaware, without giving effect to the conflict of laws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382905</wp:posOffset>
            </wp:positionV>
            <wp:extent cx="7138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target Bonus Pool is calculated by summing the total of the target bonus amounts for each Participant, as set by the CEO in his/her sole discretion (the “Target Bonus Pool”). The final Bonus Pool for the Performance Period will be determined by applying the Long-Term Cash Performance Factor (“LTC Performance Factor”) to the Target Bonus Pool. The Committee will determine the LTC Performance Factor, primarily based on a straight-average of the Company’s STIP Performance Factor(s) for each of three Measurement Periods during the Performance Period, as certified by the Committee each year. The LTC Performance Factor is then applied to the Target Bonus Pool to adjust it up or down.</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Once the final Bonus Pool amount is set, the CEO will evaluate each Division’s performance against both agreed upon OKRs/financial plan achievement and relative to each other. This evaluation results in the assignment of an LTC Performance Factor for each Division. The final Bonus Pool will then be allocated by the CEO to each Division as a percentage of the Bonus Pool (which in no event will exceed 100% in the aggregate) based on performance achievement of Division-specific performance factors, as determined by the CEO in his/her sole discretion.</w:t>
      </w:r>
    </w:p>
    <w:p>
      <w:pPr>
        <w:spacing w:after="0" w:line="1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Unlike the Company’s Short-Term Incentive Plan, no individual performance metrics will apply. All participants in the Long-Term Cash Bonus Incentive Plan will have their Division’s LTC Performance Factor applied against their Target Award to determine their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138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LONG-TERM CASH BONUS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AWARD NOTICE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____________</w:t>
      </w:r>
    </w:p>
    <w:p>
      <w:pPr>
        <w:spacing w:after="0" w:line="21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Congratulations! You have been granted an award (the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under the Company’s Long-Term Cash Bonus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for the [Performance Years] Performance Period. Capitalized terms that are not defined in this Award Notice have the meanings given to them in the Plan. This Award Notice and the Award are subject in all respects to the terms and conditions of the Plan, which is incorporated herein by reference.</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 xml:space="preserve">Your Target Award is $ </w:t>
      </w:r>
      <w:r>
        <w:rPr>
          <w:rFonts w:ascii="Times New Roman" w:cs="Times New Roman" w:eastAsia="Times New Roman" w:hAnsi="Times New Roman"/>
          <w:sz w:val="17"/>
          <w:szCs w:val="17"/>
          <w:color w:val="auto"/>
        </w:rPr>
        <w:t>____________________</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Subject to an earlier qualifying termination as described below, you must remain continuously employed or in a service relationship with Skyward Specialty Insurance Group,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or its subsidiaries from the date of this Award Notice through the last day of the Performance Period for the Long-Term Cash Award and satisfy all the other conditions for payment described in the Plan to be eligible for a Bonus Payment for the Performance Period. The Bonus Payment, if any, will be paid as a lump sum cash bonus calculated based on your Target Award and the LTC Performance Factor assigned to your Division as set forth in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If your employment is terminated prior to the last day of the Performance Period due to your death, Total and Permanent Disability, Qualifying Retirement, or Change in Control Qualifying Termination, you or your death beneficiary may be eligible to receive a Bonus Payment amount that will be calculated as set forth in Article V of the Plan, subject to satisfaction of the payment conditions set forth in Article V of the Plan.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all cases, you do not have any right to receive any Bonus Payment unless and until such Bonus Payment is approved and has been paid to you.</w:t>
      </w:r>
    </w:p>
    <w:p>
      <w:pPr>
        <w:spacing w:after="0" w:line="219"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Plan and this Award Notice contain the entire understanding between you and the Committee with respect to the subject matter hereof and supersede any and all prior agreements with respect thereto.</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19050</wp:posOffset>
            </wp:positionV>
            <wp:extent cx="32073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3207385" cy="8255"/>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Tom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19050</wp:posOffset>
            </wp:positionV>
            <wp:extent cx="32073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3207385" cy="825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Chief People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426720</wp:posOffset>
            </wp:positionV>
            <wp:extent cx="7138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ACKNOWLEDGEMENT</w:t>
      </w:r>
    </w:p>
    <w:p>
      <w:pPr>
        <w:spacing w:after="0" w:line="221"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I hereby acknowledge that I have received and reviewed a copy of the Plan and this Award notice, and the Award and my participation in the Plan are subject in all respects to the terms and conditions of the Plan. I understand and agree to the terms and conditions of the Plan and this Award Notice.</w:t>
      </w:r>
    </w:p>
    <w:p>
      <w:pPr>
        <w:spacing w:after="0" w:line="1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Exhibit 99.36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Grantee</w:t>
      </w:r>
      <w:r>
        <w:rPr>
          <w:rFonts w:ascii="Times New Roman" w:cs="Times New Roman" w:eastAsia="Times New Roman" w:hAnsi="Times New Roman"/>
          <w:sz w:val="17"/>
          <w:szCs w:val="17"/>
          <w:color w:val="auto"/>
        </w:rPr>
        <w:t>: /$ParticipantName$/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Notice evidences the award of restricted stock units (each, a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of Skyward Specialty Insurance Group,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have been granted to you pursuant to the Skyward Specialty Insurance Group, Inc. 2022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conditioned upon your agreement to the terms of the attached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All amounts credited to the Account will continue for all purposes to be part of the general assets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Grant Date:</w:t>
            </w:r>
          </w:p>
        </w:tc>
        <w:tc>
          <w:tcPr>
            <w:tcW w:w="1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/$GrantDate$/</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94"/>
        </w:trPr>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Number of RSUs:</w:t>
            </w:r>
          </w:p>
        </w:tc>
        <w:tc>
          <w:tcPr>
            <w:tcW w:w="166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9"/>
              </w:rPr>
              <w:t>/$AwardsGranted$/</w:t>
            </w:r>
          </w:p>
        </w:tc>
      </w:tr>
      <w:tr>
        <w:trPr>
          <w:trHeight w:val="394"/>
        </w:trPr>
        <w:tc>
          <w:tcPr>
            <w:tcW w:w="1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Vesting Date:</w:t>
            </w:r>
          </w:p>
        </w:tc>
        <w:tc>
          <w:tcPr>
            <w:tcW w:w="36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January 1, 2029</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All of the RSUs are nonvested and forfeitable as of the Grant Date. So long as your Service (as defined in the Agreement) is continuous from the Grant Date through the applicable Vesting Date, 100% of the RSUs will become vested on the Vesting Date.</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event your Service is terminated due to a Qualifying Retirement which occurs prior to the Vesting Date and on a date that is at least twelve (12) months following January 1st of the applicable calendar year that includes the Grant Date (such January 1st, the “Vesting Start Date”), a pro-rata portion of the not yet vested RSUs shall become vested upon such termination of Service due to a Qualifying Retirement. The number of the RSUs that will become vested will be determined by (i) dividing the number of days you were continuously employed or rendering services during the period starting on the Vesting Start Date and ending on the date immediately prior to the termination date by the total number of days of the applicable vesting period (as measured from the Vesting Start Date to the Vesting Date, and multiplying the result of such fraction by the total number of RSUs. Such pro-rata portion of the RSUs will be rounded down to the nearest whole share.</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event your Service is terminated due to your death or Total and Permanent Disability, 100% of the RSUs that had not yet become vested will become vested.</w:t>
      </w:r>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Notwithstanding anything to the contrary in the Notice or Plan, in the event your Service is terminated in a Qualifying Termination either immediately before a Change in Control or during the twelve (12) month period immediately following a Change in Control, 100% of the RSUs that had not yet become vested will become vested.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cases, any RSUs that become vested will be settled as provided in Section 6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38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LONG-TERM INCENTIVE PLAN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21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Vesting</w:t>
      </w:r>
      <w:r>
        <w:rPr>
          <w:rFonts w:ascii="Times New Roman" w:cs="Times New Roman" w:eastAsia="Times New Roman" w:hAnsi="Times New Roman"/>
          <w:sz w:val="17"/>
          <w:szCs w:val="17"/>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6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Termination of Employment or Service</w:t>
      </w:r>
      <w:r>
        <w:rPr>
          <w:rFonts w:ascii="Times New Roman" w:cs="Times New Roman" w:eastAsia="Times New Roman" w:hAnsi="Times New Roman"/>
          <w:sz w:val="17"/>
          <w:szCs w:val="17"/>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62"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Restrictions on Transfer</w:t>
      </w:r>
      <w:r>
        <w:rPr>
          <w:rFonts w:ascii="Times New Roman" w:cs="Times New Roman" w:eastAsia="Times New Roman" w:hAnsi="Times New Roman"/>
          <w:sz w:val="17"/>
          <w:szCs w:val="17"/>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6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Dividend Equivalent Payments.</w:t>
      </w:r>
      <w:r>
        <w:rPr>
          <w:rFonts w:ascii="Times New Roman" w:cs="Times New Roman" w:eastAsia="Times New Roman" w:hAnsi="Times New Roman"/>
          <w:sz w:val="17"/>
          <w:szCs w:val="17"/>
          <w:color w:val="auto"/>
        </w:rPr>
        <w:t xml:space="preserve"> If, after the Grant Date and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in cash no later than the same date that the RSUs to which they are attributable are settled and paid in accordance with Section 6 hereof. If your vested RSUs have been settled after the record date but prior to the dividend payment date, any dividend equivalents that would be credited pursuant to the preceding sentence shall be paid on or as soon as practicable after the dividend payment date.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Settlement of RSUs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Manner of Settlement</w:t>
      </w:r>
      <w:r>
        <w:rPr>
          <w:rFonts w:ascii="Times New Roman" w:cs="Times New Roman" w:eastAsia="Times New Roman" w:hAnsi="Times New Roman"/>
          <w:sz w:val="17"/>
          <w:szCs w:val="17"/>
          <w:color w:val="auto"/>
        </w:rPr>
        <w:t>. You are not required to make any monetary payment (other than applicable tax withholding,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93" w:name="page94"/>
    <w:bookmarkEnd w:id="93"/>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Timing of Settlement</w:t>
      </w:r>
      <w:r>
        <w:rPr>
          <w:rFonts w:ascii="Times New Roman" w:cs="Times New Roman" w:eastAsia="Times New Roman" w:hAnsi="Times New Roman"/>
          <w:sz w:val="17"/>
          <w:szCs w:val="17"/>
          <w:color w:val="auto"/>
        </w:rPr>
        <w:t>. Your RSUs will be settled by the Company, via the issuance of Common Stock as described herein, on a date selected by the Company that is within sixty (60) days following the date that the RSUs become vested and nonforfeitable (the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 subject to the provisions below. If the Original Issuance Date falls on a date that is not a business day, delivery shall instead occur on the next following business day. In addition, if:</w:t>
      </w:r>
    </w:p>
    <w:p>
      <w:pPr>
        <w:spacing w:after="0" w:line="169" w:lineRule="exact"/>
        <w:rPr>
          <w:sz w:val="20"/>
          <w:szCs w:val="20"/>
          <w:color w:val="auto"/>
        </w:rPr>
      </w:pPr>
    </w:p>
    <w:p>
      <w:pPr>
        <w:jc w:val="both"/>
        <w:ind w:firstLine="1865"/>
        <w:spacing w:after="0" w:line="266" w:lineRule="auto"/>
        <w:rPr>
          <w:sz w:val="20"/>
          <w:szCs w:val="20"/>
          <w:color w:val="auto"/>
        </w:rPr>
      </w:pPr>
      <w:r>
        <w:rPr>
          <w:rFonts w:ascii="Times New Roman" w:cs="Times New Roman" w:eastAsia="Times New Roman" w:hAnsi="Times New Roman"/>
          <w:sz w:val="17"/>
          <w:szCs w:val="17"/>
          <w:color w:val="auto"/>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and</w:t>
      </w:r>
    </w:p>
    <w:p>
      <w:pPr>
        <w:spacing w:after="0" w:line="169" w:lineRule="exact"/>
        <w:rPr>
          <w:sz w:val="20"/>
          <w:szCs w:val="20"/>
          <w:color w:val="auto"/>
        </w:rPr>
      </w:pPr>
    </w:p>
    <w:p>
      <w:pPr>
        <w:jc w:val="both"/>
        <w:ind w:firstLine="1865"/>
        <w:spacing w:after="0" w:line="258" w:lineRule="auto"/>
        <w:rPr>
          <w:sz w:val="20"/>
          <w:szCs w:val="20"/>
          <w:color w:val="auto"/>
        </w:rPr>
      </w:pPr>
      <w:r>
        <w:rPr>
          <w:rFonts w:ascii="Times New Roman" w:cs="Times New Roman" w:eastAsia="Times New Roman" w:hAnsi="Times New Roman"/>
          <w:sz w:val="17"/>
          <w:szCs w:val="17"/>
          <w:color w:val="auto"/>
        </w:rPr>
        <w:t>(ii)           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Notwithstanding the foregoing, to the extent your RSUs vest upon your death or your death occurs prior to settlement of your previously vested RSUs, the Company is not obligated to settle such RSUs until such date selected by the Company that is as soon as administratively practicable within the thirty (30) day period following the date that the Company receives evidence of the applicable beneficiary who is entitled to receive such settlement (the “</w:t>
      </w:r>
      <w:r>
        <w:rPr>
          <w:rFonts w:ascii="Times New Roman" w:cs="Times New Roman" w:eastAsia="Times New Roman" w:hAnsi="Times New Roman"/>
          <w:sz w:val="17"/>
          <w:szCs w:val="17"/>
          <w:b w:val="1"/>
          <w:bCs w:val="1"/>
          <w:i w:val="1"/>
          <w:iCs w:val="1"/>
          <w:color w:val="auto"/>
        </w:rPr>
        <w:t>Death Beneficiary</w:t>
      </w:r>
      <w:r>
        <w:rPr>
          <w:rFonts w:ascii="Times New Roman" w:cs="Times New Roman" w:eastAsia="Times New Roman" w:hAnsi="Times New Roman"/>
          <w:sz w:val="17"/>
          <w:szCs w:val="17"/>
          <w:color w:val="auto"/>
        </w:rPr>
        <w:t>) that is satisfactory to the Company, and the Company will have no liability to the Death Beneficiary with respect to any such delay in settlement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4" w:name="page95"/>
    <w:bookmarkEnd w:id="94"/>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Tax Withholding</w:t>
      </w:r>
      <w:r>
        <w:rPr>
          <w:rFonts w:ascii="Times New Roman" w:cs="Times New Roman" w:eastAsia="Times New Roman" w:hAnsi="Times New Roman"/>
          <w:sz w:val="17"/>
          <w:szCs w:val="17"/>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w:t>
      </w:r>
    </w:p>
    <w:p>
      <w:pPr>
        <w:spacing w:after="0" w:line="4" w:lineRule="exact"/>
        <w:rPr>
          <w:sz w:val="20"/>
          <w:szCs w:val="20"/>
          <w:color w:val="auto"/>
        </w:rPr>
      </w:pPr>
    </w:p>
    <w:p>
      <w:pPr>
        <w:jc w:val="both"/>
        <w:ind w:firstLine="4"/>
        <w:spacing w:after="0" w:line="255" w:lineRule="auto"/>
        <w:tabs>
          <w:tab w:leader="none" w:pos="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permitting you to tender previously acquired shares of Common Stock (valued at their then Fair Market Value) or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tendered or withheld shall not exceed the amount necessary to satisfy the Company’s required tax withholding obligations using the applicable statutory withholding rates, as determined by the Company, for federal, state, local and foreign tax purposes, including payroll taxes. .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8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Corporate Transactions and Other Events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932"/>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69" w:lineRule="exact"/>
        <w:rPr>
          <w:sz w:val="20"/>
          <w:szCs w:val="20"/>
          <w:color w:val="auto"/>
        </w:rPr>
      </w:pPr>
    </w:p>
    <w:p>
      <w:pPr>
        <w:jc w:val="both"/>
        <w:ind w:firstLine="932"/>
        <w:spacing w:after="0" w:line="26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Merger, Consolidation and Other Events</w:t>
      </w:r>
      <w:r>
        <w:rPr>
          <w:rFonts w:ascii="Times New Roman" w:cs="Times New Roman" w:eastAsia="Times New Roman" w:hAnsi="Times New Roman"/>
          <w:sz w:val="17"/>
          <w:szCs w:val="17"/>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7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Non-Guarantee of Employment or Service Relationship</w:t>
      </w:r>
      <w:r>
        <w:rPr>
          <w:rFonts w:ascii="Times New Roman" w:cs="Times New Roman" w:eastAsia="Times New Roman" w:hAnsi="Times New Roman"/>
          <w:sz w:val="17"/>
          <w:szCs w:val="17"/>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400685</wp:posOffset>
            </wp:positionV>
            <wp:extent cx="7138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5" w:name="page96"/>
    <w:bookmarkEnd w:id="95"/>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Rights as Stockholder</w:t>
      </w:r>
      <w:r>
        <w:rPr>
          <w:rFonts w:ascii="Times New Roman" w:cs="Times New Roman" w:eastAsia="Times New Roman" w:hAnsi="Times New Roman"/>
          <w:sz w:val="17"/>
          <w:szCs w:val="17"/>
          <w:color w:val="auto"/>
        </w:rPr>
        <w:t>. You shall not have any of the rights of a stockholder with respect to any shares of Common Stock that may be issued in settlement of the RSUs until such shares of Common Stock have been issued to you.</w:t>
      </w:r>
    </w:p>
    <w:p>
      <w:pPr>
        <w:spacing w:after="0" w:line="148"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Clawback upon Breach of Non-solicitation or Confidentiality Covenants and pursuant to Company Policy.</w:t>
      </w:r>
      <w:r>
        <w:rPr>
          <w:rFonts w:ascii="Times New Roman" w:cs="Times New Roman" w:eastAsia="Times New Roman" w:hAnsi="Times New Roman"/>
          <w:sz w:val="17"/>
          <w:szCs w:val="17"/>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RSUs will be forfeited; and</w:t>
      </w:r>
    </w:p>
    <w:p>
      <w:pPr>
        <w:jc w:val="both"/>
        <w:ind w:firstLine="4"/>
        <w:spacing w:after="0" w:line="259" w:lineRule="auto"/>
        <w:tabs>
          <w:tab w:leader="none" w:pos="25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shall, within ten (10) days of notice of the Administrator’s determination of such breach, repay all cash or shares of Common Stock paid in settlement of the RSUs within twelve (12) months preceding your termination from Service. As a condition to this Agreement, you also agree to be bound by the terms of the Company’s Policy for Recovery of Erroneously Awarded Incentive Compensation, as it may be amended from time to time. The forfeiture and clawback rights in this Section are in addition to, and not in substitution of, any rights of repurchase or other recoupment rights the Company may have.</w:t>
      </w:r>
    </w:p>
    <w:p>
      <w:pPr>
        <w:spacing w:after="0" w:line="174"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The Company’s Rights</w:t>
      </w:r>
      <w:r>
        <w:rPr>
          <w:rFonts w:ascii="Times New Roman" w:cs="Times New Roman" w:eastAsia="Times New Roman" w:hAnsi="Times New Roman"/>
          <w:sz w:val="17"/>
          <w:szCs w:val="17"/>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Restrictions on Issuance of Shares</w:t>
      </w:r>
      <w:r>
        <w:rPr>
          <w:rFonts w:ascii="Times New Roman" w:cs="Times New Roman" w:eastAsia="Times New Roman" w:hAnsi="Times New Roman"/>
          <w:sz w:val="17"/>
          <w:szCs w:val="17"/>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6" w:name="page97"/>
    <w:bookmarkEnd w:id="96"/>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6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xml:space="preserve">. This Agreement may be amended from time to time by the Administrator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280G Best After-Tax</w:t>
      </w:r>
      <w:r>
        <w:rPr>
          <w:rFonts w:ascii="Times New Roman" w:cs="Times New Roman" w:eastAsia="Times New Roman" w:hAnsi="Times New Roman"/>
          <w:sz w:val="17"/>
          <w:szCs w:val="17"/>
          <w:color w:val="auto"/>
        </w:rPr>
        <w:t>. In the event that the RSUs and/or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 Upon the occurrence of any event that might reasonably be anticipated to result in an “excess parachute payment” to the Participant as described above the Company shall appoint a nationally recognized tax firm to make the determination required by this Section (the “</w:t>
      </w:r>
      <w:r>
        <w:rPr>
          <w:rFonts w:ascii="Times New Roman" w:cs="Times New Roman" w:eastAsia="Times New Roman" w:hAnsi="Times New Roman"/>
          <w:sz w:val="17"/>
          <w:szCs w:val="17"/>
          <w:b w:val="1"/>
          <w:bCs w:val="1"/>
          <w:i w:val="1"/>
          <w:iCs w:val="1"/>
          <w:color w:val="auto"/>
        </w:rPr>
        <w:t>Tax Firm</w:t>
      </w:r>
      <w:r>
        <w:rPr>
          <w:rFonts w:ascii="Times New Roman" w:cs="Times New Roman" w:eastAsia="Times New Roman" w:hAnsi="Times New Roman"/>
          <w:sz w:val="17"/>
          <w:szCs w:val="17"/>
          <w:color w:val="auto"/>
        </w:rPr>
        <w:t>”). The Company and the Participant shall furnish to the Tax Firm such information and documents as the Tax Firm may reasonably request in order to make their required determination. The Company shall bear all fees and expenses the Tax Firm may charge in connection with their services contemplated by this Section.</w:t>
      </w:r>
    </w:p>
    <w:p>
      <w:pPr>
        <w:spacing w:after="0" w:line="177"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409A Savings Clause</w:t>
      </w:r>
      <w:r>
        <w:rPr>
          <w:rFonts w:ascii="Times New Roman" w:cs="Times New Roman" w:eastAsia="Times New Roman" w:hAnsi="Times New Roman"/>
          <w:sz w:val="17"/>
          <w:szCs w:val="17"/>
          <w:color w:val="auto"/>
        </w:rPr>
        <w:t>. This Agreement is intended to comply with, or otherwise be exempt from,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 compensation subject to Code Section 409A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or upon your earlier death. Each installment of shares that vests is intended to constitute a “separate payment” for purposes of Section 409A of the Code and Treasury Regulation Section 1.409A-2(b)(2).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406400</wp:posOffset>
            </wp:positionV>
            <wp:extent cx="71380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7" w:name="page98"/>
    <w:bookmarkEnd w:id="97"/>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No Obligation to Minimize Taxes</w:t>
      </w:r>
      <w:r>
        <w:rPr>
          <w:rFonts w:ascii="Times New Roman" w:cs="Times New Roman" w:eastAsia="Times New Roman" w:hAnsi="Times New Roman"/>
          <w:sz w:val="17"/>
          <w:szCs w:val="17"/>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6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No Funding</w:t>
      </w:r>
      <w:r>
        <w:rPr>
          <w:rFonts w:ascii="Times New Roman" w:cs="Times New Roman" w:eastAsia="Times New Roman" w:hAnsi="Times New Roman"/>
          <w:sz w:val="17"/>
          <w:szCs w:val="17"/>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48" w:lineRule="exact"/>
        <w:rPr>
          <w:sz w:val="20"/>
          <w:szCs w:val="20"/>
          <w:color w:val="auto"/>
        </w:rPr>
      </w:pPr>
    </w:p>
    <w:p>
      <w:pPr>
        <w:jc w:val="both"/>
        <w:ind w:firstLine="311"/>
        <w:spacing w:after="0" w:line="270"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Effect on Other Employee Benefit Plans</w:t>
      </w:r>
      <w:r>
        <w:rPr>
          <w:rFonts w:ascii="Times New Roman" w:cs="Times New Roman" w:eastAsia="Times New Roman" w:hAnsi="Times New Roman"/>
          <w:sz w:val="17"/>
          <w:szCs w:val="17"/>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7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75"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Resolution of Disputes</w:t>
      </w:r>
      <w:r>
        <w:rPr>
          <w:rFonts w:ascii="Times New Roman" w:cs="Times New Roman" w:eastAsia="Times New Roman" w:hAnsi="Times New Roman"/>
          <w:sz w:val="17"/>
          <w:szCs w:val="17"/>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in this Agreement are for reference purposes only and shall not affect the meaning or interpretation of this Agreement.</w:t>
      </w:r>
    </w:p>
    <w:p>
      <w:pPr>
        <w:spacing w:after="0" w:line="219"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Electronic Delivery of Documents</w:t>
      </w:r>
      <w:r>
        <w:rPr>
          <w:rFonts w:ascii="Times New Roman" w:cs="Times New Roman" w:eastAsia="Times New Roman" w:hAnsi="Times New Roman"/>
          <w:sz w:val="17"/>
          <w:szCs w:val="17"/>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-295275</wp:posOffset>
            </wp:positionV>
            <wp:extent cx="438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pacing w:after="0" w:line="363"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  No Future Entitlement</w:t>
      </w:r>
      <w:r>
        <w:rPr>
          <w:rFonts w:ascii="Times New Roman" w:cs="Times New Roman" w:eastAsia="Times New Roman" w:hAnsi="Times New Roman"/>
          <w:sz w:val="17"/>
          <w:szCs w:val="17"/>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  Personal Data</w:t>
      </w:r>
      <w:r>
        <w:rPr>
          <w:rFonts w:ascii="Times New Roman" w:cs="Times New Roman" w:eastAsia="Times New Roman" w:hAnsi="Times New Roman"/>
          <w:sz w:val="17"/>
          <w:szCs w:val="17"/>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138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GLOSSARY</w:t>
      </w:r>
    </w:p>
    <w:p>
      <w:pPr>
        <w:spacing w:after="0" w:line="217"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of Directors of Skyward Specialty Insurance Group, Inc. or such committee or committees appointed by the Board to administer the Plan.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document, as amended from time to time, together with the Plan which is incorporated herein by reference.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have the meaning set forth in the Plan.</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Treasury regulations and other guidance promulgated thereunder.</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US$0.01 par value per share, of Skyward Specialty Insurance Group, Inc.</w:t>
      </w:r>
    </w:p>
    <w:p>
      <w:pPr>
        <w:spacing w:after="0" w:line="219" w:lineRule="exact"/>
        <w:rPr>
          <w:sz w:val="20"/>
          <w:szCs w:val="20"/>
          <w:color w:val="auto"/>
        </w:rPr>
      </w:pPr>
    </w:p>
    <w:p>
      <w:pPr>
        <w:jc w:val="both"/>
        <w:ind w:firstLine="932"/>
        <w:spacing w:after="0" w:line="29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has the meaning set forth in the Plan.</w:t>
      </w:r>
    </w:p>
    <w:p>
      <w:pPr>
        <w:spacing w:after="0" w:line="219" w:lineRule="exact"/>
        <w:rPr>
          <w:sz w:val="20"/>
          <w:szCs w:val="20"/>
          <w:color w:val="auto"/>
        </w:rPr>
      </w:pPr>
    </w:p>
    <w:p>
      <w:pPr>
        <w:jc w:val="both"/>
        <w:ind w:firstLine="932"/>
        <w:spacing w:after="0" w:line="244"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without your written consent, (i) a material reduction in your base salary or annual cash incentive targets; (ii) a material diminution in your title, duties, or responsibilities;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(iii) any material breach of this Agreement by the Company; or (iv) any relocation of your principal place of employment that results in an increased commute of more than thirty-five (35)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268605</wp:posOffset>
            </wp:positionV>
            <wp:extent cx="17843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342" w:lineRule="exact"/>
        <w:rPr>
          <w:sz w:val="20"/>
          <w:szCs w:val="20"/>
          <w:color w:val="auto"/>
        </w:rPr>
      </w:pPr>
    </w:p>
    <w:p>
      <w:pPr>
        <w:ind w:left="120" w:hanging="116"/>
        <w:spacing w:after="0"/>
        <w:tabs>
          <w:tab w:leader="none" w:pos="1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i w:val="1"/>
          <w:iCs w:val="1"/>
          <w:color w:val="auto"/>
        </w:rPr>
        <w:t>Prong (ii) of the Good Reason trigger to be only included in form award agreement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71380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00" w:name="page101"/>
    <w:bookmarkEnd w:id="100"/>
    <w:p>
      <w:pPr>
        <w:ind w:left="94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effective date of a grant of RSUs made to you as set forth in the relevant Notice.</w:t>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the statement, letter or other written notification provided to you by the Company setting forth the terms of a grant of RSUs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 to you.</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the Skyward Specialty Insurance Group, Inc. 2022 Long-Term Incentive Plan, as amended from time to time.</w:t>
      </w:r>
    </w:p>
    <w:p>
      <w:pPr>
        <w:spacing w:after="0" w:line="219" w:lineRule="exact"/>
        <w:rPr>
          <w:sz w:val="20"/>
          <w:szCs w:val="20"/>
          <w:color w:val="auto"/>
        </w:rPr>
      </w:pPr>
    </w:p>
    <w:p>
      <w:pPr>
        <w:jc w:val="both"/>
        <w:ind w:firstLine="932"/>
        <w:spacing w:after="0" w:line="260"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b w:val="1"/>
          <w:bCs w:val="1"/>
          <w:i w:val="1"/>
          <w:iCs w:val="1"/>
          <w:color w:val="auto"/>
        </w:rPr>
        <w:t>Qualifying Retirement</w:t>
      </w:r>
      <w:r>
        <w:rPr>
          <w:rFonts w:ascii="Times New Roman" w:cs="Times New Roman" w:eastAsia="Times New Roman" w:hAnsi="Times New Roman"/>
          <w:sz w:val="17"/>
          <w:szCs w:val="17"/>
          <w:color w:val="auto"/>
        </w:rPr>
        <w:t>” means your “separation from service” as such term is defined under Section 409A of the Code and applicable regulations, where all the following requirements are met: (i) your termination occurs on a date that is at least one year following the Vesting Start Date,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 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xml:space="preserve"> means your termination without Cause or resignation for Good Reason which constitutes a “separation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7"/>
          <w:szCs w:val="17"/>
          <w:b w:val="1"/>
          <w:bCs w:val="1"/>
          <w:i w:val="1"/>
          <w:iCs w:val="1"/>
          <w:color w:val="auto"/>
        </w:rPr>
        <w:t>Release Effective Date</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the Company’s commitment to issue one share of Common Stock at a future date, subject to the terms of the Agreement and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96"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63" w:lineRule="exact"/>
        <w:rPr>
          <w:sz w:val="20"/>
          <w:szCs w:val="20"/>
          <w:color w:val="auto"/>
        </w:rPr>
      </w:pPr>
    </w:p>
    <w:p>
      <w:pPr>
        <w:jc w:val="both"/>
        <w:ind w:firstLine="932"/>
        <w:spacing w:after="0" w:line="268" w:lineRule="auto"/>
        <w:rPr>
          <w:sz w:val="20"/>
          <w:szCs w:val="20"/>
          <w:color w:val="auto"/>
        </w:rPr>
      </w:pPr>
      <w:r>
        <w:rPr>
          <w:rFonts w:ascii="Times New Roman" w:cs="Times New Roman" w:eastAsia="Times New Roman" w:hAnsi="Times New Roman"/>
          <w:sz w:val="17"/>
          <w:szCs w:val="17"/>
          <w:color w:val="auto"/>
        </w:rPr>
        <w:t>(r)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Your</w:t>
      </w:r>
      <w:r>
        <w:rPr>
          <w:rFonts w:ascii="Times New Roman" w:cs="Times New Roman" w:eastAsia="Times New Roman" w:hAnsi="Times New Roman"/>
          <w:sz w:val="17"/>
          <w:szCs w:val="17"/>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1" w:name="page102"/>
    <w:bookmarkEnd w:id="101"/>
    <w:p>
      <w:pPr>
        <w:spacing w:after="0" w:line="62" w:lineRule="exact"/>
        <w:rPr>
          <w:sz w:val="20"/>
          <w:szCs w:val="20"/>
          <w:color w:val="auto"/>
        </w:rPr>
      </w:pPr>
    </w:p>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Skyward Specialty Insurance Group,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810,224</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$ 45.96</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8"/>
              </w:rPr>
              <w:t>$ 37,237,895.04</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$ 5,142.55</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48,423</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$ 39.07</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$ 1,891,886.61</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$ 261.27</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$ 39,129,781.65</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$ 5,403.82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$ 5,403.82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960"/>
        <w:spacing w:after="0" w:line="236" w:lineRule="auto"/>
        <w:rPr>
          <w:sz w:val="20"/>
          <w:szCs w:val="20"/>
          <w:color w:val="auto"/>
        </w:rPr>
      </w:pPr>
      <w:r>
        <w:rPr>
          <w:rFonts w:ascii="Arial" w:cs="Arial" w:eastAsia="Arial" w:hAnsi="Arial"/>
          <w:sz w:val="21"/>
          <w:szCs w:val="21"/>
          <w:color w:val="auto"/>
        </w:rPr>
        <w:t>1a. Pursuant to Rule 416 under the Securities Act of 1933, as amended (the "Securities Act"), this Registration Statement shall also cover any additional shares of the Registrant's common stock that become issuable under the Registrant's 2022 Long-Term Incentive Plan (the "2022 Plan) and/or the Registrant's 2022 Employee Stock Purchase Plan (the "2022 ESPP")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98" w:lineRule="exact"/>
        <w:rPr>
          <w:sz w:val="20"/>
          <w:szCs w:val="20"/>
          <w:color w:val="auto"/>
        </w:rPr>
      </w:pPr>
    </w:p>
    <w:p>
      <w:pPr>
        <w:ind w:left="820" w:right="980"/>
        <w:spacing w:after="0" w:line="247" w:lineRule="auto"/>
        <w:rPr>
          <w:sz w:val="20"/>
          <w:szCs w:val="20"/>
          <w:color w:val="auto"/>
        </w:rPr>
      </w:pPr>
      <w:r>
        <w:rPr>
          <w:rFonts w:ascii="Arial" w:cs="Arial" w:eastAsia="Arial" w:hAnsi="Arial"/>
          <w:sz w:val="21"/>
          <w:szCs w:val="21"/>
          <w:color w:val="auto"/>
        </w:rPr>
        <w:t>1b. Reflects automatic annual increases on January 1, 2026, to the number of shares of the Registrant's common stock reserved for issuance under the 2022 Plan, which annual increase is provided for in the 2022 Plan.</w:t>
      </w:r>
    </w:p>
    <w:p>
      <w:pPr>
        <w:spacing w:after="0" w:line="187" w:lineRule="exact"/>
        <w:rPr>
          <w:sz w:val="20"/>
          <w:szCs w:val="20"/>
          <w:color w:val="auto"/>
        </w:rPr>
      </w:pPr>
    </w:p>
    <w:p>
      <w:pPr>
        <w:ind w:left="820" w:right="1360"/>
        <w:spacing w:after="0" w:line="265" w:lineRule="auto"/>
        <w:rPr>
          <w:sz w:val="20"/>
          <w:szCs w:val="20"/>
          <w:color w:val="auto"/>
        </w:rPr>
      </w:pPr>
      <w:r>
        <w:rPr>
          <w:rFonts w:ascii="Arial" w:cs="Arial" w:eastAsia="Arial" w:hAnsi="Arial"/>
          <w:sz w:val="20"/>
          <w:szCs w:val="20"/>
          <w:color w:val="auto"/>
        </w:rPr>
        <w:t>1c. Estimated solely for the purpose of calculating the registration fee pursuant to Rule 457 of the Securities Act, and based on $45.96, which represents the average of the high and low prices of the Registrant's common stock as reported on the Nasdaq Global Select market on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62865</wp:posOffset>
            </wp:positionV>
            <wp:extent cx="6398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See footnote 1a.</w:t>
      </w:r>
    </w:p>
    <w:p>
      <w:pPr>
        <w:spacing w:after="0" w:line="225" w:lineRule="exact"/>
        <w:rPr>
          <w:sz w:val="20"/>
          <w:szCs w:val="20"/>
          <w:color w:val="auto"/>
        </w:rPr>
      </w:pPr>
    </w:p>
    <w:p>
      <w:pPr>
        <w:jc w:val="both"/>
        <w:ind w:left="820" w:right="980"/>
        <w:spacing w:after="0" w:line="247" w:lineRule="auto"/>
        <w:rPr>
          <w:sz w:val="20"/>
          <w:szCs w:val="20"/>
          <w:color w:val="auto"/>
        </w:rPr>
      </w:pPr>
      <w:r>
        <w:rPr>
          <w:rFonts w:ascii="Arial" w:cs="Arial" w:eastAsia="Arial" w:hAnsi="Arial"/>
          <w:sz w:val="21"/>
          <w:szCs w:val="21"/>
          <w:color w:val="auto"/>
        </w:rPr>
        <w:t>2a. Reflects automatic annual increases on January 1, 2026, to the number of shares of the Registrant's common stock reserved for issuance under the 2022 ESPP, which annual increase is provided for in the 2022 ESPP.</w:t>
      </w:r>
    </w:p>
    <w:p>
      <w:pPr>
        <w:spacing w:after="0" w:line="187" w:lineRule="exact"/>
        <w:rPr>
          <w:sz w:val="20"/>
          <w:szCs w:val="20"/>
          <w:color w:val="auto"/>
        </w:rPr>
      </w:pPr>
    </w:p>
    <w:p>
      <w:pPr>
        <w:ind w:left="820" w:right="880"/>
        <w:spacing w:after="0" w:line="242" w:lineRule="auto"/>
        <w:rPr>
          <w:sz w:val="20"/>
          <w:szCs w:val="20"/>
          <w:color w:val="auto"/>
        </w:rPr>
      </w:pPr>
      <w:r>
        <w:rPr>
          <w:rFonts w:ascii="Arial" w:cs="Arial" w:eastAsia="Arial" w:hAnsi="Arial"/>
          <w:sz w:val="21"/>
          <w:szCs w:val="21"/>
          <w:color w:val="auto"/>
        </w:rPr>
        <w:t>2b. Estimated solely for the purpose of calculating the registration fee pursuant to Rule 457 of the Securities Act. Shares reserved for future issuance under the 2022 ESPP, are based on 85% of $45.96, which represents the average of the high and low prices of the Registrant's common stock as reported on the Nasdaq Global Select market on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76200</wp:posOffset>
            </wp:positionV>
            <wp:extent cx="6398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980" w:type="dxa"/>
            <w:vAlign w:val="bottom"/>
            <w:tcBorders>
              <w:bottom w:val="single" w:sz="8" w:color="auto"/>
            </w:tcBorders>
            <w:gridSpan w:val="14"/>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19"/>
                <w:szCs w:val="19"/>
                <w:color w:val="auto"/>
              </w:rPr>
            </w:pPr>
          </w:p>
        </w:tc>
        <w:tc>
          <w:tcPr>
            <w:tcW w:w="82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9"/>
                <w:szCs w:val="19"/>
                <w:color w:val="auto"/>
              </w:rPr>
            </w:pPr>
          </w:p>
        </w:tc>
        <w:tc>
          <w:tcPr>
            <w:tcW w:w="58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19"/>
                <w:szCs w:val="19"/>
                <w:color w:val="auto"/>
              </w:rPr>
            </w:pPr>
          </w:p>
        </w:tc>
        <w:tc>
          <w:tcPr>
            <w:tcW w:w="58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9"/>
                <w:szCs w:val="19"/>
                <w:color w:val="auto"/>
              </w:rPr>
            </w:pPr>
          </w:p>
        </w:tc>
        <w:tc>
          <w:tcPr>
            <w:tcW w:w="8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r>
      <w:tr>
        <w:trPr>
          <w:trHeight w:val="28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4"/>
                <w:szCs w:val="24"/>
                <w:color w:val="auto"/>
              </w:rPr>
            </w:pPr>
          </w:p>
        </w:tc>
      </w:tr>
      <w:tr>
        <w:trPr>
          <w:trHeight w:val="335"/>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9ADAF6"/>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bl>
    <w:p>
      <w:pPr>
        <w:sectPr>
          <w:pgSz w:w="11900" w:h="16900" w:orient="portrait"/>
          <w:cols w:equalWidth="0" w:num="1">
            <w:col w:w="11340"/>
          </w:cols>
          <w:pgMar w:left="320" w:top="141" w:right="239" w:bottom="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40" w:type="dxa"/>
            <w:vAlign w:val="bottom"/>
            <w:tcBorders>
              <w:left w:val="single" w:sz="8" w:color="auto"/>
            </w:tcBorders>
          </w:tcPr>
          <w:p>
            <w:pPr>
              <w:spacing w:after="0"/>
              <w:rPr>
                <w:sz w:val="21"/>
                <w:szCs w:val="21"/>
                <w:color w:val="auto"/>
              </w:rPr>
            </w:pPr>
          </w:p>
        </w:tc>
        <w:tc>
          <w:tcPr>
            <w:tcW w:w="8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jc w:val="center"/>
              <w:ind w:right="576"/>
              <w:spacing w:after="0"/>
              <w:rPr>
                <w:sz w:val="20"/>
                <w:szCs w:val="20"/>
                <w:color w:val="auto"/>
              </w:rPr>
            </w:pPr>
            <w:r>
              <w:rPr>
                <w:rFonts w:ascii="Arial" w:cs="Arial" w:eastAsia="Arial" w:hAnsi="Arial"/>
                <w:sz w:val="21"/>
                <w:szCs w:val="21"/>
                <w:b w:val="1"/>
                <w:bCs w:val="1"/>
                <w:color w:val="auto"/>
                <w:w w:val="98"/>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center"/>
              <w:ind w:left="356"/>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center"/>
              <w:ind w:left="356"/>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7"/>
    </w:lvl>
  </w:abstractNum>
  <w:abstractNum w:abstractNumId="5">
    <w:nsid w:val="257130A3"/>
    <w:multiLevelType w:val="hybridMultilevel"/>
    <w:lvl w:ilvl="0">
      <w:lvlJc w:val="left"/>
      <w:lvlText w:val="%1."/>
      <w:numFmt w:val="decimal"/>
      <w:start w:val="12"/>
    </w:lvl>
    <w:lvl w:ilvl="1">
      <w:lvlJc w:val="left"/>
      <w:lvlText w:val="(%2)"/>
      <w:numFmt w:val="lowerRoman"/>
      <w:start w:val="1"/>
    </w:lvl>
  </w:abstractNum>
  <w:abstractNum w:abstractNumId="6">
    <w:nsid w:val="62BBD95A"/>
    <w:multiLevelType w:val="hybridMultilevel"/>
    <w:lvl w:ilvl="0">
      <w:lvlJc w:val="left"/>
      <w:lvlText w:val="%1."/>
      <w:numFmt w:val="decimal"/>
      <w:start w:val="15"/>
    </w:lvl>
    <w:lvl w:ilvl="1">
      <w:lvlJc w:val="left"/>
      <w:lvlText w:val="(%2)"/>
      <w:numFmt w:val="lowerLetter"/>
      <w:start w:val="1"/>
    </w:lvl>
  </w:abstractNum>
  <w:abstractNum w:abstractNumId="7">
    <w:nsid w:val="436C6125"/>
    <w:multiLevelType w:val="hybridMultilevel"/>
    <w:lvl w:ilvl="0">
      <w:lvlJc w:val="left"/>
      <w:lvlText w:val="%1."/>
      <w:numFmt w:val="decimal"/>
      <w:start w:val="16"/>
    </w:lvl>
  </w:abstractNum>
  <w:abstractNum w:abstractNumId="8">
    <w:nsid w:val="628C895D"/>
    <w:multiLevelType w:val="hybridMultilevel"/>
    <w:lvl w:ilvl="0">
      <w:lvlJc w:val="left"/>
      <w:lvlText w:val="(%1)"/>
      <w:numFmt w:val="lowerRoman"/>
      <w:start w:val="3"/>
    </w:lvl>
  </w:abstractNum>
  <w:abstractNum w:abstractNumId="9">
    <w:nsid w:val="333AB105"/>
    <w:multiLevelType w:val="hybridMultilevel"/>
    <w:lvl w:ilvl="0">
      <w:lvlJc w:val="left"/>
      <w:lvlText w:val="(%1)"/>
      <w:numFmt w:val="lowerLetter"/>
      <w:start w:val="4"/>
    </w:lvl>
  </w:abstractNum>
  <w:abstractNum w:abstractNumId="10">
    <w:nsid w:val="721DA317"/>
    <w:multiLevelType w:val="hybridMultilevel"/>
    <w:lvl w:ilvl="0">
      <w:lvlJc w:val="left"/>
      <w:lvlText w:val="(%1)"/>
      <w:numFmt w:val="lowerRoman"/>
      <w:start w:val="3"/>
    </w:lvl>
  </w:abstractNum>
  <w:abstractNum w:abstractNumId="11">
    <w:nsid w:val="2443A858"/>
    <w:multiLevelType w:val="hybridMultilevel"/>
    <w:lvl w:ilvl="0">
      <w:lvlJc w:val="left"/>
      <w:lvlText w:val="(%1)"/>
      <w:numFmt w:val="lowerRoman"/>
      <w:start w:val="2"/>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1"/>
      <w:numFmt w:val="bullet"/>
      <w:start w:val="1"/>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decimal"/>
      <w:start w:val="10"/>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1)"/>
      <w:numFmt w:val="decimal"/>
      <w:start w:val="10"/>
    </w:lvl>
  </w:abstractNum>
  <w:abstractNum w:abstractNumId="21">
    <w:nsid w:val="71F32454"/>
    <w:multiLevelType w:val="hybridMultilevel"/>
    <w:lvl w:ilvl="0">
      <w:lvlJc w:val="left"/>
      <w:lvlText w:val="(%1)"/>
      <w:numFmt w:val="decimal"/>
      <w:start w:val="12"/>
    </w:lvl>
  </w:abstractNum>
  <w:abstractNum w:abstractNumId="22">
    <w:nsid w:val="2CA88611"/>
    <w:multiLevelType w:val="hybridMultilevel"/>
    <w:lvl w:ilvl="0">
      <w:lvlJc w:val="left"/>
      <w:lvlText w:val="(%1)"/>
      <w:numFmt w:val="decimal"/>
      <w:start w:val="6"/>
    </w:lvl>
  </w:abstractNum>
  <w:abstractNum w:abstractNumId="23">
    <w:nsid w:val="836C40E"/>
    <w:multiLevelType w:val="hybridMultilevel"/>
    <w:lvl w:ilvl="0">
      <w:lvlJc w:val="left"/>
      <w:lvlText w:val="(%1)"/>
      <w:numFmt w:val="upperLetter"/>
      <w:start w:val="2"/>
    </w:lvl>
  </w:abstractNum>
  <w:abstractNum w:abstractNumId="24">
    <w:nsid w:val="2901D82"/>
    <w:multiLevelType w:val="hybridMultilevel"/>
    <w:lvl w:ilvl="0">
      <w:lvlJc w:val="left"/>
      <w:lvlText w:val="(%1)"/>
      <w:numFmt w:val="lowerRoman"/>
      <w:start w:val="2"/>
    </w:lvl>
  </w:abstractNum>
  <w:abstractNum w:abstractNumId="25">
    <w:nsid w:val="3A95F874"/>
    <w:multiLevelType w:val="hybridMultilevel"/>
    <w:lvl w:ilvl="0">
      <w:lvlJc w:val="left"/>
      <w:lvlText w:val="1"/>
      <w:numFmt w:val="bullet"/>
      <w:start w:val="1"/>
    </w:lvl>
  </w:abstractNum>
  <w:abstractNum w:abstractNumId="26">
    <w:nsid w:val="8138641"/>
    <w:multiLevelType w:val="hybridMultilevel"/>
    <w:lvl w:ilvl="0">
      <w:lvlJc w:val="left"/>
      <w:lvlText w:val="(%1)"/>
      <w:numFmt w:val="decimal"/>
      <w:start w:val="6"/>
    </w:lvl>
  </w:abstractNum>
  <w:abstractNum w:abstractNumId="27">
    <w:nsid w:val="1E7FF521"/>
    <w:multiLevelType w:val="hybridMultilevel"/>
    <w:lvl w:ilvl="0">
      <w:lvlJc w:val="left"/>
      <w:lvlText w:val="(%1)"/>
      <w:numFmt w:val="upperLetter"/>
      <w:start w:val="2"/>
    </w:lvl>
  </w:abstractNum>
  <w:abstractNum w:abstractNumId="28">
    <w:nsid w:val="7C3DBD3D"/>
    <w:multiLevelType w:val="hybridMultilevel"/>
    <w:lvl w:ilvl="0">
      <w:lvlJc w:val="left"/>
      <w:lvlText w:val="(%1)"/>
      <w:numFmt w:val="lowerRoman"/>
      <w:start w:val="2"/>
    </w:lvl>
  </w:abstractNum>
  <w:abstractNum w:abstractNumId="29">
    <w:nsid w:val="737B8DDC"/>
    <w:multiLevelType w:val="hybridMultilevel"/>
    <w:lvl w:ilvl="0">
      <w:lvlJc w:val="left"/>
      <w:lvlText w:val="(%1)"/>
      <w:numFmt w:val="lowerRoman"/>
      <w:start w:val="2"/>
    </w:lvl>
  </w:abstractNum>
  <w:abstractNum w:abstractNumId="30">
    <w:nsid w:val="6CEAF087"/>
    <w:multiLevelType w:val="hybridMultilevel"/>
    <w:lvl w:ilvl="0">
      <w:lvlJc w:val="left"/>
      <w:lvlText w:val="(%1)"/>
      <w:numFmt w:val="lowerRoman"/>
      <w:start w:val="2"/>
    </w:lvl>
    <w:lvl w:ilvl="1">
      <w:lvlJc w:val="left"/>
      <w:lvlText w:val="%2."/>
      <w:numFmt w:val="decimal"/>
      <w:start w:val="8"/>
    </w:lvl>
  </w:abstractNum>
  <w:abstractNum w:abstractNumId="31">
    <w:nsid w:val="22221A70"/>
    <w:multiLevelType w:val="hybridMultilevel"/>
    <w:lvl w:ilvl="0">
      <w:lvlJc w:val="left"/>
      <w:lvlText w:val="(%1)"/>
      <w:numFmt w:val="lowerRoman"/>
      <w:start w:val="2"/>
    </w:lvl>
  </w:abstractNum>
  <w:abstractNum w:abstractNumId="32">
    <w:nsid w:val="4516DD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7" Type="http://schemas.openxmlformats.org/officeDocument/2006/relationships/image" Target="media/image6.png"/><Relationship Id="rId56" Type="http://schemas.openxmlformats.org/officeDocument/2006/relationships/image" Target="media/image7.png"/><Relationship Id="rId57" Type="http://schemas.openxmlformats.org/officeDocument/2006/relationships/image" Target="media/image8.png"/><Relationship Id="rId58" Type="http://schemas.openxmlformats.org/officeDocument/2006/relationships/image" Target="media/image9.jpeg"/><Relationship Id="rId59" Type="http://schemas.openxmlformats.org/officeDocument/2006/relationships/image" Target="media/image10.png"/><Relationship Id="rId60" Type="http://schemas.openxmlformats.org/officeDocument/2006/relationships/image" Target="media/image11.png"/><Relationship Id="rId61" Type="http://schemas.openxmlformats.org/officeDocument/2006/relationships/image" Target="media/image12.png"/><Relationship Id="rId62" Type="http://schemas.openxmlformats.org/officeDocument/2006/relationships/image" Target="media/image13.png"/><Relationship Id="rId63" Type="http://schemas.openxmlformats.org/officeDocument/2006/relationships/image" Target="media/image14.png"/><Relationship Id="rId64" Type="http://schemas.openxmlformats.org/officeDocument/2006/relationships/image" Target="media/image15.png"/><Relationship Id="rId65" Type="http://schemas.openxmlformats.org/officeDocument/2006/relationships/image" Target="media/image16.png"/><Relationship Id="rId66" Type="http://schemas.openxmlformats.org/officeDocument/2006/relationships/image" Target="media/image17.png"/><Relationship Id="rId67" Type="http://schemas.openxmlformats.org/officeDocument/2006/relationships/image" Target="media/image18.png"/><Relationship Id="rId68" Type="http://schemas.openxmlformats.org/officeDocument/2006/relationships/image" Target="media/image19.png"/><Relationship Id="rId69" Type="http://schemas.openxmlformats.org/officeDocument/2006/relationships/image" Target="media/image20.png"/><Relationship Id="rId70" Type="http://schemas.openxmlformats.org/officeDocument/2006/relationships/image" Target="media/image21.png"/><Relationship Id="rId71" Type="http://schemas.openxmlformats.org/officeDocument/2006/relationships/image" Target="media/image22.png"/><Relationship Id="rId72" Type="http://schemas.openxmlformats.org/officeDocument/2006/relationships/image" Target="media/image23.png"/><Relationship Id="rId73" Type="http://schemas.openxmlformats.org/officeDocument/2006/relationships/image" Target="media/image24.png"/><Relationship Id="rId74" Type="http://schemas.openxmlformats.org/officeDocument/2006/relationships/image" Target="media/image25.png"/><Relationship Id="rId75" Type="http://schemas.openxmlformats.org/officeDocument/2006/relationships/image" Target="media/image26.png"/><Relationship Id="rId76" Type="http://schemas.openxmlformats.org/officeDocument/2006/relationships/image" Target="media/image27.png"/><Relationship Id="rId77" Type="http://schemas.openxmlformats.org/officeDocument/2006/relationships/image" Target="media/image28.png"/><Relationship Id="rId78" Type="http://schemas.openxmlformats.org/officeDocument/2006/relationships/image" Target="media/image29.png"/><Relationship Id="rId79" Type="http://schemas.openxmlformats.org/officeDocument/2006/relationships/image" Target="media/image30.png"/><Relationship Id="rId80" Type="http://schemas.openxmlformats.org/officeDocument/2006/relationships/image" Target="media/image31.png"/><Relationship Id="rId81" Type="http://schemas.openxmlformats.org/officeDocument/2006/relationships/image" Target="media/image32.png"/><Relationship Id="rId82"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3" Type="http://schemas.openxmlformats.org/officeDocument/2006/relationships/hyperlink" Target="https://www.sec.gov/Archives/edgar/data/1519449/000110465923003482/tm233124d1_s8.htm" TargetMode="External"/><Relationship Id="rId14" Type="http://schemas.openxmlformats.org/officeDocument/2006/relationships/hyperlink" Target="https://www.sec.gov/Archives/edgar/data/1519449/000110465924044274/tm2411166d1_s8.htm" TargetMode="External"/><Relationship Id="rId15" Type="http://schemas.openxmlformats.org/officeDocument/2006/relationships/hyperlink" Target="https://www.sec.gov/ix?doc=/Archives/edgar/data/1519449/000151944926000015/skwd-20251231.htm" TargetMode="External"/><Relationship Id="rId16" Type="http://schemas.openxmlformats.org/officeDocument/2006/relationships/hyperlink" Target="https://www.sec.gov/ix?doc=/Archives/edgar/data/1519449/000151944925000023/skwd-20250331.htm" TargetMode="External"/><Relationship Id="rId17" Type="http://schemas.openxmlformats.org/officeDocument/2006/relationships/hyperlink" Target="https://www.sec.gov/ix?doc=/Archives/edgar/data/1519449/000151944925000040/skwd-20250630.htm" TargetMode="External"/><Relationship Id="rId18" Type="http://schemas.openxmlformats.org/officeDocument/2006/relationships/hyperlink" Target="https://www.sec.gov/ix?doc=/Archives/edgar/data/1519449/000151944925000061/skwd-20250930.htm" TargetMode="External"/><Relationship Id="rId19" Type="http://schemas.openxmlformats.org/officeDocument/2006/relationships/hyperlink" Target="https://www.sec.gov/ix?doc=/Archives/edgar/data/1519449/000151944925000005/skwd-20250225.htm" TargetMode="External"/><Relationship Id="rId20" Type="http://schemas.openxmlformats.org/officeDocument/2006/relationships/hyperlink" Target="https://www.sec.gov/ix?doc=/Archives/edgar/data/1519449/000151944925000026/skwd-20250513.htm" TargetMode="External"/><Relationship Id="rId21" Type="http://schemas.openxmlformats.org/officeDocument/2006/relationships/hyperlink" Target="https://www.sec.gov/ix?doc=/Archives/edgar/data/1519449/000151944925000050/skwd-20250908.htm" TargetMode="External"/><Relationship Id="rId22" Type="http://schemas.openxmlformats.org/officeDocument/2006/relationships/hyperlink" Target="https://www.sec.gov/ix?doc=/Archives/edgar/data/1519449/000151944925000063/skwd-20251112.htm" TargetMode="External"/><Relationship Id="rId23" Type="http://schemas.openxmlformats.org/officeDocument/2006/relationships/hyperlink" Target="https://www.sec.gov/ix?doc=/Archives/edgar/data/1519449/000151944925000066/skwd-20251118.htm" TargetMode="External"/><Relationship Id="rId24" Type="http://schemas.openxmlformats.org/officeDocument/2006/relationships/hyperlink" Target="https://www.sec.gov/ix?doc=/Archives/edgar/data/1519449/000151944926000002/skwd-20260106.htm" TargetMode="External"/><Relationship Id="rId25" Type="http://schemas.openxmlformats.org/officeDocument/2006/relationships/hyperlink" Target="https://www.sec.gov/ix?doc=/Archives/edgar/data/1519449/000151944926000009/skwd-20260226.htm" TargetMode="External"/><Relationship Id="rId26" Type="http://schemas.openxmlformats.org/officeDocument/2006/relationships/hyperlink" Target="https://www.sec.gov/Archives/edgar/data/1519449/000110465923003481/tm228594d21_8a12ba.htm" TargetMode="External"/><Relationship Id="rId28" Type="http://schemas.openxmlformats.org/officeDocument/2006/relationships/hyperlink" Target="https://www.sec.gov/Archives/edgar/data/1519449/000110465923004624/tm233575d1_ex3-1.htm" TargetMode="External"/><Relationship Id="rId29" Type="http://schemas.openxmlformats.org/officeDocument/2006/relationships/hyperlink" Target="https://www.sec.gov/Archives/edgar/data/1519449/000110465923004624/tm233575d1_ex3-2.htm" TargetMode="External"/><Relationship Id="rId30" Type="http://schemas.openxmlformats.org/officeDocument/2006/relationships/hyperlink" Target="https://www.sec.gov/Archives/edgar/data/1519449/000110465923003482/tm233124d1_ex99-4.htm" TargetMode="External"/><Relationship Id="rId31" Type="http://schemas.openxmlformats.org/officeDocument/2006/relationships/hyperlink" Target="https://www.sec.gov/Archives/edgar/data/1519449/000110465923003482/tm233124d1_ex99-5.htm" TargetMode="External"/><Relationship Id="rId32" Type="http://schemas.openxmlformats.org/officeDocument/2006/relationships/hyperlink" Target="https://www.sec.gov/Archives/edgar/data/1519449/000110465923003482/tm233124d1_ex99-6.htm" TargetMode="External"/><Relationship Id="rId33" Type="http://schemas.openxmlformats.org/officeDocument/2006/relationships/hyperlink" Target="https://www.sec.gov/Archives/edgar/data/1519449/000110465923003482/tm233124d1_ex99-7.htm" TargetMode="External"/><Relationship Id="rId34" Type="http://schemas.openxmlformats.org/officeDocument/2006/relationships/hyperlink" Target="https://www.sec.gov/Archives/edgar/data/1519449/000110465923003482/tm233124d1_ex99-8.htm" TargetMode="External"/><Relationship Id="rId35" Type="http://schemas.openxmlformats.org/officeDocument/2006/relationships/hyperlink" Target="https://www.sec.gov/Archives/edgar/data/1519449/000110465923003482/tm233124d1_ex99-9.htm" TargetMode="External"/><Relationship Id="rId36" Type="http://schemas.openxmlformats.org/officeDocument/2006/relationships/hyperlink" Target="https://www.sec.gov/Archives/edgar/data/1519449/000151944923000008/exhibit1010performancebase.htm" TargetMode="External"/><Relationship Id="rId37" Type="http://schemas.openxmlformats.org/officeDocument/2006/relationships/hyperlink" Target="https://www.sec.gov/Archives/edgar/data/0001519449/000151944923000008/exhibit1010performancebase.htm" TargetMode="External"/><Relationship Id="rId38" Type="http://schemas.openxmlformats.org/officeDocument/2006/relationships/hyperlink" Target="https://www.sec.gov/Archives/edgar/data/1519449/000151944923000008/exhibit1011performancebase.htm" TargetMode="External"/><Relationship Id="rId39" Type="http://schemas.openxmlformats.org/officeDocument/2006/relationships/hyperlink" Target="https://www.sec.gov/Archives/edgar/data/0001519449/000151944923000008/exhibit1011performancebase.htm" TargetMode="External"/><Relationship Id="rId40" Type="http://schemas.openxmlformats.org/officeDocument/2006/relationships/hyperlink" Target="https://www.sec.gov/Archives/edgar/data/1519449/000151944923000008/exhibit1012performanceunit.htm" TargetMode="External"/><Relationship Id="rId41" Type="http://schemas.openxmlformats.org/officeDocument/2006/relationships/hyperlink" Target="https://www.sec.gov/Archives/edgar/data/0001519449/000151944923000008/exhibit1012performanceunit.htm" TargetMode="External"/><Relationship Id="rId42" Type="http://schemas.openxmlformats.org/officeDocument/2006/relationships/hyperlink" Target="https://www.sec.gov/Archives/edgar/data/1519449/000151944924000012/exhibit10132024-2026perfor.htm" TargetMode="External"/><Relationship Id="rId43" Type="http://schemas.openxmlformats.org/officeDocument/2006/relationships/hyperlink" Target="https://www.sec.gov/Archives/edgar/data/1519449/000151944924000012/exhibit10142024-2026perfor.htm" TargetMode="External"/><Relationship Id="rId44" Type="http://schemas.openxmlformats.org/officeDocument/2006/relationships/hyperlink" Target="https://www.sec.gov/Archives/edgar/data/1519449/000151944924000012/exhibit10152024-2026perfor.htm" TargetMode="External"/><Relationship Id="rId45" Type="http://schemas.openxmlformats.org/officeDocument/2006/relationships/hyperlink" Target="https://www.sec.gov/Archives/edgar/data/1519449/000151944924000012/exhibit10162024-2026perfor.htm" TargetMode="External"/><Relationship Id="rId46" Type="http://schemas.openxmlformats.org/officeDocument/2006/relationships/hyperlink" Target="https://www.sec.gov/Archives/edgar/data/1519449/000151944924000012/exhibit10172024-2026restri.htm" TargetMode="External"/><Relationship Id="rId47" Type="http://schemas.openxmlformats.org/officeDocument/2006/relationships/hyperlink" Target="https://www.sec.gov/Archives/edgar/data/1519449/000151944924000012/exhibit10182024-2026restri.htm" TargetMode="External"/><Relationship Id="rId48" Type="http://schemas.openxmlformats.org/officeDocument/2006/relationships/hyperlink" Target="https://www.sec.gov/Archives/edgar/data/1519449/000151944925000011/ex1022directordeferredrsus.htm" TargetMode="External"/><Relationship Id="rId49" Type="http://schemas.openxmlformats.org/officeDocument/2006/relationships/hyperlink" Target="https://www.sec.gov/Archives/edgar/data/1519449/000110465925020958/tm257832d1_ex99-21.htm" TargetMode="External"/><Relationship Id="rId50" Type="http://schemas.openxmlformats.org/officeDocument/2006/relationships/hyperlink" Target="https://www.sec.gov/Archives/edgar/data/1519449/000110465925020958/tm257832d1_ex99-22.htm" TargetMode="External"/><Relationship Id="rId51" Type="http://schemas.openxmlformats.org/officeDocument/2006/relationships/hyperlink" Target="https://www.sec.gov/Archives/edgar/data/1519449/000110465925020958/tm257832d1_ex99-23.htm" TargetMode="External"/><Relationship Id="rId52" Type="http://schemas.openxmlformats.org/officeDocument/2006/relationships/hyperlink" Target="https://www.sec.gov/Archives/edgar/data/1519449/000110465925020958/tm257832d1_ex99-24.htm" TargetMode="External"/><Relationship Id="rId53" Type="http://schemas.openxmlformats.org/officeDocument/2006/relationships/hyperlink" Target="https://www.sec.gov/Archives/edgar/data/1519449/000110465925020958/tm257832d1_ex99-25.htm" TargetMode="External"/><Relationship Id="rId54" Type="http://schemas.openxmlformats.org/officeDocument/2006/relationships/hyperlink" Target="https://www.sec.gov/Archives/edgar/data/1519449/000110465925020958/tm257832d1_ex99-26.htm" TargetMode="External"/><Relationship Id="rId55" Type="http://schemas.openxmlformats.org/officeDocument/2006/relationships/hyperlink" Target="https://www.sec.gov/Archives/edgar/data/1519449/000110465925020958/tm257832d1_ex99-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2026-03-04T05:09:29Z</dcterms:created>
  <dcterms:modified xsi:type="dcterms:W3CDTF">2026-03-04T05:09:29Z</dcterms:modified>
</cp:coreProperties>
</file>