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0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line="222"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ind w:left="3740"/>
        <w:spacing w:after="0" w:line="209" w:lineRule="auto"/>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7" w:lineRule="exact"/>
        <w:rPr>
          <w:sz w:val="24"/>
          <w:szCs w:val="24"/>
          <w:color w:val="auto"/>
        </w:rPr>
      </w:pPr>
    </w:p>
    <w:p>
      <w:pPr>
        <w:ind w:left="500" w:right="1980" w:hanging="474"/>
        <w:spacing w:after="0" w:line="309" w:lineRule="auto"/>
        <w:tabs>
          <w:tab w:leader="none" w:pos="491"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520" w:right="1580" w:hanging="494"/>
        <w:spacing w:after="0" w:line="181" w:lineRule="auto"/>
        <w:tabs>
          <w:tab w:leader="none" w:pos="520" w:val="left"/>
        </w:tabs>
        <w:numPr>
          <w:ilvl w:val="0"/>
          <w:numId w:val="2"/>
        </w:numPr>
        <w:rPr>
          <w:rFonts w:ascii="Arial" w:cs="Arial" w:eastAsia="Arial" w:hAnsi="Arial"/>
          <w:sz w:val="36"/>
          <w:szCs w:val="36"/>
          <w:color w:val="auto"/>
          <w:vertAlign w:val="superscript"/>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 to _________</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001-41591</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SKYWARD SPECIALTY INSURANCE GROUP, INC.</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38735</wp:posOffset>
            </wp:positionV>
            <wp:extent cx="1722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ectPr>
          <w:pgSz w:w="11900" w:h="16838" w:orient="portrait"/>
          <w:cols w:equalWidth="0" w:num="1">
            <w:col w:w="11260"/>
          </w:cols>
          <w:pgMar w:left="320" w:top="1413" w:right="319" w:bottom="0" w:gutter="0" w:footer="0" w:header="0"/>
        </w:sectPr>
      </w:pPr>
    </w:p>
    <w:p>
      <w:pPr>
        <w:spacing w:after="0" w:line="228"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800 Gessner Road, Suite 600</w:t>
      </w: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5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jc w:val="center"/>
        <w:ind w:left="3780"/>
        <w:spacing w:after="0"/>
        <w:rPr>
          <w:sz w:val="20"/>
          <w:szCs w:val="20"/>
          <w:color w:val="auto"/>
        </w:rPr>
      </w:pPr>
      <w:r>
        <w:rPr>
          <w:rFonts w:ascii="Times New Roman" w:cs="Times New Roman" w:eastAsia="Times New Roman" w:hAnsi="Times New Roman"/>
          <w:sz w:val="18"/>
          <w:szCs w:val="18"/>
          <w:b w:val="1"/>
          <w:bCs w:val="1"/>
          <w:color w:val="auto"/>
        </w:rPr>
        <w:t>(713) 935-4800</w:t>
      </w:r>
    </w:p>
    <w:p>
      <w:pPr>
        <w:spacing w:after="0" w:line="20" w:lineRule="exact"/>
        <w:rPr>
          <w:sz w:val="24"/>
          <w:szCs w:val="24"/>
          <w:color w:val="auto"/>
        </w:rPr>
      </w:pPr>
    </w:p>
    <w:p>
      <w:pPr>
        <w:jc w:val="center"/>
        <w:ind w:left="37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63500</wp:posOffset>
            </wp:positionV>
            <wp:extent cx="1722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14-1957288</w:t>
      </w:r>
    </w:p>
    <w:p>
      <w:pPr>
        <w:spacing w:after="0" w:line="9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37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77024-4284</w:t>
      </w:r>
    </w:p>
    <w:p>
      <w:pPr>
        <w:spacing w:after="0" w:line="6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(Zip Code)</w:t>
      </w:r>
    </w:p>
    <w:p>
      <w:pPr>
        <w:spacing w:after="0" w:line="1033" w:lineRule="exact"/>
        <w:rPr>
          <w:sz w:val="24"/>
          <w:szCs w:val="24"/>
          <w:color w:val="auto"/>
        </w:rPr>
      </w:pPr>
    </w:p>
    <w:p>
      <w:pPr>
        <w:sectPr>
          <w:pgSz w:w="11900" w:h="16838" w:orient="portrait"/>
          <w:cols w:equalWidth="0" w:num="2">
            <w:col w:w="7460" w:space="280"/>
            <w:col w:w="3520"/>
          </w:cols>
          <w:pgMar w:left="320" w:top="1413" w:right="319" w:bottom="0" w:gutter="0" w:footer="0" w:header="0"/>
          <w:type w:val="continuous"/>
        </w:sectPr>
      </w:pPr>
    </w:p>
    <w:tbl>
      <w:tblPr>
        <w:tblLayout w:type="fixed"/>
        <w:tblInd w:w="10" w:type="dxa"/>
        <w:tblCellMar>
          <w:top w:w="0" w:type="dxa"/>
          <w:left w:w="0" w:type="dxa"/>
          <w:bottom w:w="0" w:type="dxa"/>
          <w:right w:w="0" w:type="dxa"/>
        </w:tblCellMar>
      </w:tblPr>
      <w:tr>
        <w:trPr>
          <w:trHeight w:val="243"/>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SKWD</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3" w:lineRule="exact"/>
        <w:rPr>
          <w:sz w:val="24"/>
          <w:szCs w:val="24"/>
          <w:color w:val="auto"/>
        </w:rPr>
      </w:pPr>
    </w:p>
    <w:p>
      <w:pPr>
        <w:ind w:right="16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jc w:val="both"/>
        <w:ind w:right="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42" w:lineRule="exact"/>
        <w:tabs>
          <w:tab w:leader="none" w:pos="320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29"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37" w:lineRule="exact"/>
        <w:rPr>
          <w:sz w:val="24"/>
          <w:szCs w:val="24"/>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35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220" w:type="dxa"/>
            <w:vAlign w:val="bottom"/>
          </w:tcPr>
          <w:p>
            <w:pPr>
              <w:ind w:left="9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2040" w:type="dxa"/>
            <w:vAlign w:val="bottom"/>
          </w:tcPr>
          <w:p>
            <w:pPr>
              <w:ind w:left="1880"/>
              <w:spacing w:after="0"/>
              <w:rPr>
                <w:sz w:val="20"/>
                <w:szCs w:val="20"/>
                <w:color w:val="auto"/>
              </w:rPr>
            </w:pPr>
            <w:r>
              <w:rPr>
                <w:rFonts w:ascii="Wingdings" w:cs="Wingdings" w:eastAsia="Wingdings" w:hAnsi="Wingdings"/>
                <w:sz w:val="18"/>
                <w:szCs w:val="18"/>
                <w:b w:val="1"/>
                <w:bCs w:val="1"/>
                <w:color w:val="auto"/>
                <w:w w:val="86"/>
              </w:rPr>
              <w:t>o</w:t>
            </w:r>
          </w:p>
        </w:tc>
      </w:tr>
      <w:tr>
        <w:trPr>
          <w:trHeight w:val="33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220" w:type="dxa"/>
            <w:vAlign w:val="bottom"/>
          </w:tcPr>
          <w:p>
            <w:pPr>
              <w:ind w:left="900"/>
              <w:spacing w:after="0"/>
              <w:rPr>
                <w:sz w:val="20"/>
                <w:szCs w:val="20"/>
                <w:color w:val="auto"/>
              </w:rPr>
            </w:pPr>
            <w:r>
              <w:rPr>
                <w:rFonts w:ascii="Wingdings" w:cs="Wingdings" w:eastAsia="Wingdings" w:hAnsi="Wingdings"/>
                <w:sz w:val="18"/>
                <w:szCs w:val="18"/>
                <w:b w:val="1"/>
                <w:bCs w:val="1"/>
                <w:color w:val="auto"/>
              </w:rPr>
              <w:t>o</w:t>
            </w: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40" w:type="dxa"/>
            <w:vAlign w:val="bottom"/>
          </w:tcPr>
          <w:p>
            <w:pPr>
              <w:ind w:left="1880"/>
              <w:spacing w:after="0"/>
              <w:rPr>
                <w:sz w:val="20"/>
                <w:szCs w:val="20"/>
                <w:color w:val="auto"/>
              </w:rPr>
            </w:pPr>
            <w:r>
              <w:rPr>
                <w:rFonts w:ascii="Wingdings" w:cs="Wingdings" w:eastAsia="Wingdings" w:hAnsi="Wingdings"/>
                <w:sz w:val="18"/>
                <w:szCs w:val="18"/>
                <w:b w:val="1"/>
                <w:bCs w:val="1"/>
                <w:color w:val="auto"/>
                <w:w w:val="86"/>
              </w:rPr>
              <w:t>o</w:t>
            </w:r>
          </w:p>
        </w:tc>
      </w:tr>
      <w:tr>
        <w:trPr>
          <w:trHeight w:val="310"/>
        </w:trPr>
        <w:tc>
          <w:tcPr>
            <w:tcW w:w="2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40" w:type="dxa"/>
            <w:vAlign w:val="bottom"/>
          </w:tcPr>
          <w:p>
            <w:pPr>
              <w:ind w:left="188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75" w:lineRule="exact"/>
        <w:rPr>
          <w:sz w:val="24"/>
          <w:szCs w:val="24"/>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42"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Arial Unicode MS" w:cs="Arial Unicode MS" w:eastAsia="Arial Unicode MS" w:hAnsi="Arial Unicode MS"/>
          <w:sz w:val="18"/>
          <w:szCs w:val="18"/>
          <w:color w:val="auto"/>
        </w:rPr>
        <w:t>☒</w:t>
      </w:r>
    </w:p>
    <w:p>
      <w:pPr>
        <w:spacing w:after="0" w:line="164"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99" w:lineRule="exact"/>
        <w:rPr>
          <w:sz w:val="24"/>
          <w:szCs w:val="24"/>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Wingdings" w:cs="Wingdings" w:eastAsia="Wingdings" w:hAnsi="Wingdings"/>
          <w:sz w:val="18"/>
          <w:szCs w:val="18"/>
          <w:b w:val="1"/>
          <w:bCs w:val="1"/>
          <w:color w:val="auto"/>
        </w:rPr>
        <w:t>o</w:t>
      </w:r>
    </w:p>
    <w:p>
      <w:pPr>
        <w:spacing w:after="0" w:line="1" w:lineRule="exact"/>
        <w:rPr>
          <w:sz w:val="24"/>
          <w:szCs w:val="24"/>
          <w:color w:val="auto"/>
        </w:rPr>
      </w:pPr>
    </w:p>
    <w:p>
      <w:pPr>
        <w:spacing w:after="0" w:line="242" w:lineRule="exact"/>
        <w:tabs>
          <w:tab w:leader="none" w:pos="7620" w:val="left"/>
          <w:tab w:leader="none" w:pos="82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Aggregate market value of shares of the registrant’s common stock held by non-affiliates as of June 30, 2024 was approximately $1,333,367,336.</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stock outstanding at February 26, 2025 was 40,127,908 .</w:t>
      </w:r>
    </w:p>
    <w:p>
      <w:pPr>
        <w:sectPr>
          <w:pgSz w:w="11900" w:h="16838" w:orient="portrait"/>
          <w:cols w:equalWidth="0" w:num="1">
            <w:col w:w="11260"/>
          </w:cols>
          <w:pgMar w:left="320" w:top="1413" w:right="31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7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Portions of the Registrant’s Proxy Statement relating to the 2025 annual meeting of stockholders (the “2025 Proxy Statement”), which will be filed within 120 days of December 31, 2024,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745490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10-K</w:t>
            </w: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and Description</w:t>
            </w:r>
          </w:p>
        </w:tc>
        <w:tc>
          <w:tcPr>
            <w:tcW w:w="1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 Business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1A. Risk Factors</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14</w:t>
            </w: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30</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1C. Cybersecurity</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30</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2. Properties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31</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3. Legal Proceedings</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31</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32</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33</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6. [Reserved]</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34</w:t>
            </w: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34</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48</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49</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Disclosures</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98</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98</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99</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99</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99</w:t>
            </w:r>
          </w:p>
        </w:tc>
        <w:tc>
          <w:tcPr>
            <w:tcW w:w="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99</w:t>
            </w: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12. Security Ownership of Certain Beneficial Owner and Management and Related Stockholder Matters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99</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99</w:t>
            </w:r>
          </w:p>
        </w:tc>
        <w:tc>
          <w:tcPr>
            <w:tcW w:w="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14. Principal Accounting Fees and Services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99</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IV</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15. Exhibits, Financial Statement Schedules</w:t>
            </w:r>
          </w:p>
        </w:tc>
        <w:tc>
          <w:tcPr>
            <w:tcW w:w="6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100</w:t>
            </w:r>
          </w:p>
        </w:tc>
        <w:tc>
          <w:tcPr>
            <w:tcW w:w="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111</w:t>
            </w:r>
          </w:p>
        </w:tc>
        <w:tc>
          <w:tcPr>
            <w:tcW w:w="360" w:type="dxa"/>
            <w:vAlign w:val="bottom"/>
            <w:shd w:val="clear" w:color="auto" w:fill="CCEEFF"/>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this Annual Report on Form 10-K for the fiscal year ended December 31, 2024 (this “Form 10-K”), “we,” “our,” “us,” “Skyward Specialty,” or “SKWD” refer to Skyward Specialty Insurance Group, Inc. and its subsidiaries. We file annual, quarterly, and current reports, proxy statements and other information with the United States Securities and Exchange Commission (the “SEC”). General information about us can be found at https://investors.skywardinsurance.com/. Our Form 10-K, Quarterly Reports on Form 10-Q and Current Reports on Form 8-K, as well as any amendments to those reports, are available free of charge through our website at https://investors.skywardinsurance.com/ as soon as reasonably practicable after we file them with, or furnish them to, the SEC. The SEC also maintains a website at www.sec.gov that contains reports, proxy statements, and other information regarding SEC registrants, including Skyward Specialty.</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use our investor relations website, https://investors.skywardinsurance.com/,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channels. Information contained on or accessible through, including any reports available on, our website or social media channels is not a part of, and is not incorporated by reference into, this Form 10-K or any other report or document we file with the SEC. Any reference to our website in this Form 10-K is intended to be an inactive textual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Form 10-K, or incorporated herein by reference, including, without limitation, statements regarding Skyward Specialty’s future financial position, business strategy, budgets, projected costs, goals and plans and objectives of management for future operations, are forward-looking statements within the meaning of the Private Securities Litigation Reform Act of 1995. Forward-looking statements generally can be identified by the use of forward-looking terminology such as “may,” “will,” “expect,” “intend,” “estimate,” “anticipate,” “project,” “believe” or “continue” or the negative thereof or variations thereon or similar terminology. Forward-looking statements speak only as the date the statements were made. Although Skyward Specialty believes that the expectations reflected in forward-looking statements have a reasonable basis, it can give no assurance that these expectations will prove to be correct. Forward-looking statements are subject to risks and uncertainties that could cause actual events or results to differ materially from those expressed in or implied by the statements. For a discussion of the most significant risks and uncertainties that could cause Skyward Specialty’s actual results to differ materially from those projected, see “Risk Factors” in Item 1A of this Form 10-K. Except to the limited extent required by applicable law, Skyward Specialty undertakes no obligation to update or revise any forward-looking statements, whether as a result of new information, future events or otherwise.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Insurance and Financial Terms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 new business submissions, binding of new business submissions into policies, renewals of existing policies, and average size and premium rate of bound policies.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large losses. Ceded written premiums are earned over the reinsurance contract period in proportion to the period of risk covered. The volume of our ceded written premiums is impacted by the level of our gross written premiums and any decision we make to increase or decrease retention levels, policy limits and co-participation.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written premiums are gross written premiums less ceded written premiums.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earned premiums represent the earned portion of our net written premiums. Our insurance policies generally have a term of one year and premiums are earned pro rata over the term of the policy.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Commission and fee income consists of commissions and fees earned on policies placed with third party insurance companies. In certain instances, the fee income relates to placement of business which is part of our packaged solutions. We recognize commission and fee income on the effective date of the policies.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investments gains (losses) represent the increase or decrease in the fair value of equity securities and loans still held as investments during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investment gains (losses)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realized investment gains (losses) are a function of the difference between the amount received by us on the sale of a security and the security’s cost basis, mark-to-market adjustments, as well as any credit impairments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LAE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Losses and loss adjustment expenses (“LAE”) represent the costs incurred for insured losses, such as losses under a policy, whether paid or unpaid, as well as expenses of settling claims, including settlements, attorneys’ fees, investigation, appraisal, adjustment, defense costs, and the portion of general expenses allocated to claim resolution. Losses and LAE include a provision for claims that have occurred but have not yet been reported to the insurer. These expenses are a function of the amount and type of insurance contracts we write, and the loss experience associated with the underlying coverage. In general, our losses and LAE are affected by:</w:t>
      </w:r>
    </w:p>
    <w:p>
      <w:pPr>
        <w:spacing w:after="0" w:line="7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claims associated with the particular types of insurance contracts that we write;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the cost of claims including inflation related to wages, medical costs, building materials and automobile repairs.</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Losses and LAE are based on actual paid losses and expenses, as well as an actuarial analysis of the estimated losses, including losses incurred during the period and changes in estimates from prior periods. Losses and LAE may be paid out over a period of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define catastrophe losses as any single loss, or group of losses, related to a single Property Claim Services (“PCS” a Verisk company) designated catastrophe event. PCS has defined catastrophes in the United States, Puerto Rico, and the U.S. Virgin Islands as events that cause $25.0 million or more in direct insured losses to property and affect a significant number of policyholders and insurers.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acquisition and insurance expenses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Underwriting, acquisition and insurance expenses include policy acquisition costs and other underwriting and insurance expenses. Policy acquisition costs consist of commissions we pay retail agents and brokers, program administrators, captive managers and third-party administrators, net of ceding commissions we receive from reinsurers on business ceded under certain of our reinsurance contracts. In addition, acquisition expenses include premium-related taxes and other fees. Our policy acquisition costs vary with, and are directly related to, the successful production of new or renewal business. Acquisition expenses related to each policy we write are deferred and amortized to expense in proportion to the premium earned over the term of the policy. Other underwriting and insurance expenses represent the general and administrative expenses of our insurance operations including employee compensation and benefits, and corporate functions such as technology costs, office rent, depreciation and professional service fees including legal, accounting, and actuarial.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Impairment charges represent reductions in the carrying value of goodwill and intangible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discuss certain key metrics, described below, which provide useful information about our business and the operational factors underlying our financial performance. These metrics are generally standard among insurance companies and help to provide comparability with our peers.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retention</w:t>
      </w:r>
      <w:r>
        <w:rPr>
          <w:rFonts w:ascii="Times New Roman" w:cs="Times New Roman" w:eastAsia="Times New Roman" w:hAnsi="Times New Roman"/>
          <w:sz w:val="18"/>
          <w:szCs w:val="18"/>
          <w:color w:val="auto"/>
        </w:rPr>
        <w:t>, expressed as a percentage, is the ratio of net written premiums to gross written premiums.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income (loss) </w:t>
      </w:r>
      <w:r>
        <w:rPr>
          <w:rFonts w:ascii="Times New Roman" w:cs="Times New Roman" w:eastAsia="Times New Roman" w:hAnsi="Times New Roman"/>
          <w:sz w:val="18"/>
          <w:szCs w:val="18"/>
          <w:color w:val="auto"/>
        </w:rPr>
        <w:t>is a non-GAAP financial measure defined as income (loss) before income taxes excluding net investment income,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realized and unrealized gains and losses on investments, impairment charges, interest expense, amortization expense and other income and expenses.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and LAE ratio</w:t>
      </w:r>
      <w:r>
        <w:rPr>
          <w:rFonts w:ascii="Times New Roman" w:cs="Times New Roman" w:eastAsia="Times New Roman" w:hAnsi="Times New Roman"/>
          <w:sz w:val="18"/>
          <w:szCs w:val="18"/>
          <w:color w:val="auto"/>
        </w:rPr>
        <w:t>, expressed as a percentage, is the ratio of losses and LAE to net earned premiums.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Expense ratio</w:t>
      </w:r>
      <w:r>
        <w:rPr>
          <w:rFonts w:ascii="Times New Roman" w:cs="Times New Roman" w:eastAsia="Times New Roman" w:hAnsi="Times New Roman"/>
          <w:sz w:val="18"/>
          <w:szCs w:val="18"/>
          <w:color w:val="auto"/>
        </w:rPr>
        <w:t>, expressed as a percentage, is the ratio of underwriting, acquisition and insurance expenses less commission and fee income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Combined ratio </w:t>
      </w:r>
      <w:r>
        <w:rPr>
          <w:rFonts w:ascii="Times New Roman" w:cs="Times New Roman" w:eastAsia="Times New Roman" w:hAnsi="Times New Roman"/>
          <w:sz w:val="18"/>
          <w:szCs w:val="18"/>
          <w:color w:val="auto"/>
        </w:rPr>
        <w:t>is the sum of loss ratio and expense ratio. A combined ratio under 100% indicates an underwriting profit. A combined ratio over 100%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indicates an underwriting loss.</w:t>
      </w:r>
    </w:p>
    <w:p>
      <w:pPr>
        <w:spacing w:after="0" w:line="4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loss and LAE ratio</w:t>
      </w:r>
      <w:r>
        <w:rPr>
          <w:rFonts w:ascii="Times New Roman" w:cs="Times New Roman" w:eastAsia="Times New Roman" w:hAnsi="Times New Roman"/>
          <w:sz w:val="18"/>
          <w:szCs w:val="18"/>
          <w:color w:val="auto"/>
        </w:rPr>
        <w:t>, expressed as a percentage, is a non-GAAP financial measure defined as the ratio of losses and LAE, excluding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LAE related to the loss portfolio transfer (“LPT”) and all development on reserves covered by the LPT through December 31, 2024, to net earned premiums. The LPT was commuted effective January 31, 2025.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combined ratio </w:t>
      </w:r>
      <w:r>
        <w:rPr>
          <w:rFonts w:ascii="Times New Roman" w:cs="Times New Roman" w:eastAsia="Times New Roman" w:hAnsi="Times New Roman"/>
          <w:sz w:val="18"/>
          <w:szCs w:val="18"/>
          <w:color w:val="auto"/>
        </w:rPr>
        <w:t>is a non-GAAP financial measure defined as the sum of the adjusted loss ratio and the expense ratio.</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(loss) </w:t>
      </w:r>
      <w:r>
        <w:rPr>
          <w:rFonts w:ascii="Times New Roman" w:cs="Times New Roman" w:eastAsia="Times New Roman" w:hAnsi="Times New Roman"/>
          <w:sz w:val="18"/>
          <w:szCs w:val="18"/>
          <w:color w:val="auto"/>
        </w:rPr>
        <w:t>is a non-GAAP financial measure defined as net income excluding the net impact of the LPT, net realized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unrealized gains or losses on investments, goodwill impairment charges and other income and expenses.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Return on equity </w:t>
      </w:r>
      <w:r>
        <w:rPr>
          <w:rFonts w:ascii="Times New Roman" w:cs="Times New Roman" w:eastAsia="Times New Roman" w:hAnsi="Times New Roman"/>
          <w:sz w:val="18"/>
          <w:szCs w:val="18"/>
          <w:color w:val="auto"/>
        </w:rPr>
        <w:t>is net income as a percentage of average beginning and ending stockholders’ equity.</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return on equity </w:t>
      </w:r>
      <w:r>
        <w:rPr>
          <w:rFonts w:ascii="Times New Roman" w:cs="Times New Roman" w:eastAsia="Times New Roman" w:hAnsi="Times New Roman"/>
          <w:sz w:val="18"/>
          <w:szCs w:val="18"/>
          <w:color w:val="auto"/>
        </w:rPr>
        <w:t>is a non-GAAP financial measure defined as adjusted operating income as a percentage of average beginning and 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Tangible stockholders’ equity </w:t>
      </w:r>
      <w:r>
        <w:rPr>
          <w:rFonts w:ascii="Times New Roman" w:cs="Times New Roman" w:eastAsia="Times New Roman" w:hAnsi="Times New Roman"/>
          <w:sz w:val="18"/>
          <w:szCs w:val="18"/>
          <w:color w:val="auto"/>
        </w:rPr>
        <w:t>is a non-GAAP financial measure defined as stockholders’ equity less goodwill and intangible assets.</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Return on tangible equity </w:t>
      </w:r>
      <w:r>
        <w:rPr>
          <w:rFonts w:ascii="Times New Roman" w:cs="Times New Roman" w:eastAsia="Times New Roman" w:hAnsi="Times New Roman"/>
          <w:sz w:val="18"/>
          <w:szCs w:val="18"/>
          <w:color w:val="auto"/>
        </w:rPr>
        <w:t>is a non-GAAP financial measure defined as net income as a percentage of average beginning and ending 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 during the applicable period.</w:t>
      </w:r>
    </w:p>
    <w:p>
      <w:pPr>
        <w:spacing w:after="0" w:line="4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return on tangible equity </w:t>
      </w:r>
      <w:r>
        <w:rPr>
          <w:rFonts w:ascii="Times New Roman" w:cs="Times New Roman" w:eastAsia="Times New Roman" w:hAnsi="Times New Roman"/>
          <w:sz w:val="18"/>
          <w:szCs w:val="18"/>
          <w:color w:val="auto"/>
        </w:rPr>
        <w:t>is a non-GAAP financial measure defined as adjusted operating income as a percentage of average beginning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ending tangible stockholders’ equity during the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Specialty was formed as a Delaware corporation on January 3, 2006 as an insurance holding company. We operated under the name Houston International Insurance Group, Ltd. until we re-branded as Skyward Specialty in November 2020. References to “the Company,” “we,” “our,” “us” or like terms refer to the business of Skyward Specialty Insurance Group, Inc. and its subsidiaries.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growing specialty insurance company delivering commercial property and casualty (P&amp;C)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portfolio of insured risks is highly diversified—we insure customers operating in a wide variety of industries; we distribute through multiple channels; we write multiple lines of business, including general liability, excess liability, professional liability (including cyber and media liability insurance), commercial auto, group accident and health, property, agriculture, credit, surety and workers’ compensation; we insure both short and medium duration liabilities; and our business mix is principally primary insurance and balanced between E&amp;S and admitted markets. A small portion of our business is specialty reinsurance (principally agriculture and credit) which is similarly focused on attractive specialty classes where we believe it is more efficient to approach these classes through reinsurance given factors such as cost of entry, including the costs of geographic expansion. All of these factors enable us to respond to market opportunities and dislocations by deploying capital where we believe we can consistently earn attractive risk-adjusted returns. We believe this diversification, which includes businesses not typically aligned with traditional P&amp;C pricing cycles, combined with our underwriting and claims expertise, will more consistently produce strong growth and profitability across all insurance pricing cycles.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led by an entrepreneurial executive management team with decades of insurance leadership experience spanning multiple aspects of the global P&amp;C industry. Our leadership is supported by an experienced team with a broad skill set and aligned around our strategy. We believe our high-quality leadership and underwriting and claims teams, technology DNA, advanced analytics capabilities, diversified book of business, and strong competitive position in each of our chosen market niches position us to continue to profitably grow our business. We aim to deliver long-term value for our shareholders by generating best-in-class underwriting profitability and book value per share growth across P&amp;C market cycles.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insurance company subsidiaries are group rated and have financial strength ratings of “A” (Excellent) from the A.M. Best Company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with stable outlook.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Our Strategy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one reportable segment through which we offer a broad array of insurance coverages to a number of market niches. Each of our eight distinct underwriting divisions has dedicated underwriting leadership supported by high-quality technical staff with deep experience in their respective niches. We believe this structure and expertise allow us to serve the needs of our customers effectively and be a value-add partner to our distributors, while earning attractive risk-adjusted returns. For the year ended December 31, 2024, 44% of our gross written premiums were written on an admitted basis and 56% were non-admitted.</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Underwriting Divisions</w:t>
      </w:r>
    </w:p>
    <w:p>
      <w:pPr>
        <w:spacing w:after="0" w:line="11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Accident &amp; Health</w:t>
      </w:r>
      <w:r>
        <w:rPr>
          <w:rFonts w:ascii="Times New Roman" w:cs="Times New Roman" w:eastAsia="Times New Roman" w:hAnsi="Times New Roman"/>
          <w:sz w:val="18"/>
          <w:szCs w:val="18"/>
          <w:color w:val="auto"/>
        </w:rPr>
        <w:t>: Our Accident &amp; Health (“A&amp;H”) underwriting division provides medical stop loss to employers who self-insure their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as well as covering group and single-employer captives. Our approach for managing medical costs, combined with our claims oversight, enables us to partner with select distribution partners. We target and serve a segment of the small and medium sized enterprise market that is actively seeking to take control of their healthcare costs by self-insuring a portion of their healthcare insurance. We write these products on an admitted basis and distribute primarily through retail brokers and wholesale broker partners.</w:t>
      </w:r>
    </w:p>
    <w:p>
      <w:pPr>
        <w:spacing w:after="0" w:line="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Captives</w:t>
      </w:r>
      <w:r>
        <w:rPr>
          <w:rFonts w:ascii="Times New Roman" w:cs="Times New Roman" w:eastAsia="Times New Roman" w:hAnsi="Times New Roman"/>
          <w:sz w:val="18"/>
          <w:szCs w:val="18"/>
          <w:color w:val="auto"/>
        </w:rPr>
        <w:t>: Our Captives underwriting division provides group captive solutions by drawing on our underwriting and claims expertise from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underwriting divisions to create group captives for companies seeking to self-insure. By leveraging our underwriting, claims, technology, and analytical expertise across our Company, we are able to broaden our market reach and write additional profitable business with limited additional expense. Our captive underwriting division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writes property, general liability, commercial auto, excess liability, and workers’ compensation lines of business on an E&amp;S and an admitted basis. We often administer this business through partnerships with third-party captive managers.</w:t>
      </w:r>
    </w:p>
    <w:p>
      <w:pPr>
        <w:spacing w:after="0" w:line="5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Global Property and Agriculture</w:t>
      </w:r>
      <w:r>
        <w:rPr>
          <w:rFonts w:ascii="Times New Roman" w:cs="Times New Roman" w:eastAsia="Times New Roman" w:hAnsi="Times New Roman"/>
          <w:sz w:val="18"/>
          <w:szCs w:val="18"/>
          <w:color w:val="auto"/>
        </w:rPr>
        <w:t>: Our Global Property underwriting unit provides property-only solutions to large multi-jurisdictional entities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complex property exposures. The business is written entirely on an E&amp;S basis. We distribute this product through retail brokers and select wholesale brokers. Our book and position with our customers and distribution partners has been curated over more than ten years, and we have become an important partner to the brokers that place this business and an equally important part of our insureds’ risk transfer program. Our Global Agriculture underwriting unit provides secondary and reinsurance solutions for crop, livestock and other renewable resources.</w:t>
      </w:r>
    </w:p>
    <w:p>
      <w:pPr>
        <w:spacing w:after="0" w:line="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Industry Solutions</w:t>
      </w:r>
      <w:r>
        <w:rPr>
          <w:rFonts w:ascii="Times New Roman" w:cs="Times New Roman" w:eastAsia="Times New Roman" w:hAnsi="Times New Roman"/>
          <w:sz w:val="18"/>
          <w:szCs w:val="18"/>
          <w:color w:val="auto"/>
        </w:rPr>
        <w:t>: Our Industry Solutions underwriting division includes three underwriting units that each provide multiple coverages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they serve: construction, energy and inland marine. Our construction and energy underwriting units provide general liability, excess liability, commercial auto, workers’ compensation, and adjacent inland marine solutions, written principally on an admitted basis, to a broad range of middle market construction and energy production and servicing customers, including many in the alternative/renewable energy fields. Our inland marine underwriting unit focuses on logistics and other specialty property risk for assets that are constantly on the move. The industry segments we seek to underwrite often have high severity exposures that our teams of skilled and experienced underwriters and claims professionals are able to address quickly and creatively, frequently with multi-line solutions. We distribute these products through retail agents and brokers and a select network of wholesalers.</w:t>
      </w:r>
    </w:p>
    <w:p>
      <w:pPr>
        <w:spacing w:after="0" w:line="7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Professional Lines</w:t>
      </w:r>
      <w:r>
        <w:rPr>
          <w:rFonts w:ascii="Times New Roman" w:cs="Times New Roman" w:eastAsia="Times New Roman" w:hAnsi="Times New Roman"/>
          <w:sz w:val="18"/>
          <w:szCs w:val="18"/>
          <w:color w:val="auto"/>
        </w:rPr>
        <w:t>: Our Professional Lines underwriting division includes three underwriting units: management liability, professional liability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cyber and media liability insurance), and allied health (which includes life sciences). Professional liability and allied health provide primary and excess claims-made liability products, on an E&amp;S and admitted basis, distributed through both wholesale and retail brokers, depending on the product.</w:t>
      </w:r>
    </w:p>
    <w:p>
      <w:pPr>
        <w:spacing w:after="0" w:line="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Programs</w:t>
      </w:r>
      <w:r>
        <w:rPr>
          <w:rFonts w:ascii="Times New Roman" w:cs="Times New Roman" w:eastAsia="Times New Roman" w:hAnsi="Times New Roman"/>
          <w:sz w:val="18"/>
          <w:szCs w:val="18"/>
          <w:color w:val="auto"/>
        </w:rPr>
        <w:t>: Our Programs underwriting division partners with program administrators focused on certain markets that align with our expertise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We believe partnering with a program administrator in certain circumstances is the optimal way for us to participate profitably or extend our reach in certain markets. Typically, the program administrators possess a competitive advantage (owing to their scale in a particular market niche and/or proprietary technology) that we believe would be difficult for us to replicate on our own. For example, certain of our program administrator partners have developed proprietary technology to optimize risk selection and pricing in specific markets. We believe the combination of our underwriting and claims expertise with their scale and/or technology creates a more powerful partnership than either party could present to the market on its own. Our Programs underwriting division writes property, general liability, commercial auto liability, excess liability, and workers’ compensation lines of business on an E&amp;S and an admitted basis.</w:t>
      </w:r>
    </w:p>
    <w:p>
      <w:pPr>
        <w:spacing w:after="0" w:line="7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Surety</w:t>
      </w:r>
      <w:r>
        <w:rPr>
          <w:rFonts w:ascii="Times New Roman" w:cs="Times New Roman" w:eastAsia="Times New Roman" w:hAnsi="Times New Roman"/>
          <w:sz w:val="18"/>
          <w:szCs w:val="18"/>
          <w:color w:val="auto"/>
        </w:rPr>
        <w:t>: Our Surety underwriting division provides contract, commercial and transactional surety solutions to a range of trade 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organizations requiring bonding. We principally focus on small to medium sized enterprises with aggregate bond programs up to approximately $75.0 million for contract and $100.0 million for commercial and transactional. We write this business on an admitted basis and distribute through retail agents and brokers.</w:t>
      </w:r>
    </w:p>
    <w:p>
      <w:pPr>
        <w:spacing w:after="0" w:line="6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Transactional E&amp;S</w:t>
      </w:r>
      <w:r>
        <w:rPr>
          <w:rFonts w:ascii="Times New Roman" w:cs="Times New Roman" w:eastAsia="Times New Roman" w:hAnsi="Times New Roman"/>
          <w:sz w:val="18"/>
          <w:szCs w:val="18"/>
          <w:color w:val="auto"/>
        </w:rPr>
        <w:t>: Our Transactional E&amp;S underwriting division provides primary and excess non-catastrophe prone property and general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with particular emphasis on risks that are considered hard to place because of the complexity of the underlying exposure, loss history, and/or limited operating history (i.e., start up and newer businesses). Success in our target market is determined by technical underwriting, thoughtful coverage provisions and pricing, and high-quality broker service. We access the market in this division exclusively through wholesale brokers.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our continuing business, there are business units and lines of business that we previously exited and placed into run-off. We refer to these lines and businesses as our “exited business”.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Strategy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seek to lead in our chosen market niches and establish sustainable competitive positions in these markets. The following key elements underpin our strategy and approach to our business:</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differentiated products, services and solutions that meet the unique needs of our target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exceptional underwriting and claims talent and incentivizing our professionals in a manner that aligns with our organization and corporate goals;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Amplifying the expertise of our people with advanced technology and analytics that enable superior risk selection, pricing and claims management;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our underwriting and claims teams with considerable authority to make decisions and apply their expertise;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culture that promotes nimbleness and responsiveness to market opportunities and dislocation.</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refer to this strategy as “Rule Our Niche” and it forms the basis of our approach to building a strong defensible market position, creating a competitive moat, and winning in our chosen markets. We believe that the principles underlying our strategy are key to achieving and sustaining best-in-class underwriting results through P&amp;C insurance pricing cycles. We consistently strive for excellence in risk selection, pricing, and claims outcomes, and to amplify these critical functions with the use of advanced technology and analytics.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competitive strengths include: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profitable niches of the market that require technical underwriting and claims management as barriers to entry</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the niche areas of the commercial lines P&amp;C markets we have selected are a highly attractive subset of the P&amp;C insurance market and present an opportunity to generate attractive risk-adjusted returns. We actively target markets that are underserved, dislocated or for which standard, commoditized products are insufficient or inadequate to meet the needs of our customers. The unique characteristics of the risks within our core markets require each account to be efficiently and individually underwritten, in order for us to generate an acceptable, sustainable underwriting profit. Many carriers have chosen to reject businesses that they deem to be too complex, or that requires thoughtful individual underwriting; or, alternatively, have focused on simple account risks for which more automated underwriting can be effective. Instead, we have chosen to build our underwriting divisions around deeply experienced underwriters who we empower with appropriate authority to make underwriting decisions. This structure enables us to offer innovative and unique products and solutions to our distribution partners and customers, regardless of how challenging or complex a risk may be. Further, we augment our underwriters’ experience with data and predictive analytics that are intended to differentiate risk selection and pricing decision-making while enhancing efficiency.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skilled underwriters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focus on hiring underwriting and technical staff who help differentiate our company through their expertise and experience. Our underwriting teams are knowledgeable, experienced, and empowered — characteristics which are critical to operate successfully in the markets we serve, especially since many of the risks we underwrite are particularly difficult to automate. We do not impose strict underwriting rules (i.e., we are not “box” underwriters), but rather allow our professionals the freedom to use their expertise and judgment when evaluating and pricing risks. Simply put, we give our people the tools and appropriate authority to make decisions and do what they do best — profitably underwrite complex risks.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Claims Staff and Operations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cultivated a best-in-class and highly specialized team of claims professionals who are highly knowledgeable about the niches we serve and the lines of business we write. Our claims professionals systematically address first party claims with fair and equitable solutions and third-party claims with holistic and comprehensive responses, in each case seeking to ensure consistent and early loss recognition of indemnity and loss adjustment expenses (“LAE”).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respond quickly when a claim is submitted with specialized adjusters, who are armed with expertise, advanced technology and analytics, to assist them in the claims resolution process. We embed technology deeply into our claims process and leverage our technology-enabled platform and tools from first notice of loss to investigation to settlement. Our analytics capabilities used by our senior leadership and claims teams include real-time, detailed information on open claims and benchmarks against closed claims. We believe that our industry expertise, nimble culture, and technology-embedded claims processes enables us to reach fair and appropriate claims outcomes for our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business intelligence platform.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SkyBI, our business intelligence platform, focuses on providing our senior leadership, as well as our technical teams, with real-time intelligence to drive superior decision making. SkyBI reflects the best practices our management team has learned from its extensive experience across the P&amp;C insurance and technology sectors. We developed SkyBI, our single, comprehensive enterprise-wide data repository, as our foundation for reporting, business intelligence, analytics, and other advanced data capabilities. It provides our organization information and performance metrics across the Company in an easy-to-consume visualized format. The data can be filtered by many categories, including distributor, customer segment, line of business, specific industry, individual underwriter, and specific risk feature among others. SkyBI aids in establishing clear line of sight to objectives as well as facilitating our decision-making processes.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technology and new risk data for underwriting and claims.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fundamentally believe that every underwriting and claims decision can be augmented with the use of new types of risk data and advanced technology. While our underwriting decisions are backed by reliable historical data and in-depth evaluation of risks resulting from intentional investment in data collection and processing capabilities, we amplify our underwriting and claims prowess by combining this data with new forms of risk data and predictive analytics. We also utilize generative artificial intelligence in our underwriting and claims handling where doing so can aid in our effectiveness and efficiencies without sacrificing the necessary expertise of our employees.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Diversified business that allows us to respond to, and capitalize on, changes in market conditions across P&amp;C cycles.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been successful in building a diversified group of underwriting divisions spanning multiple product lines, industries, geographies and distribution channels, including business that is not typically aligned with traditional P&amp;C cycles. We aim to evolve with, and adapt to, the market growing certain lines of business when market conditions are favorable and limiting our exposure to certain markets when conditions are less favorable. We believe the diversity of our book allows us to respond to, and capitalize on, market opportunities and dislocations across insurance market and pricing cycles resulting in a durable insurance franchise.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Attractive and winning culture.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evidenced by our internal surveys, public information such as that available on Glassdoor and LinkedIn, and our selection as a “Best Places to Work in Insurance,” we have built a distinctive winning culture. Key to our culture and operating approach is a flat structure of communication and decision-making. We trust our staff to make decisions that produce or exceed our desired financial results, and we support our staff with a clear system of measurement to gauge performance. We have chosen to adopt a hybrid work schedule which provides our employees with the flexibility for remote working. We pride ourselves on maintaining an entrepreneurial environment that encourages and rewards a proactive approach to capitalize on market disruption. This environment is not only consistent with our identity as a specialty insurer but also a foundation for our success in attracting great talent and our objective of delivering best-in-class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High-quality, experienced leadership team that is aligned with our shareholders.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Led by our CEO, Andrew Robinson, we have an experienced, innovative and entrepreneurial executive leadership team with a track record of success in senior management roles at industry leading property and casualty companies as well as in starting and building new businesses in our industry.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entire senior leadership’s compensation is directly aligned with our shareholders. Each of our leaders have a material portion of their compensation in the form of long-term and short-term incentives tied to delivering sustainable, best-in-class underwriting returns. Our executive leadership team have additional long-term incentive targets tied directly to growth in book value per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in Action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everything we do, from recruiting to marketing to underwriting to loss adjusting and claims resolution,  we seek to follow the core tenets of our “Rule Our Niche” strategy, as described above. We believe our “Rule Our Niche” strategy will help us achieve our goal of generating best-in-class underwriting profitability for our niches while creating superior long-term shareholder value through growth in book value per share. The core tenets of our “Rule Our Niche” strategy include: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 and retain blue-chip underwriting and claims talent to expand and enhance our market position.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hire the most talented technical underwriting professionals who have long-standing industry relationships with distribution partners and claims professionals with expertise in the niches we write. These relationships are key to getting steady access to our preferred business. We believe that we have become a company of choice for the best talent in our industry and, as such, we will continue to grow our market position by bringing on world-class talent in our chosen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our technology DNA to further distance ourselves from the competition.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demonstrated a differentiated ability to utilize new forms of risk data and advanced technology within the more complex, higher severity risk categories of the specialty P&amp;C insurance market. SkyBI gives us the ability to promptly sense and quickly respond to market changes, while our core operating platforms allow us to move into new markets efficiently and without the complexity of burdensome systems. We believe our technological advantage positions us for profitable growth and expansion into additional specialty market niches where we can establish a strong and defensible market position.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Profitably grow existing lines of business and expand with new underwriting divisions.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we are well-positioned to take advantage of several trends impacting our customers in the United States and globally. One such trend is the continued rise in demand for specialized insurance solutions because of increasing risks, as well as the complexity of risks, due to climate change/increased frequency of severe weather events, supply chain uncertainty, financial inflation risk, cyber risk, emergence of novel health risks, increased level of litigation, attorney involvement and jury awards, and healthcare delivery and cost. Another such noticeable market trend is the emergence of “micro cycles and micro dislocations” where different pockets of the P&amp;C insurance market experience hardening and softening at different times. We have demonstrated our ability to react quickly in response to these trends by launching new underwriting units, including many not typically aligned with P&amp;C cycles, entering underserved markets, partnering with others with advanced technology, and launching new captive solutions. We believe our gross written premium growth and profitability is indicative of our momentum and provides a powerful reference for the positioning of our Company to continue to expand and grow in the markets we seek to serve.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Differentiate on daily excellence to drive best-in-class underwriting performance.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ability to meet our long-term goals, including achieving best-in-class underwriting returns and growth in book value per share, relies on how well we execute our day-to-day operations across all of our functional departments, including but not limited to underwriting, product management, and claims management. SkyBI provides the foundation by which our senior management can monitor our performance, whether it is renewal rates, new business pricing and portfolio performance for an individual underwriter, or claims aging and reserving practices and outcomes by claims adjusters. Our focus on the fundamentals that drive underwriting excellence is at the center of our strategy. Furthermore, our cross functional collaboration ensures that our underwriting, claims, actuarial and product management teams regularly review performance and trends so that portfolio, pricing and coverage changes can be implemented quickly.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our balance sheet to capture a larger part of the market we serve.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establishing and maintaining a strong balance sheet, starting with conservative loss reserves and strong capitalization ratios. We believe this is imperative to maintain the confidence of customers, distribution partners, reinsurers, regulators, rating agencies and shareholders. Our claims case reserves practices aim to reserve to the expected ultimate loss within 90 days of the first notice of loss. In addition, our practice is to maintain a level of incurred but not reported reserves (“IBNR”) that, together with our case reserves, is above our actuarial central estimate. We maintain loss reserves that represent our best estimate of ultimate losses.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approach to marketing and distribution mirrors our approach to underwriting and is a key facet of our “Rule Our Niche” strategy. Our underwriting teams, as well as the Company as a whole, have strong and well-established relationships with our distribution partners and equally strong reputations that provide a foundation to establish affiliations with new distribution partners. We believe we win with distribution partners because of our deep expertise in niche markets, high caliber underwriters, culture of innovation, thoughtful product line-up and product design, and speed and quality of responsiveness, among other factors. All of our underwriting divisions invest meaningful time and effort into sustaining and expanding distribution partner loyalty and long-term relationships.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Just as we tailor underwriting to the individual needs of the insureds, we tailor our choice of distribution partners to access the particular business we seek to write. Accordingly, we distribute our products, through retail agents, wholesale brokers, select program administrators, and captive managers. This approach allows us to access the business we target effectively and efficiently based on the needs and dynamics of a particular market niche.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approach to underwriting is deeply embedded in our “Rule Our Niche” strategy and is core to how we win in the market. Within the eight divisions, we further specialize underwriting teams with a focus on specific niches within the markets the eight divisions serve.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underwriting approach is underpinned by hiring highly experienced, best-in-class and diverse teams of technical underwriters with established track records in specific specialty niche markets. We then amplify our underwriters’ skill sets with advanced technology and data analytics and empower them with appropriate authority to make decisions. We believe this approach is key to superior risk selection and pricing, and producing sustainable best-in-class underwriting results across market cycles.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strive to augment the capabilities and experience of our underwriting professionals using new forms of data and analytics for risk selection and pricing. Our underwriting data is captured in our business intelligence platform, SkyBI. This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data repository forms the foundation of our reporting, analytics, and other data capabilities and is a key tool for our senior management team and business leaders. See the section entitled “Technology” below for more information on SkyBI.</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highly selective in the policies we choose to bind. If our underwriters cannot reasonably expect to bind coverage at the combination of premium and coverage terms that meets our standard, we encourage them to move on quickly to other prospective opportunities.</w:t>
      </w:r>
    </w:p>
    <w:p>
      <w:pPr>
        <w:spacing w:after="0" w:line="54"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When accepting risks, we are careful to establish terms and price that are suited to the underlying exposure. When writing in the admitted market, we endeavor to ensure that our approved forms and filed rates are appropriate and adequate for the risks we are accepting while also allowing us the flexibility to address specific and/or unique exposures. When writing in the E&amp;S market, we use our freedom of rate and form to ensure risk and coverage are appropriate to the unique needs and exposure that are presented in this market. We endeavor to craft policies that offer affordable and appropriate protection to address our insureds’ exposures while also constructing coverage such that potential losses are more predictable and claims cost can be best managed.</w:t>
      </w:r>
    </w:p>
    <w:p>
      <w:pPr>
        <w:spacing w:after="0" w:line="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Underwriting teams are supported by active engagement and collaboration with our Claims, Actuarial, Product Management, Legal and Compliance and Finance departments so that trends in the business, legal and tort developments, and competitor and regulatory actions are analyzed, shared, and acted upon in a timely manner. We view our underwriters as the center of our company and all support functions are incented and measured to support the achievement of our underwriting profitability targets. This structure serves to surface both opportunities and issues early and forms a key part of our nimbleness and ability to take advantage of market disruptions. Finally, our underwriting controls and procedures are regularly reviewed to ensure our underwriters are acting with clear line of sight to profitably underwrite each of the markets we serve.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Management</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Skyward’s claims department is guided by the following principles: (1) prompt and comprehensive claim investigations, considering all aspects of each loss, and using advanced analytics and technology to improve efficiency, accuracy and speed of response; (2) providing our customers with quality claims handling service while engaging customers through the entire claims resolution process; (3) promptly establishing reserves reflective of our best estimate of ultimate loss; (4) effectively pursuing contribution and subrogation where appropriate and warranted; (5) detecting and preventing fraud activity throughout the claims handling process using a variety of tools; and (6) disciplined litigation management to provide our customers with a superior legal defense while closely monitoring legal costs. To this end, we provide continuous training to our claim staff on claim evaluation, strategy, litigation management, good-faith claims handling and best practices. Our ultimate goal is to achieve timely and optimal claim outcomes.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handle the majority of our claims in-house. In certain instances, we utilize Third Party Administrators (TPAs), to handle claims on Skyward’s behalf, when needed. Specifically, we may utilize TPAs for programs, captives, occupational accident, workers compensation and runoff claims. We actively manage and oversee our TPAs and monitor their individual claims-handling activities, to be in accordance with our claims handling and reserving guidelines and general best practices. We regularly audit our TPAs to ensure compliance with these guidelines and practices.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the retention of counsel is warranted for a liability claim made against an insured, we retain independent legal counsel to defend and represent an insured. We select defense counsel based on their geographical location and expertise to ensure that they have the requisite experience and legal knowledge to defend our insureds effectively and efficiently. We have developed carefully crafted litigation guidelines for both our claims professionals and our outside counsel to follow. Adherence to these guidelines ensures that counsel is providing the appropriate defense to our insureds. Finally, to ensure that legal costs are reasonable, and customary within the respective defense counsel’s geography and practice area, we employ a legal spend management solution to analyze legal invoices for adherence to case handling and billing practice standards.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leveraging technology to gain efficiencies in the claims-handling process. For example, we created and implemented a Claims Development Severity Predictor. This predictive model trains on key phrases to identify claims that are more likely to lead to large loss development, allowing early identification, proactive claims management and summarization to help us understand why development will occur. This model has been integrated into our claims review and management workflow.</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always looking for opportunities to resolve our claims as efficiently and effectively as possible. For example, for commercial auto, we have implemented a “quick strike” program to respond to claim reports. This program involves deploying experienced investigators and other appropriate vendors to the scene of a reported auto accident, ideally within two hours of the accident, regardless of the location. This quick response assists us in evaluating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facts and circumstances of the accident to begin our investigation as quickly as possible. If appropriate, our program aids us in resolving any third-party claims as quickly as possible.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Finally, our claims handlers and managers are organized by line of business to ensure that the right expertise is brought to bear in handling claims. The managers and adjusters work very closely with their underwriting partners to keep them apprised of legal trends and emerging claims issues of note. The goal is to educate our underwriters on emerging areas of loss experience to assist them in their risk selection processes.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technology is at the heart of everything we do and every decision we make, helping us to win over the long-term. We deploy technology across our organization to drive competitive advantages in three primary functional ways:</w:t>
      </w:r>
    </w:p>
    <w:p>
      <w:pPr>
        <w:spacing w:after="0" w:line="50" w:lineRule="exact"/>
        <w:rPr>
          <w:sz w:val="20"/>
          <w:szCs w:val="20"/>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Superior Business Intelligence Platform. </w:t>
      </w:r>
      <w:r>
        <w:rPr>
          <w:rFonts w:ascii="Times New Roman" w:cs="Times New Roman" w:eastAsia="Times New Roman" w:hAnsi="Times New Roman"/>
          <w:sz w:val="18"/>
          <w:szCs w:val="18"/>
          <w:color w:val="auto"/>
        </w:rPr>
        <w:t>SkyBI, our business intelligence platform, focuses on providing our senior leadership, as well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technical teams, with real-time intelligence to drive superior decision making. SkyBI reflects the best practices our management team has learned from its extensive experience across the P&amp;C insurance and technology sectors. We developed SkyBI, our single, comprehensive enterprise-wide data repository, as our foundation for reporting, business intelligence, analytics, and other advanced data capabilities. It provides our organization with information and performance metrics across the Company in an easy-to-consume visualized format. The data can be filtered by many categories, including distributor, customer segment, line of business, specific industry, individual underwriter, and specific risk feature among others. SkyBI aids in establishing clear line of sight to objectives as well as facilitating our decision-making process.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Predictive Analytics Technology. </w:t>
      </w:r>
      <w:r>
        <w:rPr>
          <w:rFonts w:ascii="Times New Roman" w:cs="Times New Roman" w:eastAsia="Times New Roman" w:hAnsi="Times New Roman"/>
          <w:sz w:val="18"/>
          <w:szCs w:val="18"/>
          <w:color w:val="auto"/>
        </w:rPr>
        <w:t>We strive to augment the capabilities of our employees daily using new forms of risk data and the 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predictive analytics including artificial intelligence for risk selection, pricing and claims handling. Within every underwriting division, our actions are intentional to “Rule Our Niche.” We aim to innovate constantly, and our actions are specific to each of the divisions/markets we serve.</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Core Transactional Platforms. </w:t>
      </w:r>
      <w:r>
        <w:rPr>
          <w:rFonts w:ascii="Times New Roman" w:cs="Times New Roman" w:eastAsia="Times New Roman" w:hAnsi="Times New Roman"/>
          <w:sz w:val="18"/>
          <w:szCs w:val="18"/>
          <w:color w:val="auto"/>
        </w:rPr>
        <w:t>Our core operating platforms, including our policy administration, underwriting workbench, billing and claims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are intentionally designed to enable nimble scaling and expansion of our business. We generally use, third-party vendor developed core operating applications that we have customized for our company. Our core platform organization is used for all business except for accident &amp; health, global property and agriculture and surety as the unique features of these underwriting divisions require select dedicated core processing components. Data gathered from our core operating platforms from all divisions flows to our SkyBI platform with comparable data quality and granularity regardless of underwriting division.</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use of advanced technology for underwriting and claims, SkyBI and core operating platforms provide our business with a flywheel effect allowing our underwriters to better select risk, our claims professionals to better adjudicate claims, our unit leaders to better communicate with reinsurance and third-party partners, and our senior leadership team to better evaluate trends in our business. These tools also have the added advantage of allowing us to communicate with our distribution partners, reinsurers, and other third-party partners more accurately, effectively, and efficiently.</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Like other companies, we face external threats to our information technology systems, including the possibility of system failure, attempts to steal our customer data, and ransomware attacks. We designed our technology infrastructure to function through almost any major disruption. We replicate our data in real time to a third-party cloud disaster recovery site for use in the event of a major system failure. We also back-up our data daily for system restoration if needed. Additional actions we take to prevent disruptions to our systems and data include: actively monitoring Cybersecurity and Infrastructure Security Agency’s (“CISA”) cybersecurity directives, taking immediate action on any vulnerability identified in a directive; conducting monthly vulnerability scans on all network attached devices, at all locations, with patching applied whenever needed; requiring two-factor authentication for access to any of our systems; conducting monthly security training for all employees; implementing endpoint detection agents for threat detection and response; performing desktop scenarios to practice responses to breaches involving our cybersecurity insurance partners and retained security consultants; and performing annual penetration testing. We constantly review our security breach posture and regularly implement updated processes, best practices and tools.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primarily in January and June.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50" w:lineRule="exact"/>
        <w:rPr>
          <w:sz w:val="20"/>
          <w:szCs w:val="20"/>
          <w:color w:val="auto"/>
        </w:rPr>
      </w:pPr>
    </w:p>
    <w:p>
      <w:pPr>
        <w:ind w:left="660" w:right="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Quota share reinsurance </w:t>
      </w:r>
      <w:r>
        <w:rPr>
          <w:rFonts w:ascii="Times New Roman" w:cs="Times New Roman" w:eastAsia="Times New Roman" w:hAnsi="Times New Roman"/>
          <w:sz w:val="18"/>
          <w:szCs w:val="18"/>
          <w:color w:val="auto"/>
        </w:rPr>
        <w:t>refers to a reinsurance contract whereby the reinsurer agrees to assume a specified percentage of the ceding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arising out of a defined class of business in exchange for a corresponding percentage of premiums, net of a ceding commission.</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of loss reinsurance </w:t>
      </w:r>
      <w:r>
        <w:rPr>
          <w:rFonts w:ascii="Times New Roman" w:cs="Times New Roman" w:eastAsia="Times New Roman" w:hAnsi="Times New Roman"/>
          <w:sz w:val="18"/>
          <w:szCs w:val="18"/>
          <w:color w:val="auto"/>
        </w:rPr>
        <w:t>refers to a reinsurance contract whereby the reinsurer agrees to assume all or a portion of the ceding company’s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 individual claim or an event in excess of a specified amount in exchange for a premium payable amount negotiated between the parties, which includes our catastrophe reinsurance program.</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Facultative coverage </w:t>
      </w:r>
      <w:r>
        <w:rPr>
          <w:rFonts w:ascii="Times New Roman" w:cs="Times New Roman" w:eastAsia="Times New Roman" w:hAnsi="Times New Roman"/>
          <w:sz w:val="18"/>
          <w:szCs w:val="18"/>
          <w:color w:val="auto"/>
        </w:rPr>
        <w:t>refers to a reinsurance contract on individual risks as opposed to a group or class of business. It is used for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reasons, including supplementing the limits provided by the treaty coverage or covering risks or perils excluded from treaty reinsurance.</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reinsurance programs as of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28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$0.90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Auto</w:t>
            </w:r>
            <w:r>
              <w:rPr>
                <w:rFonts w:ascii="Times New Roman" w:cs="Times New Roman" w:eastAsia="Times New Roman" w:hAnsi="Times New Roman"/>
                <w:sz w:val="23"/>
                <w:szCs w:val="23"/>
                <w:color w:val="auto"/>
                <w:vertAlign w:val="superscript"/>
              </w:rPr>
              <w:t>(1)</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$1.00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Excess Casualty</w:t>
            </w:r>
            <w:r>
              <w:rPr>
                <w:rFonts w:ascii="Times New Roman" w:cs="Times New Roman" w:eastAsia="Times New Roman" w:hAnsi="Times New Roman"/>
                <w:sz w:val="23"/>
                <w:szCs w:val="23"/>
                <w:color w:val="auto"/>
                <w:vertAlign w:val="superscript"/>
              </w:rPr>
              <w:t>(1)(2)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Liability</w:t>
            </w:r>
            <w:r>
              <w:rPr>
                <w:rFonts w:ascii="Times New Roman" w:cs="Times New Roman" w:eastAsia="Times New Roman" w:hAnsi="Times New Roman"/>
                <w:sz w:val="23"/>
                <w:szCs w:val="23"/>
                <w:color w:val="auto"/>
                <w:vertAlign w:val="superscript"/>
              </w:rPr>
              <w:t>(1)</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$1.50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Lines</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$5.21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w:t>
            </w:r>
            <w:r>
              <w:rPr>
                <w:rFonts w:ascii="Times New Roman" w:cs="Times New Roman" w:eastAsia="Times New Roman" w:hAnsi="Times New Roman"/>
                <w:sz w:val="23"/>
                <w:szCs w:val="23"/>
                <w:color w:val="auto"/>
                <w:vertAlign w:val="superscript"/>
              </w:rPr>
              <w:t>(3)</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$3.50 million per occurrence</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Representation and Warranty</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Surety</w:t>
            </w:r>
            <w:r>
              <w:rPr>
                <w:rFonts w:ascii="Times New Roman" w:cs="Times New Roman" w:eastAsia="Times New Roman" w:hAnsi="Times New Roman"/>
                <w:sz w:val="23"/>
                <w:szCs w:val="23"/>
                <w:color w:val="auto"/>
                <w:vertAlign w:val="superscript"/>
              </w:rPr>
              <w:t>(2)</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$4.00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$2.33 million per occurrence</w:t>
            </w:r>
          </w:p>
        </w:tc>
      </w:tr>
    </w:tbl>
    <w:p>
      <w:pPr>
        <w:spacing w:after="0" w:line="15" w:lineRule="exact"/>
        <w:rPr>
          <w:sz w:val="20"/>
          <w:szCs w:val="20"/>
          <w:color w:val="auto"/>
        </w:rPr>
      </w:pPr>
    </w:p>
    <w:p>
      <w:pPr>
        <w:ind w:left="180" w:hanging="154"/>
        <w:spacing w:after="0"/>
        <w:tabs>
          <w:tab w:leader="none" w:pos="180" w:val="left"/>
        </w:tabs>
        <w:numPr>
          <w:ilvl w:val="0"/>
          <w:numId w:val="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Legal defense expenses can force exposure above the maximum company retention for Excess Casualty, Commercial Auto and General Liability.</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Reinsurance is subject to a loss ratio cap or aggregate level of loss cover that exceeds a modeled 1:250-year PML event.</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Catastrophe loss protection is purchased up to $36.0 million in excess of $12.0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property insurance represented 29% of our gross written premiums. We actively manage and continuously monitor our aggregation of property writings by geographic area to limit our potential for aggregation of loss resulting from severe events such as hurricanes, convective storms, and earthquakes. We buy catastrophe reinsurance to further mitigate an aggregation of property losses due to a single event or series of events. To inform our purchase of catastrophe reinsurance, we use third-party stochastic and our own deterministic models to analyze the risk of aggregation of losses from such events. These models provide a quantitative view of PML events, which is an estimate of the level of loss we would expect to experience once in a given number of years (referred to as the return period). Based upon our modeling, it would take an event beyond our 1 in 250-year PML to exhaust our $36.0 million property catastrophe coverage. Additionally, we seek to expose no more than 3.0% of our stockholders’ equity to a catastrophic loss that is less than a 1 in 250-year event. We believe our current reinsurance program provides coverage well in excess of our theoretical losses from any recorded historical event.</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purchase reinsurance from reinsurers that are rated at least “A-” (“Excellent”) or better by A.M. Best. As of December 31, 2024, 99% of our reinsurance recoverables were either derived from reinsurers rated “A-” (Excellent) by A.M. Best, or better, or were collateralized for our reinsurance recoverable by the reinsurer. While we only select reinsurers whom we believe to have acceptable credit and A.M. Best ratings, if our reinsurers are unable to pay the claims for which they are responsible, we ultimately retain primary liability to our policyholders. Hence, failure of the reinsurer to honor its obligations could result in losses to us, and therefore, we establish allowances for amounts considered uncollectible. At December 31, 2024 and 2023, our allowance for uncollectible reinsurance was $2.3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most significant reinsurers by amount of reinsurance recoverables, as well as the reinsurers A.M. Best rating, if applicable, as of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r>
      <w:tr>
        <w:trPr>
          <w:trHeight w:val="21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Reinsurer</w:t>
            </w:r>
          </w:p>
        </w:tc>
        <w:tc>
          <w:tcPr>
            <w:tcW w:w="12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Reinsurance Recoverables</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 Best Rating</w:t>
            </w:r>
          </w:p>
        </w:tc>
      </w:tr>
      <w:tr>
        <w:trPr>
          <w:trHeight w:val="23"/>
        </w:trPr>
        <w:tc>
          <w:tcPr>
            <w:tcW w:w="7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Everest Reinsurance Co.</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154,181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30"/>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eMaxx Captives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144,196</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n/r</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 Reinsurance Co. of the US</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52,442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Reinsurance Corp</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48,234</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Swiss Reinsurance America Corp</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37,789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ACE (Chubb Property &amp; Casualty Ins Company)</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36,527</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RGA Reinsurance Company</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29"/>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Randall &amp; Quilter (R&amp;Q Bermuda (SAC) Ltd)</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22,663</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n/r</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Aspen Insurance UK Limited</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19,998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Insurance Company of the West</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18,112</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A</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Top 10 Total</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559,087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298,789</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857,876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ind w:left="180" w:hanging="154"/>
        <w:spacing w:after="0" w:line="226" w:lineRule="auto"/>
        <w:tabs>
          <w:tab w:leader="none" w:pos="180" w:val="left"/>
        </w:tabs>
        <w:numPr>
          <w:ilvl w:val="0"/>
          <w:numId w:val="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This reinsurer facilitates our eMaxx captive. At December 31, 2024, we held collateral in a statutory trust of $188.9 million on our net reinsurance recoverables.</w:t>
      </w:r>
    </w:p>
    <w:p>
      <w:pPr>
        <w:spacing w:after="0" w:line="30" w:lineRule="exact"/>
        <w:rPr>
          <w:rFonts w:ascii="Times New Roman" w:cs="Times New Roman" w:eastAsia="Times New Roman" w:hAnsi="Times New Roman"/>
          <w:sz w:val="19"/>
          <w:szCs w:val="19"/>
          <w:i w:val="1"/>
          <w:iCs w:val="1"/>
          <w:color w:val="auto"/>
          <w:vertAlign w:val="superscript"/>
        </w:rPr>
      </w:pPr>
    </w:p>
    <w:p>
      <w:pPr>
        <w:ind w:left="20" w:right="220" w:firstLine="6"/>
        <w:spacing w:after="0" w:line="223" w:lineRule="auto"/>
        <w:tabs>
          <w:tab w:leader="none" w:pos="165" w:val="left"/>
        </w:tabs>
        <w:numPr>
          <w:ilvl w:val="0"/>
          <w:numId w:val="9"/>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This reinsurer facilitated our LPT reinsurance agreement which was commuted effective January 31, 2025. At December 31, 2024, we held collateral in a statutory trust of $22.7 million on our net reinsurance recoverables.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enterprise risk management (“ERM”) is embedded in nearly every aspect of our company and guides our day-to-day activities. At the highest level, our approach to ERM is to ensure we achieve an acceptable risk adjusted return for our shareholders while maintaining a strong foundation of trust and reliability for those we serve; as such we are intentional in our underwriting and asset portfolio construction. As an example, we aim to balance liability duration and market cyclicality of our underwriting portfolio, and we use reinsurance to manage volatility outside of our risk tolerances. Our investment strategy is similarly set out to have a diversified target portfolio that balances portfolio yield, liquidity, volatility, and potential for principal loss.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Senior Vice President (“SVP”) of Finance &amp; ERM oversees several critical ERM processes as well as chairing our cross-functional corporate ERM Committee. We formalize our own view of risk and solvency in terms of potential economic loss using our Economic Capital Model (“ECM”). We use the output of our ECM to measure potential earnings and capital loss for a range of scenarios. These outputs are measured against risk tolerances that are set out and updated annually by the ERM Committee and discussed with the Risk Committee of our Board. More specifically, our ECM provides a probabilistic modeled view of earnings and capital loss that brings together the potential loss from catastrophes, reserving, underwriting, market, credit risk, strategic and operational risks.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Aside from maintaining our ECM and overseeing our risk tolerance framework, our SVP of Finance &amp; ERM works with our ERM Committee to review and maintain a comprehensive risk register with accountabilities to ensure appropriate mitigations are in place and are monitored for any change. The top 10 risks are further identified and quantified by the SVP of Finance &amp; ERM and the ERM Committee and reviewed every quarter. The SVP of Finance &amp; ERM and the ERM Committee submit these reports to the Risk Committee on a regular basis.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construct our operational processes and controls with a view to identify, assess and manage key risks on an ongoing basis. For example, our Underwriting Committee is responsible for overseeing changes in risk appetite, and product line and division expansion. Within Claims, we diligently monitor our claims handling practices against guidelines through regular internal audits, conduct monthly large loss reviews, and maintain and monitor a watchlist of potential high severity claims. Within Actuarial, we perform quarterly reserve studies, and our Reserve Committee meets each quarter to review and respond to trends in loss emergence. Any key observations are subsequently discussed with the CEO. Monthly and quarterly our underwriting divisions assess rate change and retention on existing business, new business quality and pricing adequacy, and loss emergence as compared to expected. Our SkyBI platform provides real-time portfolio, underwriting, claims and actuarial analytics which is critical to ensuring that the above processes achieve the desired outcome.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Altogether, our ERM is at the center of our decision making and our day-to-day activities. It is a central component to our strategy to achieve market leading risk adjusted returns for our shareholders.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reserves for specific claims incurred and reported, IBNR reserves and reserves for uncollectible reinsurance when appropriate. Our ultimate liability may be greater or less than the current reserves. In the insurance industry, there is always the risk that reserves may prove inadequate. We continually monitor reserves using new information on reported claims and a variety of statistical analyses. Anticipated inflation is reflected implicitly in the reserving process through analysis of cost trends and the review of historical development. We do not discount our reserves for losses and LAE to reflect estimated present value.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a claim is reported, we establish a case reserve for the estimated amount of the ultimate payment after an appropriate assessment of coverage, damages and other investigation as applicable. The estimate is based on our reserving practices and on the claims adjuster’s experience and knowledge of the nature and value of the specific type of claim. Case reserves are revised periodically based on subsequent developments associated with each claim. See the section entitled “Claims Management” included in this Item 1 for more information.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establish IBNR reserves in accordance with industry practice to provide for (i) the estimated amount of future loss payments on incurred claims not yet reported, and (ii) potential development on reported claims. IBNR reserves are estimated based on generally accepted actuarial reserving techniques that take into account quantitative loss experience data and, where appropriate, qualitative factors.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regularly review our loss reserves using a variety of actuarial techniques. We also update the reserve estimates as historical loss experience develops, additional claims are reported and/or settled and new information becomes available. A reserve can be increased or decreased over time as claims move towards settlement, which can impact earnings in the form of either adverse development or reserve releases. For additional information regarding our loss reserves, see Item 7 of this Form 10-K, “Management’s Discussion and Analysis of Financial Condition and Results of Operations - “Results of Operations - Losses and LAE” and “Critical Accounting Policies.”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a balanced investment portfolio predominantly composed of investments that generate predictable and stable returns, augmented by select strategic investments that generate attractive risk-adjusted returns. Our investment allocation strategy utilizes an Enterprise Based Asset Allocation model. This model, which is embedded in our Economic Capital Model (see ERM discussion included in this Item 1), allows us to understand the impact of our investment allocation decisions on our capital, liquidity and risk profile across a range of market scenarios.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actively manage and monitor our investment risk to balance the goals of stable growth and liquidity with our need to comply with the insurance regulatory and rating agency frameworks within which we operate. Our portfolio is mainly comprised of cash and cash equivalents and investment-grade fixed-maturity securities, supplemented by additional investments that fit our risk appetite.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Investment Committee of our Board of Directors reviews and approves our investment policy and strategy. This committee meets quarterly to review and consider investment activities, tactics, and new investment opportunities. The portfolio is directed internally and includes both self-managed investments and portfolios managed by select third-party investment management firms.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discussion regarding our investments, including the market risks related to our investment portfolio, see Item 7 of this Form 10-K, “Management’s Discussion and Analysis of Financial Condition and Results of Operations—Investments.”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specialty lines property &amp; casualty insurance market consists of many markets and sub-markets. Each market is characterized by distinct customer needs and product and services to meet those needs, and specific economic and structural features. We face competition in our underwriting divisions from other specialty and standard insurers as well as program administrators. Competition is based on many factors including pricing of coverage, the general reputation and perceived financial strength of the company, relationships with brokers, terms and conditions of products offered, ratings assigned by independent rating agencies, speed of claims payment and reputation, and the experience and reputation of the members of the underwriting and claims teams. Given the diversity of our underwriting divisions, our competition is broad and certain competitors may be specific to only a subset of our divisions. Some of our notable competitors include: Markel Corporation; W.R. Berkley Corporation; American Financial Group Inc.; Tokio Marine Holdings, Inc.; CNA Financial Corporation; Hiscox, Ltd.; RLI Corp.; Intact Finance Corporation; and Kinsale Capital Group, Inc.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conduct our operations principally through four insurance companies: Great Midwest Insurance Company (“GMIC”), our largest insurance subsidiary, underwrites multiple lines of insurance on an admitted basis in all 50 states and the District of Columbia and is a certified surety bond company listed with the Department of the Treasury. Houston Specialty Company (“HSIC”), a subsidiary of GMIC, underwrites multiple lines of insurance on a surplus lines basis in 50 states, the District of Columbia and select foreign countries. Imperium Insurance Company (“IIC”), a subsidiary of HSIC, underwrites on an admitted basis in all 50 states and the District of Columbia. Oklahoma Specialty Insurance Company (“OSIC”), a subsidiary of IIC, is an approved surplus lines company in 49 states and the District of Columbia. Effective December 31, 2024, we restacked our insurance company subsidiaries into the aforementioned organizational structure, which allowed us to provide our growing surety business with the capital it needed to operate more effectively within the surety T-listing market.</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geographic distribution of our gross written premiums for the year ended December 31, 2024:</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9540" w:type="dxa"/>
            <w:vAlign w:val="bottom"/>
            <w:tcBorders>
              <w:top w:val="single" w:sz="8" w:color="auto"/>
              <w:bottom w:val="single" w:sz="8" w:color="CCEEFF"/>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11.2 %</w:t>
            </w:r>
          </w:p>
        </w:tc>
      </w:tr>
      <w:tr>
        <w:trPr>
          <w:trHeight w:val="230"/>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29"/>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w:t>
            </w:r>
          </w:p>
        </w:tc>
      </w:tr>
      <w:tr>
        <w:trPr>
          <w:trHeight w:val="229"/>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30"/>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229"/>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29"/>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30"/>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29"/>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30"/>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29"/>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states</w:t>
            </w: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41.5</w:t>
            </w:r>
          </w:p>
        </w:tc>
      </w:tr>
      <w:tr>
        <w:trPr>
          <w:trHeight w:val="223"/>
        </w:trPr>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95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
        </w:trPr>
        <w:tc>
          <w:tcPr>
            <w:tcW w:w="9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primary insurance companies, we also own Skyward Re, a wholly-owned captive reinsurance company domiciled in the Cayman Islands that was incorporated on January 7, 2020. Skyward Re was established to facilitate the LPT which was commuted effective January 31, 2025. We also operate three non-insurance companies: Skyward Underwriters Agency, Inc., a licensed agent, managing general agent and reinsurance broker, Skyward Service Company, which provides various administrative services to our subsidiaries and Skyward Specialty No. 1 Limited Company, a UK company which is an authorized Lloyd’s corporate member.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organizational structure is set forth below. Each entity is wholly-owned by its immediate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657850" cy="3608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insurance group, Skyward Specialty Insurance Group, Inc. currently has a rating of “A” (Excellent) with stable outlook from A.M. Best, which rates insurance companies based on factors of concern to policyholders. A.M. Best currently assigns 13 ratings to insurance companies, which currently range from “A++” (Superior) to “D” (Poor). The “A” (Excellent) rating is the third highest rating. In evaluating a company’s financial and operating performance, A.M. Best reviews a company’s profitability, leverage, and liquidity, as well as its book of business, the adequacy and soundness of its reinsurance, the quality and estimated market value of its assets, the adequacy of its losses and loss expense reserves, the adequacy of its surplus, its capital structure, the experience and competence of its management and its market presence. A.M. Best’s ratings reflect its opinion of an insurance company’s financial strength, operating performance, and ability to meet its obligations to policyholders. These ratings are based on factors relevant to policyholders, agents, insurance brokers and intermediaries and are not specifically related to securities issued by the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Regulation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regulated by insurance regulatory authorities in the states in which we conduct business. State insurance laws and regulations generally are designed to protect the interests of policyholders, consumers and claimants rather than stockholders or other investors. The nature and extent of state regulation varies by jurisdiction, and state insurance regulators generally have broad administrative power relating to, among other matters, setting capital and surplus requirements, licensing of insurers and insurance producers, review and approval of product forms and rates, establishing standards for reserve adequacy, prescribing statutory accounting methods and the form and content of statutory financial reports, regulating certain transactions with affiliates and prescribing types and amounts of investments.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Regulation of insurance companies constantly changes as governmental agencies and legislatures react to real or perceived issues. In recent years, some state legislatures have considered or enacted laws that alter and, in many cases, increase, state authority to regulate insurance companies and insurance holding company systems, as a protection against federal involvement. Further, the National Association of Insurance Commissioners (“NAIC”) and some state insurance regulators are re-examining existing laws and regulations specifically focusing on issues relating to the solvency of insurance companies, interpretations of existing laws and the development of new laws. In addition, although the federal government does not directly regulate the business of insurance, federal initiatives often affect the insurance industry in a</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variety of ways, such as treatment of federal subsidiaries, regulations of quasi-governmental entities and regulations issued by federal governmental departments.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Holding Company Regulation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operate as an insurance holding company system and are subject to the insurance holding company laws of the State of Texas, the state in which our primary insurance companies are domiciled, as well as those of Oklahoma. These statutes require that each insurance company in the system register with the insurance department of its state of domicile and furnish information concerning the operations of companies within the holding company system that may materially affect the operations, management or financial condition of the insurers within the system and domiciled in that state. These statutes also provide that all transactions among members of a holding company system must be fair and reasonable. Transactions between insurance subsidiaries and their parents and affiliates generally must be disclosed to the state regulators, and notice to or prior approval of the applicable state insurance regulator generally is required for any material or extraordinary transaction.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applied for various trademark registrations in the United States at both federal and state levels. We will pursue additional trademark registrations and other intellectual property protection to the extent we believe it would be beneficial and cost effective.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monitor our trademarks and service marks and protect them from unauthorized use as necessary.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580 employees. Our employees are not subject to any collective bargaining agreement, and we are not aware of any current efforts to implement such an agreement. We believe we have good working relations with our employees. We aim to be an employer of choice, and not just for insurance. As such, we strive to create a culture committed to fostering a rich diversity of thought, background and perspective.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strive to cultivate an exceptional workforce to perpetuate our ownership culture and continue to achieve superior business results. Our goal is to attract, develop and retain the best talent from diverse backgrounds, while promoting a culture where different viewpoints are valued and individuals feel respected, are treated fairly and have an opportunity to excel in their chosen careers.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offer and maintain a competitive benefits package designed to support the well-being of our employees, including, but not limited to, medical, dental and vision insurance, a 401(k) plan, paid time off, family leave, employee assistance programs as well as an employee stock purchase plan available to all employees. We also emphasize the training and development of our employees and provide opportunities to further their education and professional development. We know that we cannot win at our business unless we first win with our people.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report, including our consolidated financial statements and related notes, as well as in our other filings with the SEC, in evaluating our business and before investing in our common stock. The risks and uncertainties described below are not the only ones we face. Additional risks and uncertainties that are not expressly stated, that we are unaware of, or that we currently believe are not material, may also become important factors that affect us. If any of the following risks occur, our business, operating results, financial condition and prospects could be materially harmed. In that event, the price of our common stock could decline, and you could lose part or all of your investment.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Among others, these risks relate to:</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operations could be materially adversely affected if we do not accurately assess our underwriting risk;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business in our industry is intense;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depends on insurance retail agents and brokers, wholesalers and program administrators, we are exposed to certain risks arising out of our reliance on these distribution channels that could adversely affect our results;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purchase third-party reinsurance in amounts we desire on commercially acceptable terms or on terms that adequately protect us, and this inability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losses and loss expense reserves may be inadequate to cover our actual losses, which could have a material adverse effect on our financial condition, results of operations and cash flows;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may adversely affect the amount of business we write;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reimburse us for claims on a timely basis, or at all, which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and timely pay claims could materially and adversely affect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business is historically cyclical in nature, which may affect our financial performance and cause our operating results to vary from quarter to quarter and may not be indicative of future performance;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may adversely affect our ability to achieve our business objectives; failure to comply with these regulations could subject us to penalties, including fines and suspensions, which may adversely affect our financial condition and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adversely affected by the loss of one or more key personnel or by an inability to attract and retain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and management systems and remediate material weaknesses;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will increase significantly as a result of operating as a public company, and our management will be required to devote substantial time to complying with public company regulations.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be materially adversely affected if we do not accurately assess our underwriting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underwriting success is dependent on our ability to accurately assess the risks associated with the business we write and retain. We rely on the experience of our underwriting staff in assessing those risks. If we misunderstand the nature or extent of the risks, we may fail to establish appropriate premium rates which could adversely affect our financial results. In addition, our employees, including members of management and underwriters, make decisions and choices in the ordinary course of business that involve exposing us to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In particular, competition in the insurance industry is based on many factors, including price of coverage, the general reputation and perceived financial strength of the company, relationships with distribution partners, terms and conditions of products offered, ratings assigned by independent rating agencies, speed of claims payment and reputation, and the experience and reputation of the members of our underwriting team in the particular lines of insurance and reinsurance we seek to underwrite. In recent years, the insurance industry has undergone increasing consolidation, which may further increase competition. In addition, a number of new, proposed or potential industry or legislative developments could further increase competition in our industry.</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retail agents, brokers, wholesalers and program administrators, we are exposed to certain risks arising out of our reliance on these distribution channels that could adversely affect our results.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our products are ultimately distributed through independent retail agents and brokers who have the principal relationships with policyholders. Retail agents and brokers generally own the “renewal rights,” and thus our business model is dependent on our relationships with, and the success of, the retail agents and brokers with whom we do business. Further, we are also dependent on the relationships our wholesalers and program administrators maintain with the agents and brokers from whom they source their business.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relationship with our retail agents, brokers, wholesalers and program administrators may be discontinued at any time. Even if the relationships do continue, they may not be on terms that are profitable for us. For example, as insurance distribution firms continue to consolidate, their ability to influence commission rates may increase as may the concentration of business we have with a particular broker. Further, certain premiums from policyholders, where the business is produced by brokers, are collected directly by the brokers and remitted to us. In certain jurisdictions, when the insured pays its policy premium to its broker for payment on behalf of our insurance subsidiary, the premium might be considered to have been paid under applicable insurance laws and regulations. Accordingly, the insured would no longer be liable to us for those amounts, whether or not we have actually received the premium from that broker. Consequently, we assume a degree of credit risk associated with the brokers with which we work.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Similarly, if we are limited in our ability to cancel policies for non-payment, our underwriting profits may decline and our financial condition and results of operations could be materially and adversely affected.</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review the financial condition of potential new brokers before we agree to transact business with them, and we periodically review the agencies, brokers, wholesalers and program administrators with whom we do business to identify those that do not meet our profitability standards or are not aligned with our business objectives. Following these periodic reviews, we may restrict such distributors’ access to certain types of products or terminate our relationship with them, subject to applicable contractual and regulatory requirements that limit our ability to terminate agents or require us to renew policies. Even through the utilization of these measures, we may not achieve the desired results.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we rely on these distributors as our sales channel, any deterioration in the relationships with our distributors or failure to provide competitive compensation could lead our distributors to place more premium with other carriers and less premium with us. In addition, we could be adversely affected if the distributors with whom we do business exceed their granted authority, fail to transfer collected premium to us or breach the obligations that they owe to us. Although we routinely monitor our distribution relationships, such actions could expose us to liability.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Also, if insurance distribution firm consolidation continues at its current pace or increases in the future, our sales channels could be materially affected in a number of ways, including loss of market access or market share in certain geographic areas. Specifically, we could be negatively affected due to loss of talent as the people most knowledgeable about our products and with whom we have developed strong working relationships exit the business following an acquisition, or increases in our commission costs as larger distributors acquire more negotiating leverage over their fees. Any such disruption that materially affects our sales channel could have a negative impact on our results of operations and financial condition.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speed of digitization accelerates, we are subject to risks associated with both our distributors and their ability to keep pace. In an increasingly digital world, distributors who cannot provide a digital or technology-driven experience risk losing customers who demand such an experience, and such customers may choose to utilize more technology-driven distributors.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third-party reinsurance in amounts we desire on commercially acceptable terms or on terms that adequately protect us, and this inability may materially adversely affect our business, financial condition and results of operations.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Reinsurance involves transferring, or ceding, a portion of our risk exposure on policies that we write to another insurer, the reinsurer, in exchange for a cost. If we are unable to renew our expiring contracts, enter into new reinsurance arrangements on acceptable terms or expand our coverage, our loss exposure could increase, which would increase our potential losses related to loss events. If we are unwilling to bear an increase in loss exposure, we may need to reduce the level of our underwriting commitments, both of which could materially adversely affect our business, financial condition and results of operations.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situations in which reinsurers may exclude certain coverages from, or alter terms in, the reinsurance contracts we enter into with them. As a result, we, like other insurance companies, could write insurance policies which to some extent do not have the benefit of reinsurance protection. These gaps in reinsurance protection expose us to greater risk and greater potential losses.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losses and loss expense reserves may be inadequate to cover our actual losses, which could have a material adverse effect on our financial condition, results of operations and cash flows.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accurately assess the risks related to the businesses and people that we insure. We establish losses and LAE reserves for the best estimate of the ultimate payment of all claims that have been incurred, or could be incurred in the future, and the related costs of adjusting those claims, as of the date of our financial statements. Reserves do not represent an exact calculation of liability. Rather, reserves represent an estimate of what we expect the ultimate settlement and administration of claims will cost us, and our ultimate liability may be greater or less than our estimate.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part of the reserving process, we review historical data and consider the impact of such factors as:</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inflation, which is the sustained increase in cost of raw materials, labor, medical services and other components of claims cost;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development patterns by line of business, as well as frequency and severity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economic patterns;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judicial and regulatory trends.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variables are affected by both internal and external events that could increase our exposure to losses, and we continually monitor our loss reserves using new information on reported claims and a variety of statistical techniques and modeling simulations. This process assumes that past experience, adjusted for the effects of current developments, anticipated trends and market conditions, is an appropriate basis for predicting future events. There is, however, no precise method for evaluating the impact of any specific factor on the adequacy of loss reserves, and actual results may deviate, perhaps substantially, from our reserve estimates. For instance, the following uncertainties may have an impact on the adequacy of our reserves:</w:t>
      </w:r>
    </w:p>
    <w:p>
      <w:pPr>
        <w:spacing w:after="0" w:line="75"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claim is received, it may take considerable time to appreciate fully the extent of the covered loss suffered by the insured and, consequently, estimates of loss associated with specific claims can increase over time.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Consequently, estimates of loss associated with specified claims can change as new information emerges, which could cause the reserves for the claim to become inadequate.</w:t>
      </w:r>
    </w:p>
    <w:p>
      <w:pPr>
        <w:spacing w:after="0" w:line="54"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theories of liability are enforced retroactively from time to time by courts. The failure of any of the loss limitations or exclusions we employ, or changes in other claims or coverage issues, could have a material adverse effect on our financial condition or results of operations.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financial markets, economic events and other external factors may result in an increase in the number of claims and/or severity of the claims reported. In addition, elevated inflationary conditions would, among other things, cause loss costs to increase. 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due to “social inflation,” including continued increase of medical and material costs, more costly technology in vehicles, supply chain disruptions, more involvement of attorneys in claims matters, third-party financing of litigation, lawsuit abuse and other factors, all of which could increase the frequency and severity of claims and affect the adequacy of our loss reserves.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claims were to become more frequent, even if we had no liability for those claims, the cost of evaluating and handling such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any of our reserves should prove to be inadequate, we will be required to increase our reserves resulting in a reduction in our net income and stockholders’ equity in the period in which the deficiency is identified.</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Future loss experience substantially in excess of established reserves could also have a material adverse effect on our future earnings and liquidity and our financial rating.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the date of this filing, A.M. Best has assigned a financial strength rating of “A” (Excellent) with stable outlook to us. A.M. Best assigns ratings that are intended to provide an independent opinion of an insurance company’s ability to meet its obligations to policyholders and is not an evaluation directed to investors and is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at its discretion based primarily on its analyses of our balance sheet strength, operating performance and business profile. There are specific building blocks A.M. Best reviews, including capital adequacy, operating performance, operating profile and ERM, as well as other factors that could affect its analyses such as:</w:t>
      </w:r>
    </w:p>
    <w:p>
      <w:pPr>
        <w:spacing w:after="0" w:line="8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 our liquidity is limited;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54" w:lineRule="exact"/>
        <w:rPr>
          <w:sz w:val="20"/>
          <w:szCs w:val="20"/>
          <w:color w:val="auto"/>
        </w:rPr>
      </w:pPr>
    </w:p>
    <w:p>
      <w:pPr>
        <w:ind w:left="5540" w:right="2500" w:hanging="5208"/>
        <w:spacing w:after="0" w:line="970"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highly-rated competitors;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can be no assurances that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LAE,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reimburse us for claims on a timely basis, or at all, which may materially adversely affect our business, financial condition and results of operations.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reinsurance contracts that we enter into to help manage our risks require us to pay premiums to the reinsurance carriers who will in turn reimburse us for a portion of covered policy claims. In many cases, a reinsurer will be called upon to reimburse us for policy claims many years after we paid insurance premiums to the insurer. Although reinsurance makes the reinsurer liable to us to the extent the risk is transferred or ceded to the reinsurer, it does not relieve us (the ceding insurer) of our primary liability to our policyholders. Our current reinsurance program is designed to limit our financial risk. However, our reinsurers may not pay claims we incur on a timely basis, or they may not pay some or all of these claims. For example, reinsurers may default in their financial obligations to us as the result of insolvency, lack of liquidity, operational failure, political and/or regulatory prohibitions,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These risks could cause us to incur increased net losses, and, therefore, adversely affect our financial condition. As of December 31, 2024, we had $857.9 million of reinsurance recoverables.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pay claims could materially and adversely affect our business, financial condition, results of operations, and prospects.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must accurately and timely evaluate and pay claims that are made under our policies. Many factors affect our ability to pay claims accurately and timely, including the training and experience of our claims representatives, including our TPAs, the effectiveness of our management, and our ability to develop or select and implement appropriate procedures and systems to support our claims functions and other factors. Our failure to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internal staff or TPAs are unable to effectively handle our volume of claims, our ability to handle an increasing workload could be adversely affected. In addition to potentially requiring that growth be slowed in the affected markets, our business could suffer from decreased quality of claims work which, in turn, could adversely affect our operating margins.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Severe weather conditions, including the effects of climate change, catastrophes, pandemic, as well as man-made event events may adversely affect our business, results of operations and financial condition.</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exposed to the risk of severe weather conditions, earthquakes and man-made catastrophes. Catastrophes can be caused by various events, including natural events such as severe winter weather, severe convective storms/tornadoes, windstorms, earthquakes, hailstorms, severe thunderstorms and fires, or man-made events such as explosions, war, terrorist attacks and riots. Over the past several years, changing weather patterns and climatic conditions, such as global warming, have added to the unpredictability and frequency of natural disasters in certain parts of the world, including in areas that have not historically been exposed to natural disasters and in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as well as drought conditions that increase wildfire risks. The occurrence of a natural disaster or other catastrophe loss could materially adversely affect our business, financial condition, and results of operations. This may include catastrophes even where we do not insure against the loss, such as the 2025 California wildfires, as homes and businesses lost or damaged due to catastrophe may otherwise cancel our policies following such event. Additionally, any increased frequency and severity of such weather events, including hurricanes or convective storms (which are difficult to model with current tools), could have a material adverse effect on our ability to predict, quantify, reinsure and manage catastrophe risk and may materially increase our losses resulting from such catastrophe events.</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incidence and severity of catastrophes and severe weather conditions are inherently unpredictable. We manage our exposure to losses by analyzing the probability and severity of the occurrence of loss events and the impact of such events on our overall underwriting and investment portfolio. However, we may be impacted indirectly in instances where businesses we insure are impacted by catastrophes that we have no direct exposure to but as a result they are unable or unwilling to continue paying premiums on our other product offerings. In addition, our inability to obtain reinsurance coverage at reasonable rates and in amounts adequate to mitigate the risks associated with severe weather conditions and other catastrophes could have a material adverse effect on our business and results of operations.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also exposed to the risk of pandemics, outbreaks, public health crises, and geopolitical and social events, and their related effects. While policy terms and conditions in the lines of business written by us would be expected to preclude coverage for virus-related claims, like the COVID-19 pandemic, court decisions and governmental actions may challenge the validity of any exclusions or our interpretation of how such terms and conditions operate.</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impacts that environmental incidents have on our business, changes to law and regulation related to climate change could also directly affect our business. The current administration made comments during their election campaign suggesting that it was not supportive of various clean energy programs and initiatives, including the United Nations (“U.N.”) Framework Convention on Climate Change, designed to curtail global warming. On January 20, 2025, President Trump signed an executive order to withdraw the U.S. from the Paris Agreement, marking a significant shift in U.S. climate policy. It remains unclear what further actions the current administration may take with respect to domestic and international programs and initiatives, and what support the administration would have for any potential changes to such legislative programs and initiatives in the U.N. or the U.S. Congress. Changes in federal, state, and local legislation and regulation based on concerns about climate change cannot be predicted but could have a material adverse effect on our business, operational and financial results.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pre-established guidelines, our results of operations could be adversely affected.</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they in turn, sell our insurance products to insureds through retail agents and brokers. These program administrators can bind certain risks without our initial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LAE. Such actions could adversely affect our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contracts or new business from repeat insureds do not meet expectations, our written premium in future years and our future results of operations could be materially adversely affected.</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Most of our contracts are written for a one-year term and are renewable. We also have certain insurance contracts which themselves do not renew, but the insureds are repeat insureds with regular new insurance contracts. In our financial forecasting process, we make assumptions about the rates of renewal of our prior year’s contracts and business from repeat insureds. The insurance and reinsurance industries have historically been cyclical businesses with intense competition,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often based on price. If actual renewals and repeat business do not meet expectations or if we choose not to write renewals or accept repeat business because of pricing conditions, our written premium in future years and our future operations would be materially adversely affected.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public attention to environmental, social and governance matters may expose us to negative public perception, cause reputational harm, impose additional costs on our business or impact our stock price.</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Recently, more attention is being directed towards publicly traded companies regarding environmental, social and governance (“ESG”) matters. A failure, or perceived failure, to respond to investor or customer expectations related to ESG concerns could cause harm to our business and reputation. Alternatively, there could be backlash by investors or customers relating to ESG related topics which could cause harm to our business and reputation. Damage to our reputation as a result of our provision of policies to certain insureds could result in decreased demand for our insurance products and could have a material adverse effect on our business, operational results and financial results, as well as require additional resources to rebuild our reputation, competitive position and brand strength.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are required to comply with statutory accounting principles, or SAP. SAP and various components of SAP are subject to constant review by the NAIC and its task forces and committees, as well as state insurance departments, in an effort to address emerging issues and otherwise improve financial reporting. Various proposals are pending before committees and task forces of the NAIC, some of which, if enacted and adopted on a state level,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Market and Economic Conditions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Factors, such as business revenue,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is generally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existing insurance policies, modify their coverage or not renew the policies they hold with us. Existing policyholders may exaggerate or even falsify claims to obtain higher claims payments. In addition, if certain segments of the economy, such as the construction, credit markets or energy production and servicing segments (which would affect several of our underwriting divisions at one time) were to significantly collapse, it could adversely affect our results. These outcomes would reduce our underwriting profit to the extent these factors are not reflected in the rates we charge.</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business is historically cyclical in nature, which may affect our financial performance and cause our operating results to vary from quarter to quarter and may not be indicative of future performance.</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insurance carriers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(soft market cycle) as well as periods when shortages of capacity increased premium levels (hard market cycle). Demand for insurance depends on numerous factors, including the frequency and severity of catastrophic events, levels of capacity, the introduction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capital providers and general economic conditions. All of these factors fluctuate and may contribute to price declines generally in the insurance industry.</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an individual insurance company’s financial performance depends on its own specific business characteristics, the profitability of most P&amp;C insurance companies tends to follow this cyclical market pattern with higher gross written premium growth and improved profitability during hard market cycles. Further, this cyclical market pattern can be more pronounced in the E&amp;S market than in the standard insurance market. When the standard insurance market hardens, the E&amp;S market typically hardens, and growth in the E&amp;S market can be significantly more rapid than growth in the standard insurance market. Similarly, when conditions begin to soften, many customers that were previously driven into the E&amp;S market may return to the admitted market, exacerbating the effects of rate decreases on our financial results. Finally, the market may experience “micro cycles” where certain areas of the market harden or soften independently of the market as a whole, and perhaps at a more drastic rate. As a result, our operating results are subject to fluctuation and have historically varied from quarter to quarter. We expect our quarterly results will continue to fluctuate in the future due to a number of factors, including the general economic conditions in the markets where we operate, the frequency of occurrence or severity of catastrophe or other insured events, fluctuating interest rates, claims exceeding our loss reserves, competition in our industry, deviations from expected premium retention rates of our existing policies and contracts, adverse investment performance, and the cost of reinsurance coverage.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professional investment advisory management firms in accordance with our investment policy and routinely reviewed by our Investment Committee. However, our investments are subject to general economic conditions and market risks as well as risks inherent to specific securities. Our primary market risk exposures are to changes in interest rates and equity prices. See the section entitled “Management’s Discussion and Analysis of Financial Condition and Results of Operations - Investments - Market Risk.”</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significant amount of our investment portfolio is invested in fixed maturity securities, or separately managed accounts and limited partnerships invested primarily in fixed maturity securities. Interest rates rose materially during 2022 and 2023. Should interest rates decline, including as a result of steps taken by the federal government to slow inflation, such as the recent rate cuts and the passage of the Inflation Reduction Act of 2022, a low interest rate environment would place pressure on our net investment income, particularly as it relates to these securities and short-term investments, which, in turn, may adversely affect our operating results. Recent and future increases in interest rates could cause the values of our fixed income securities portfolios to decline, with the magnitude of the decline depending on the duration of securities included in our portfolio and the amount by which interest rates increase. Some fixed income securities have call or prepayment options, which create possible reinvestment risk in declining rate environments. Other fixed income securities, such as mortgage-backed and other asset-backed securities, carry prepayment risk or, in a rising interest rate environment, may not prepay as quickly as expected.</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our fixed maturity securities, including those held in separately managed accounts and limited partnerships, are subject to credit risk. Credit risk is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maturity securities (where rated) could also have a significant negative effect on the market valuation of such securities.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invest in marketable preferred and common equity securities and exchange traded funds. These securities are carried on the balance sheet at fair market value and are subject to potential losses and declines in market value.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above market and credit risks could reduce our net investment income and result in realized investment losses. Our investment portfolio is subject to increased valuation uncertainties when investment markets are illiquid, as is the case with our fixed maturity securities held to maturity, separately managed accounts, and limited partnership investments. The valuation of investments is more subjective when markets are illiquid, thereby increasing the risk that the estimated fair value (i.e., the carrying amount) of the securities we hold in our portfolio do not reflect prices at which actual transactions would occur.</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Texas Department of Insurance, and the Oklahoma Department of Insurance. In addition, our Investment Committee periodically reviews our Enterprise Based Asset Allocation models to assist in overall risk management.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LAE reserves to provide sufficient liquidity and avoid having to liquidate investments to fund claims. Risks such as inadequate losses and LAE reserves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primary insurance subsidiaries, GMIC, HSIC and IIC, are subject to extensive regulation in Texas, their state of domicile, and to a lesser degree, the other states in which they operate. 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of our business objectives.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are part of an “insurance holding company system” within the meaning of applicable Texas statutes and regulations. As a result of such status, certain transactions between our insurance subsidiaries and one or more of their affiliates may not be effected unless the insurer has provided notice of that transaction to the Texas Department of Insurance. These prior notification requirements may result in business delays and additional business expenses. If our insurance subsidiaries fail to file a required notification or fail to comply with other applicable insurance regulations in Texas, we may be subject to significant fines and penalties and our working relationship with the Texas Department of Insurance may be impaired.</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state insurance regulators have broad discretion to deny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in their state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are subject to risk-based capital requirements, based upon the “risk based capital model” adopted by the NAIC, and other minimum capital and surplus restrictions imposed under Texas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to maintain our risk-based capital at the required levels could adversely affect the ability of our insurance subsidiary to maintain regulatory authority to conduct our business and our A.M. Best Rating.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which may have a material adverse impact on our business.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by changes in laws, including those relating to asset and reserve valuation requirements, surplus requirements, limitations on investments and dividends, enterprise risk and risk-based capital requirements. The U.S. federal government generally has not directly regulated the insurance industry except for certain areas of the market, such as insurance for flood, nuclear and terrorism risks, but could consider legislation in several areas that may affect the insurance industry, including privatization of government entities such as Freddie Mac or Fannie Mae, reduction in federal subsidiaries for certain businesses, such as agriculture, tort reform, corporate governance and the taxation of reinsurance companies.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the U.S. tax laws and implementation of new tax policies could have a significant negative impact on the overall economy and our business.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Legislative or other actions relating to taxes could have a negative effect on us, our investments, or our stockholders. The rules dealing with U.S. federal income taxation are constantly under review by persons involved in the legislative process and by the IRS and the U.S. Department of the Treasury. We cannot predict with certainty how any changes in the tax laws might affect us, our stockholders, or our portfolio investments. New legislation and any U.S. Treasury regulations, administrative interpretations or court decisions interpreting such legislation could have other adverse consequences. Stockholders are urged to consult with their tax advisors regarding tax legislative, regulatory, or administrative developments and proposals and their potential effect on an investment in our securities.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current administration has included as part of its agenda a potential reform of U.S. tax laws. The details of the potential reform have not yet emerged, but several intended reforms have been outlined, including reducing the corporate tax rate, extending certain provisions of the Tax Cuts and Jobs Act of 2017 (“TCJA”), and imposing new tariffs. The combined impact of extending certain tax benefits pursuant to the TCJA and the implementation of new tariffs could potentially lead to increases in the U.S. deficit, inflation, and interest rates, all of which could contribute to increases in market interest rates and a decrease in U.S. economic growth with a possibility of a recession, all of which could negatively impact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had gross federal income tax net operating losses, or NOLs, of approximately $44.7 million available to offset our future taxable income, if any, prior to consideration of annual limitations that may be imposed under Section 382 of the Internal Revenue Code of 1986, as amended, or the Code, or otherwise. These NOLs are set to expire beginning in 2032.</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Section 382 of the Code, if a corporation undergoes an “ownership change” (very generally defined as a greater than 50% change, by value, in the corporation’s equity ownership by certain stockholders or groups of stockholders over a rolling three-year period), the corporation’s ability to use its pre-ownership change NOLs to offset its post-ownership change income may be limited. We may experience ownership changes in the future as a result of subsequent shifts in our stock ownership, some of which may be outside of our control. Future regulatory changes could also limit our ability to utilize our NOLs. To the extent we are not able to offset future taxable income with our NOLs, our net income and cash flows may be adversely affected.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of our operations are conducted by our insurance subsidiaries, our ability to achieve liquidity at the holding company, including the ability to pay dividends and service our debt obligations, depends on our ability to obtain cash dividends or other permitted payments from our insurance subsidiaries.</w:t>
      </w:r>
    </w:p>
    <w:p>
      <w:pPr>
        <w:spacing w:after="0" w:line="5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Accordingly, we do not intend to declare and pay cash dividends on shares of our common stock in the foreseeable future. Because we are a holding company with no business operations of our own, our ability to pay dividends to stockholders and meet our debt payment obligations largely depends on dividends and other distributions from our primary insurance subsidiaries, GMIC, HSIC, and IIC. State insurance laws, including the laws of Texas restrict the ability of GMIC, HSIC, and IIC to determine how we declare stockholder dividends. State insurance regulators require insurance companies to maintain specified levels of statutory capital and surplus. Dividend payments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our insurance subsidiaries may in the future adopt statutory provisions more restrictive than those currently in effect.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contractual restrictions pursuant to our debt agreements,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applicable Texas insurance laws and regulations, no person may acquire control of a domestic insurer until written approval is obtained from the state insurance commissioner on the proposed acquisition. Such approval would be contingent upon the state insurance commissioner’s consideration of a number of factors including, among others, the financial strength of the proposed acquirer, the acquirer’s plans for the future operations of the domestic insurer and any anti-competitive results that may arise from the consummation of the acquisition of control. Texas insurance laws and regulations pertaining to changes of control apply to both the direct and indirect acquisition of ten percent or more of the voting stock of a Texas-domiciled insurer. Accordingly, the acquisition of ten percent or more of our common stock would be considered an indirect change of control of Skyward Specialty and would trigger the applicable change of control filing requirements under Texas insurance laws and regulations, absent a disclaimer of control filing and its acceptance by the Texas Insurance Department. These requirements may discourage potential acquisition proposals and may delay, deter or prevent a change of control of Skyward Specialty, including through transactions that some or all of the stockholders of Skyward Specialty might consider to be desirable.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Liquidity and Access to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To the extent that cash flows generated by our operations are insufficient to fund future operating requirements and cover claim losses, or that our capital position is adversely impacted by a decline in the fair value of our investment portfolio, losses from catastrophe events or otherwise, we may need to raise additional funds through financings or curtail our growth. Many factors will affect the amount and timing of our capital needs, including our growth rate and profitability, our claims experience, and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may be subject to covenants that restrict our ability to freely operate our business. In any case, such securities may have rights, preferences and privileges that are senior to those of the shares of our common stock. If we cannot obtain adequate capital on favorable terms or at all, we may not have sufficient funds to implement our operating plans and our business, financial condition or results of operations could be materially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personnel or by an inability to attract and retain qualified personnel.</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and seasoned personnel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Should any of our key personnel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cyberattacks, and other information technology failures could disrupt our operations, damage our reputation, and adversely affect our business, operations, and financial results.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and claims systems. We rely on these systems to interact with brokers and insureds, to underwrite business, to prepare policies and process premiums, to perform actuarial and other modeling functions, to process claims and make claims payments, and to prepare internal and external financial statements. Some of these systems may include or rely on third-party systems not located on our premises or under our control. Events such as natural catastrophes, terrorist attacks,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industrial accidents, computer viruses and other cyber-attacks may cause our systems to fail or be inaccessible for extended periods of time. While we have implemented business contingency plans and other reasonable plans to protect our systems, whether housed internally or through third-party cloud services,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Computer viruses, hackers, employee misconduct, and other external hazards could expose our systems to security breaches, cyber-attacks or other disruptions. While we have implemented security measures designed to protect against breaches of security and other interference with our systems and networks, our systems and networks may be subject to breaches or interference and we, and our third-party service providers, will likely continue to experience cybersecurity incidents of varying degrees. Any such event may result in operational disruptions as well as unauthorized access to, the disclosure of,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or other damage to our business. In addition, SEC and state law requirements regarding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or other security measures protecting the networks and systems used in connection with our business.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Third parties to whom we outsource certain of our functions are also subject to these risks. While we review and assess our third-party providers’ cybersecurity controls, as appropriate, and make changes to our business processes to manage these risks, we cannot ensure that our attempts to keep systems from being compromised and confidential information from being disclosed will always be successful. Moreover, our increased use of third-party services (e.g. cloud technology and software as a service) can make it more difficult to identify and respond to cyberattacks in any of the above situations due to the dynamic nature of these technologies. These risks could increase as vendors adopt and use more cloud-based software services rather than software services which can be run within our data centers.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systems development and skilled personnel. However, we must be able to meet our capital needs, expand our systems and our internal controls effectively, allocate our human resources optimally, identify, hire, train and develop qualified employees and effectively incorporate the components of any business we may acquire in our effort to achieve growth. The failure to manage our growth effectively could have a material adverse effect on our business, financial condition and results of operations.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to the extent that we grow inorganically through acquisition the success of such acquisitions is dependent upon our ability to identify appropriate targets, negotiate transactions on favorable terms, complete transactions and successfully integrate the targets into our existing business. If acquisitions are made, we may not realized the anticipated benefits of such acquisitions, including but not limited to, revenue growth, operational efficiencies or expected synergies.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years, and our recent growth rates may not be indicative of our future growth.</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experienced significant revenue growth in recent years. In future periods, we may not be able to sustain revenue growth consistent with recent history, or at all. We believe our revenue growth depends on a number of factors, including, but not limited to, our ability to:</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and retain insureds without compromising our profitability;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deploy and implement our products, obtain renewals and provide our distribution partners with excellent support;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underwriters and claims professionals;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infrastructure and data reporting systems to ensure that we can effectively and efficiently deliver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create new distribution channels;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introduce new products and enhance existing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against larger companies and new market entrants;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Our historical growth rate should not be considered indicative of our future performance and may decline in the future. In future periods, our revenue could grow more slowly than in recent years or decline for any number of reasons, including those outlined herein. We also expect that our operating expenses could increase in future periods and if our revenue growth does not increase to offset these possible increases, our business, financial position and results of operations could be harmed and we may not be able to achieve or maintain profitability.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out-of-the-ordinary litigation with our customers, other members of the insurance industry are the target of class action lawsuits and other types of litigation, some of which involve claims for substantial or indeterminate amounts, and the outcomes of which are unpredictable. Further, issues of social inflation, largely in the context of third-party claims, can lead to oversized judgments. Even when cases do not progress to judgment, litigation costs and settlement amounts can be inflated beyond what has historically been reasonable costs and expenses.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key vendor relationships or failure of a vendor to protect our data, confidential and proprietary information could affect our operations.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services and products provided by many vendors in the United States and abroad. These include, for example, vendors of computer hardware and software, and vendors and/or outsourcing of services such as claim adjustment services, human resource benefits management services and investment management services. In the event that any vendor suffers a bankruptcy or otherwise becomes unable to continue to provide products or services, has their systems breached or compromised, or fails to protect our confidential, proprietary, and other information, we may suffer operational impairments and financial losses. In addition, while we generally monitor vendor risk, including the security and stability of our critical vendors, we may fail to properly assess and understand the risks and costs involved in the third-party relationships, and our financial condition and results of operations could be materially and adversely affected.</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anticipate that we will continue to rely on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or be unable to protect our intellectual property rights for our proprietary technology platform and brand, or we may be sued by third parties for alleged infringement of their proprietary rights.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brand and our proprietary technology used in certain of our product lines. We primarily rely on copyright and trade secret laws, and confidentiality agreements with our employees, customers, service providers, partners and others to protect our intellectual property rights. However, the steps we take to protect our intellectual property may be inadequate.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also in part on our not infringing on the intellectual property rights of others. Our competitors, as well as a number of other entities and individuals, may own or claim to own intellectual property relating to our industry or the Company.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time-consuming and divert the attention of our management and key personnel from our business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expect to continue to incur increased costs as a result of operating as a public company, and our management devotes substantial time to compliance initiatives. We are subject to financial reporting and other requirements for which our accounting and other management systems and resources may not be adequately prepared.</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and particularly since we are no longer an emerging growth company, we incur significant legal, accounting and other expenses that we would not incur as a private company. In addition, the federal securities laws, including the Sarbanes-Oxley Act, the Dodd-Frank Act, and rules and regulations subsequently implemented by the SEC and Nasdaq have imposed various requirements on public companies, including requirements to file annual, quarterly and event-driven reports with respect to our business and financial condition, and to establish and maintain effective disclosure and financial controls and corporate governance practices. These rules and regulations increase our legal and financial compliance costs, make certain activities more time-consuming and costly, and require our management and other personnel to devote a substantial amount of time to compliance initiatives. Despite our best efforts, we may not be able to produce reliable financial statements or file such financial statements as part of a periodic report in a timely manner with the SEC or comply with Nasdaq listing requirements.</w:t>
      </w:r>
    </w:p>
    <w:p>
      <w:pPr>
        <w:spacing w:after="0" w:line="84" w:lineRule="exact"/>
        <w:rPr>
          <w:sz w:val="20"/>
          <w:szCs w:val="20"/>
          <w:color w:val="auto"/>
        </w:rPr>
      </w:pPr>
    </w:p>
    <w:p>
      <w:pPr>
        <w:jc w:val="both"/>
        <w:ind w:firstLine="500"/>
        <w:spacing w:after="0" w:line="253" w:lineRule="auto"/>
        <w:rPr>
          <w:sz w:val="20"/>
          <w:szCs w:val="20"/>
          <w:color w:val="auto"/>
        </w:rPr>
      </w:pPr>
      <w:r>
        <w:rPr>
          <w:rFonts w:ascii="Times New Roman" w:cs="Times New Roman" w:eastAsia="Times New Roman" w:hAnsi="Times New Roman"/>
          <w:sz w:val="18"/>
          <w:szCs w:val="18"/>
          <w:color w:val="auto"/>
        </w:rPr>
        <w:t>In particular, pursuant to Section 404 of the Sarbanes-Oxley Act,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 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 To achieve compliance with Section 404 of the Sarbanes-Oxley Act, we engage in a process to document and evaluate our internal control over financial reporting, which is both costly and challenging. We are required to dedicate internal resources,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 We could also become subject to investigations by the SEC or other regulatory authorities, which could require additional financial and management resources.</w:t>
      </w:r>
    </w:p>
    <w:p>
      <w:pPr>
        <w:spacing w:after="0" w:line="79" w:lineRule="exact"/>
        <w:rPr>
          <w:sz w:val="20"/>
          <w:szCs w:val="20"/>
          <w:color w:val="auto"/>
        </w:rPr>
      </w:pPr>
    </w:p>
    <w:p>
      <w:pPr>
        <w:jc w:val="both"/>
        <w:ind w:firstLine="500"/>
        <w:spacing w:after="0" w:line="253" w:lineRule="auto"/>
        <w:rPr>
          <w:sz w:val="20"/>
          <w:szCs w:val="20"/>
          <w:color w:val="auto"/>
        </w:rPr>
      </w:pPr>
      <w:r>
        <w:rPr>
          <w:rFonts w:ascii="Times New Roman" w:cs="Times New Roman" w:eastAsia="Times New Roman" w:hAnsi="Times New Roman"/>
          <w:sz w:val="18"/>
          <w:szCs w:val="18"/>
          <w:color w:val="auto"/>
        </w:rPr>
        <w:t>As a public company, we are also required to maintain disclosure controls and procedures.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rules and forms of the SEC. We do not expect that our disclosure controls and procedures or our internal control over financial reporting will prevent or detect all errors and all fraud. We believe a control system, no matter how well-designed and operated, can provide only reasonable, not absolute, assurance that the control system’s objectives will be met. Due to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any design may not succeed in achieving its stated goals under all potential future conditions. Over time, controls may become inadequate because of changes in conditions or deterioration in the degree of compliance with policies or procedures. Accordingly, because of the inherent limitations in our control system, misstatements due to error or fraud may occur and not be detected.</w:t>
      </w:r>
    </w:p>
    <w:p>
      <w:pPr>
        <w:spacing w:after="0" w:line="45"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-360680</wp:posOffset>
            </wp:positionV>
            <wp:extent cx="6413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404(b) of the Sarbanes-Oxley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 Oxley. If we conclude that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information technology general controls (“ITGCs”). If we fail to remediate the material weakness, or if we fail to establish and maintain effective internal control over ITGCs, the market price of our common stock could be adversely affected.</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controls or procedures is subject to certain inherent limitations, and as a result, there can be no assurance that our controls and procedures will prevent or detect misstatements. Even an effective system of internal control over ITGCs will provide only reasonable, not absolute, assurance with respect to ITGCs.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With the participation of our Chief Executive Officer, our Chief Financial Officer and our Chief Information and Technology Officer, management evaluated the effectiveness of our internal control over financial reporting as of December 31, 2024 using criteria established in the Internal Control - Integrated Framework (2013) issued by the Committee of Sponsoring Organizations of the Treadway Commission (“COSO”). Our management concluded that a material weakness existed as of December 31, 2024 related to the ineffective implementation of information technology general controls (“ITGCs”) in the area of user access for systems that support the Company’s financial reporting processes. Further, the Company’s related process-level IT dependent manual and automated controls that rely upon the affected ITGCs, or information coming from IT systems with affected ITGCs, were also deemed ineffective. See “ITEM 9A. CONTROLS &amp; PROCEDURES” in this form 10-K for additional information including management’s remediation plan.</w:t>
      </w:r>
    </w:p>
    <w:p>
      <w:pPr>
        <w:spacing w:after="0" w:line="8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we fail to remediate the material weakness in a timely manner or at all, or are otherwise unable to maintain effective internal control over ITGCs and the related process-level IT dependent manual and automated controls, management could be required to expend significant resources and be subject to fines, penalties, investigations or judgments, all of which could negatively affect investor confidence and adversely impact our stock price.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you could lose all or part of your investment.</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public company the market price of our common stock has been and is likely to continue to be highly volatile and may fluctuate substantially due to many factors, many of which are beyond our control.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You should consider an investment in our common stock to be risky, and you should invest in our common stock only if you can withstand a significant loss and wide fluctuation in the market value of your investment. The market price of our common stock could be subject to significant fluctuations in response to the factors described in this “Risk Factors” section and other factors, many of which are beyond our control. Among the factors that could affect our stock price are:</w:t>
      </w:r>
    </w:p>
    <w:p>
      <w:pPr>
        <w:spacing w:after="0" w:line="8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 including social inflation;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actors of terrorism or responses to these events.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their purchase price. These broad market fluctuations, as well as general market, economic and political conditions, such as recessions, loss of investor confidence or interest rate changes, may negatively affect the market price of our common stock.</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the section entitled “Business” or elsewhere in this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a change in management and limit our share price.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 Therefore, these provisions could adversely affect the price of our common stock. Among other things, our charter documents:</w:t>
      </w:r>
    </w:p>
    <w:p>
      <w:pPr>
        <w:spacing w:after="0" w:line="6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with staggered, three-year terms and that directors may only be removed for cause;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consent action by other than unanimous written consent;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5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further provide that, unless we consent in writing to the selection of an alternative forum, the federal district courts of the United States of America shall, to the fullest extent permitted by law, be the sole and exclusive forum for the resolutions of any complaint asserting a cause of action arising under the Securities Act. Furthermore, this application to Securities Act claims and Section 22 of the Securities Act create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However, this exclusive forum provision would not apply to suits brought to enforce a duty or liability created by the Exchange Act or any other claim for which the federal courts have exclusive jurisdiction.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Unresolved Staff Comments </w:t>
      </w:r>
      <w:r>
        <w:rPr>
          <w:rFonts w:ascii="Times New Roman" w:cs="Times New Roman" w:eastAsia="Times New Roman" w:hAnsi="Times New Roman"/>
          <w:sz w:val="18"/>
          <w:szCs w:val="18"/>
          <w:color w:val="auto"/>
        </w:rPr>
        <w:t>- 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(“IT Systems”) play a central role in running nearly all aspects of our business operations. Our IT Systems are used for a variety of critical business functions including, but not limited to, internal and external communications, managing our documents and records, and providing shared work environments across various business functions. Therefore, responding efficiently and effectively to cybersecurity incidents and threats is an important component of our overall ERM strategy. In order to respond to such incidents and threats, we have implemented a carefully designed Crisis Response Plan (“CRP”).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and information technology personnel have implemented processes and procedures for assessing, identifying, managing and escalating material risks from cybersecurity threats. These processes and procedures have been integrated into our overall risk management processes. For example, cybersecurity related risks are included in the risk universe that our enterprise risk management committee evaluates on an annual basis. To the extent the ERM process identifies a heightened cybersecurity related risk, risk owners are assigned to develop risk mitigation plans, which are then tracked to completion. Further, security events and data incidents are evaluated, ranked by severity and prioritized for response and remediation. Incidents are evaluated to determine materiality as well as operational and business impact and reviewed for privacy impact.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leverages the National Institute of Standards and Technology framework, which organizes cybersecurity risks into six categories: identify, protect, detect, respond, recover and govern. In addition, we have a set of Company-wide policies and procedures concerning cybersecurity matters, such as policies related to encryption standards, antivirus protection, remote access, multifactor authentication, confidential information and the use of the internet, social media and email. In the event of an incident, we intend to follow our detailed crisis response playbook.</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we have continued to expand investments in IT security, including additional end-user training, using layered defenses, identifying and protecting critical assets, strengthening monitoring and alerting, and engaging experts. We regularly test defenses by performing simulations and drills at both a technical level (including through penetration tests) and by reviewing our operational policies and procedures with third-party experts. At the management level, our IT security team regularly monitors alerts and meets to discuss threat levels, trends and remediation. The team also prepares a quarterly cyber scorecard, regularly collects data on cybersecurity threats and risk areas and conducts an annual risk assessment. Further, we conduct periodic external penetration tests, red team testing and maturity testing to assess our processes and procedures and the threat landscape. These tests and assessments are useful tools for maintaining a robust cybersecurity program to protect our investors, customers, employees, vendors, and intellectual property. In the event of an incident, we have outside cybersecurity legal counsel who would consult and coordinate with other third parties involved in the incident, including communication and notification to third-parties as required; cybersecurity vendors that would perform various investigation services as well as assisting with the recovery and restoration of any impacted IT System services; cybersecurity experts who would assist with validation of the incident and assist with ransomware demands; and cybersecurity insurance providers.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also implemented processes to oversee and identify risks from cybersecurity threats associated with our use of key third-party service providers, including requiring third-party service providers to provide provisions of their SOC-1 or SOC-2 report and their cybersecurity/disaster recovery plans.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and strategy processes are overseen by leaders from our Information Security Team with assistance from our Compliance and Legal teams. Such individuals have decades of experience in various roles involving information technology, including security, auditing, compliance, systems and programming.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crisis response plan, and report to the Risk Committee on any appropriate items.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its committee charter, the Risk Committee of our Board of Directors oversees our cybersecurity strategy, reviews our cybersecurity and other information technology risks, controls and procedures, and receives periodic updates from management regarding the adequacy and effectiveness of our cybersecurity measures. Included in this review is a thorough discussion of the risks from cybersecurity threats including the potential impact to our operations of such threats.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also instituted a separate process for communicating with the Risk Committee in the event we are the target of a specific cybersecurity incident. As part of our response to such an incident, members of the Crisis Management Team would provide an initial awareness communication of the incident to our Chief Executive Officer/Chair of the Board who would in turn inform the Chair of the Risk Committee. Following an initial assessment of the incident by senior management and IT Systems personnel, we would provide a follow-up communication to the CEO and Risk Committee Chair and determine whether further escalation to the full Board is warranted.</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the risks from cybersecurity threats have not materially affected our business strategy, results of operations or financial condition, it is possible that a cybersecurity incident resulting in a serious compromise of our IT Systems or a demand for payment to restore our IT Systems, could have a material adverse effect on us by negatively impacting our ability to operate our business effectively and by diverting the attention of our management and other resources, including financial resources, to address the cybersecurity incident.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lease our primary executive offices and insurance operations in Houston, Texas, and occupy approximately 20,400 square feet of office space. The lease for this space expires in 2029. We lease additional office space where appropriate. Management considers our office facilities suitable and adequate for our current levels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shares began trading on the NASDAQ Global Select Market under the symbol “SKWD” on January 13, 2023. Prior to that time, there was no public market for our common shares. As of February 26, 2025, there were approximately 5 holders of record of our common stock. Because many of our shares of common stock are held by brokers and other institutions on behalf of our stockholders, this number is not representative of the total number of stockholders represented by these stockholders of record.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Information about our equity compensation plans will be included in our definitive proxy statement to be filed with the SEC with respect to our 2025 Annual Meeting of Stockholders (“2025 Proxy Statement”)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securities issued or granted by us during the period covered by this Annual Report on Form 10-K that were not registered under the Securities Act. The information presented in this Item 5 gives effect to a 4-for-1 reverse stock split, which became effective on January 3, 2023.</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Issuance of Class A Common Stock upon Conversion of Preferred Stock and Class B Common Stock</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completing the IPO, all preferred stock converted into 16,305,113 shares of common stock. The issuance of such common shares was exempt from the registration requirements of the Securities Act, pursuant to Section 3(a)(9) of the Securities Act, involving an exchange of securities exchanged by the issuer with its existing security holders exclusively where no commission or other remuneration was paid or given directly or indirectly for soliciting such exchange. No underwriters were involved in this issuance of shares.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18, 2023, we closed our IPO, in which we issued and sold 4,750,000 shares of common stock and the selling stockholders sold 4,202,383 shares. The underwriters also exercised in full their option to purchase 1,342,857 additional shares of common stock from the selling stockholders. The offer and sale of all of the shares in the IPO were registered under the Securities Act pursuant to a registration statement on Form S-1 (File No. 333-265326), which was declared effective by the SEC on January 12, 2023. Barclays Capital Inc. and Keefe, Bruyette &amp; Woods, Inc. acted as the representatives of the underwriters. The public offering price of the shares sold in the offering was $15.00 per share. The net proceeds to the Company were approximately $62.3 million, after deducting underwriting discounts and specific incremental expenses directly attributable to the IPO. All the proceeds from the IPO have been distributed to the Company’s insurance company subsidiaries.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period covered by this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in the foreseeable future. 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performance graph compares the cumulative total shareholder return of an investment in (1) our common stock, (2) the cumulative total returns to the Nasdaq Composite Index and (3) the cumulative total returns to the Nasdaq Insurance Index, for the period beginning January 13, 2023 (the date our common stock began trading on Nasdaq) through December 31, 2024.</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graph assumes an initial investment of $100. Such returns are based on historical results and are not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45720</wp:posOffset>
            </wp:positionV>
            <wp:extent cx="5100320" cy="2854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00320" cy="285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January 13, 2023</w:t>
            </w:r>
          </w:p>
        </w:tc>
        <w:tc>
          <w:tcPr>
            <w:tcW w:w="20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Skyward Specialty Insurance Group, Inc.</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Insurance Index</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r>
      <w:tr>
        <w:trPr>
          <w:trHeight w:val="54"/>
        </w:trPr>
        <w:tc>
          <w:tcPr>
            <w:tcW w:w="4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[Reserved] </w:t>
      </w:r>
      <w:r>
        <w:rPr>
          <w:rFonts w:ascii="Times New Roman" w:cs="Times New Roman" w:eastAsia="Times New Roman" w:hAnsi="Times New Roman"/>
          <w:sz w:val="18"/>
          <w:szCs w:val="18"/>
          <w:color w:val="auto"/>
        </w:rPr>
        <w:t>- 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growing specialty insurance company delivering commercial P&amp;C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portfolio of insured risks is highly diversified — we insure customers operating in a wide variety of industries; we distribute through multiple channels; we write multiple lines of business, including general liability, excess liability, professional liability (which includes cyber and media liability insurance), commercial auto, group accident and health, property, agriculture, credit, surety and workers’ compensation; we insure both short and medium duration liabilities; and our business mix is principally primary insurance and balanced between E&amp;S and admitted markets. A small portion of our business is specialty reinsurance (principally agriculture and credit) which is similarly focused on attractive specialty classes where we believe it is more efficient to approach these classes through reinsurance given factors such as cost of entry, including the costs of geographic expansion. All of these factors enable us to respond to market opportunities and dislocations by deploying capital with attractive risk-adjusted returns. We believe this diversification, which includes businesses not typically aligned with traditional P&amp;C pricing cycles, combined with our underwriting and claims expertise, will more consistently produce strong growth and profitability across all insurance pricing cycles.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lead in our chosen market niches and establish sustainable competitive positions in these markets. We refer to this strategy as “Rule Our Niche” and it forms the basis of our approach to building a strong defensible market position, creating a competitive moat, and winning our chosen markets. We believe that the principles underlying our strategy are key to achieving and sustaining best-in-class underwriting results through P&amp;C insurance pricing cycles. We consistently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strive for excellence in risk selection, pricing, and claims outcomes, and to amplify these critical functions with the use of advanced technology and analytics.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1,743,232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1,459,829</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(619,654)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(549,138)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written premiums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1,123,578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910,691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0" w:type="dxa"/>
            <w:vAlign w:val="bottom"/>
            <w:vMerge w:val="continue"/>
          </w:tcPr>
          <w:p>
            <w:pPr>
              <w:spacing w:after="0"/>
              <w:rPr>
                <w:sz w:val="17"/>
                <w:szCs w:val="17"/>
                <w:color w:val="auto"/>
              </w:rPr>
            </w:pPr>
          </w:p>
        </w:tc>
        <w:tc>
          <w:tcPr>
            <w:tcW w:w="480" w:type="dxa"/>
            <w:vAlign w:val="bottom"/>
          </w:tcPr>
          <w:p>
            <w:pPr>
              <w:jc w:val="right"/>
              <w:ind w:right="27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rPr>
              <w:t>1,056,722</w:t>
            </w:r>
          </w:p>
        </w:tc>
        <w:tc>
          <w:tcPr>
            <w:tcW w:w="80" w:type="dxa"/>
            <w:vAlign w:val="bottom"/>
          </w:tcPr>
          <w:p>
            <w:pPr>
              <w:spacing w:after="0"/>
              <w:rPr>
                <w:sz w:val="17"/>
                <w:szCs w:val="17"/>
                <w:color w:val="auto"/>
              </w:rPr>
            </w:pPr>
          </w:p>
        </w:tc>
        <w:tc>
          <w:tcPr>
            <w:tcW w:w="480" w:type="dxa"/>
            <w:vAlign w:val="bottom"/>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829,143</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6,703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480" w:type="dxa"/>
            <w:vAlign w:val="bottom"/>
          </w:tcPr>
          <w:p>
            <w:pPr>
              <w:spacing w:after="0"/>
              <w:rPr>
                <w:sz w:val="19"/>
                <w:szCs w:val="19"/>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669,809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515,237</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311,757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243,444</w:t>
            </w:r>
          </w:p>
        </w:tc>
        <w:tc>
          <w:tcPr>
            <w:tcW w:w="0" w:type="dxa"/>
            <w:vAlign w:val="bottom"/>
          </w:tcPr>
          <w:p>
            <w:pPr>
              <w:spacing w:after="0"/>
              <w:rPr>
                <w:sz w:val="1"/>
                <w:szCs w:val="1"/>
                <w:color w:val="auto"/>
              </w:rPr>
            </w:pPr>
          </w:p>
        </w:tc>
      </w:tr>
      <w:tr>
        <w:trPr>
          <w:trHeight w:val="223"/>
        </w:trPr>
        <w:tc>
          <w:tcPr>
            <w:tcW w:w="700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Underwriting income</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81,859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76,526</w:t>
            </w:r>
          </w:p>
        </w:tc>
        <w:tc>
          <w:tcPr>
            <w:tcW w:w="0" w:type="dxa"/>
            <w:vAlign w:val="bottom"/>
          </w:tcPr>
          <w:p>
            <w:pPr>
              <w:spacing w:after="0"/>
              <w:rPr>
                <w:sz w:val="1"/>
                <w:szCs w:val="1"/>
                <w:color w:val="auto"/>
              </w:rPr>
            </w:pPr>
          </w:p>
        </w:tc>
      </w:tr>
      <w:tr>
        <w:trPr>
          <w:trHeight w:val="34"/>
        </w:trPr>
        <w:tc>
          <w:tcPr>
            <w:tcW w:w="7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80,686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40,322</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6,256</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11,072</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152,739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110,102</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85,984</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126,650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80,847</w:t>
            </w:r>
          </w:p>
        </w:tc>
        <w:tc>
          <w:tcPr>
            <w:tcW w:w="0" w:type="dxa"/>
            <w:vAlign w:val="bottom"/>
          </w:tcPr>
          <w:p>
            <w:pPr>
              <w:spacing w:after="0"/>
              <w:rPr>
                <w:sz w:val="1"/>
                <w:szCs w:val="1"/>
                <w:color w:val="auto"/>
              </w:rPr>
            </w:pPr>
          </w:p>
        </w:tc>
      </w:tr>
    </w:tbl>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ratio</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63.4 %</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28.9 %</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r>
      <w:tr>
        <w:trPr>
          <w:trHeight w:val="21"/>
        </w:trPr>
        <w:tc>
          <w:tcPr>
            <w:tcW w:w="70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loss and LAE ratio</w:t>
            </w:r>
            <w:r>
              <w:rPr>
                <w:rFonts w:ascii="Times New Roman" w:cs="Times New Roman" w:eastAsia="Times New Roman" w:hAnsi="Times New Roman"/>
                <w:sz w:val="23"/>
                <w:szCs w:val="23"/>
                <w:color w:val="auto"/>
                <w:vertAlign w:val="superscript"/>
              </w:rPr>
              <w:t>(1)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62.3 %</w:t>
            </w: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28.9 %</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48"/>
        </w:trPr>
        <w:tc>
          <w:tcPr>
            <w:tcW w:w="70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combined ratio</w:t>
            </w:r>
            <w:r>
              <w:rPr>
                <w:rFonts w:ascii="Times New Roman" w:cs="Times New Roman" w:eastAsia="Times New Roman" w:hAnsi="Times New Roman"/>
                <w:sz w:val="23"/>
                <w:szCs w:val="23"/>
                <w:color w:val="auto"/>
                <w:vertAlign w:val="superscript"/>
              </w:rPr>
              <w:t>(1)</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90.9 %</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equity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16.3 %</w:t>
            </w: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29"/>
        </w:trPr>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Return on tangible equity</w:t>
            </w:r>
            <w:r>
              <w:rPr>
                <w:rFonts w:ascii="Times New Roman" w:cs="Times New Roman" w:eastAsia="Times New Roman" w:hAnsi="Times New Roman"/>
                <w:sz w:val="23"/>
                <w:szCs w:val="23"/>
                <w:color w:val="auto"/>
                <w:vertAlign w:val="superscript"/>
              </w:rPr>
              <w:t>(1)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18.6 %</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return on equity</w:t>
            </w:r>
            <w:r>
              <w:rPr>
                <w:rFonts w:ascii="Times New Roman" w:cs="Times New Roman" w:eastAsia="Times New Roman" w:hAnsi="Times New Roman"/>
                <w:sz w:val="23"/>
                <w:szCs w:val="23"/>
                <w:color w:val="auto"/>
                <w:vertAlign w:val="superscript"/>
              </w:rPr>
              <w:t>(1)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17.4 %</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81"/>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return on tangible equity</w:t>
            </w:r>
            <w:r>
              <w:rPr>
                <w:rFonts w:ascii="Times New Roman" w:cs="Times New Roman" w:eastAsia="Times New Roman" w:hAnsi="Times New Roman"/>
                <w:sz w:val="23"/>
                <w:szCs w:val="23"/>
                <w:color w:val="auto"/>
                <w:vertAlign w:val="superscript"/>
              </w:rPr>
              <w:t>(1)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19.8 %</w:t>
            </w:r>
          </w:p>
        </w:tc>
        <w:tc>
          <w:tcPr>
            <w:tcW w:w="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r>
    </w:tbl>
    <w:p>
      <w:pPr>
        <w:ind w:left="180" w:hanging="141"/>
        <w:spacing w:after="0" w:line="210" w:lineRule="auto"/>
        <w:tabs>
          <w:tab w:leader="none" w:pos="180" w:val="left"/>
        </w:tabs>
        <w:numPr>
          <w:ilvl w:val="0"/>
          <w:numId w:val="24"/>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adjusted operating income to net income for the years ended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4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Pre-tax</w:t>
            </w:r>
          </w:p>
        </w:tc>
        <w:tc>
          <w:tcPr>
            <w:tcW w:w="26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After-tax</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Pre-tax</w:t>
            </w:r>
          </w:p>
        </w:tc>
        <w:tc>
          <w:tcPr>
            <w:tcW w:w="2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After-tax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152,739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impact of LPT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162,640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126,650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54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underwriting income to income before federal income tax expense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4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110,102</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r>
      <w:tr>
        <w:trPr>
          <w:trHeight w:val="229"/>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30"/>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40,322</w:t>
            </w:r>
          </w:p>
        </w:tc>
      </w:tr>
      <w:tr>
        <w:trPr>
          <w:trHeight w:val="230"/>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investment gains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w:t>
            </w:r>
          </w:p>
        </w:tc>
      </w:tr>
      <w:tr>
        <w:trPr>
          <w:trHeight w:val="22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Underwriting income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76,526</w:t>
            </w:r>
          </w:p>
        </w:tc>
      </w:tr>
      <w:tr>
        <w:trPr>
          <w:trHeight w:val="20"/>
        </w:trPr>
        <w:tc>
          <w:tcPr>
            <w:tcW w:w="7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Loss Ratio / Adjusted Combined Ratio</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adjusted loss and LAE ratio and adjusted combined ratio to the loss and LAE ratio and combined ratio for the years ended December 31, 2024 and 2023:</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2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1,056,722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829,143</w:t>
            </w:r>
          </w:p>
        </w:tc>
      </w:tr>
      <w:tr>
        <w:trPr>
          <w:trHeight w:val="230"/>
        </w:trPr>
        <w:tc>
          <w:tcPr>
            <w:tcW w:w="7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669,809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515,237</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Pre-tax net impact of loss portfolio transfer</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losses and LAE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658,211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516,664</w:t>
            </w:r>
          </w:p>
        </w:tc>
      </w:tr>
      <w:tr>
        <w:trPr>
          <w:trHeight w:val="237"/>
        </w:trPr>
        <w:tc>
          <w:tcPr>
            <w:tcW w:w="7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impact of LPT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loss ratio</w:t>
            </w:r>
          </w:p>
        </w:tc>
        <w:tc>
          <w:tcPr>
            <w:tcW w:w="4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impact of LPT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combined ratio</w:t>
            </w:r>
          </w:p>
        </w:tc>
        <w:tc>
          <w:tcPr>
            <w:tcW w:w="4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90.9 %</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Stockholders’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a reconciliation of tangible stockholders’ equity to stockholders’ equity for the years ended December 31,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0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38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793,999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661,031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33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88,435</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stockholders’ equity</w:t>
            </w:r>
          </w:p>
        </w:tc>
        <w:tc>
          <w:tcPr>
            <w:tcW w:w="3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706,651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572,596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4080" w:type="dxa"/>
            <w:vAlign w:val="bottom"/>
            <w:tcBorders>
              <w:bottom w:val="single" w:sz="8" w:color="9A9A9A"/>
            </w:tcBorders>
          </w:tcPr>
          <w:p>
            <w:pPr>
              <w:spacing w:after="0"/>
              <w:rPr>
                <w:sz w:val="19"/>
                <w:szCs w:val="19"/>
                <w:color w:val="auto"/>
              </w:rPr>
            </w:pPr>
          </w:p>
        </w:tc>
        <w:tc>
          <w:tcPr>
            <w:tcW w:w="338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Return on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adjusted return on equity to return on equity for the years ended December 31,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2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adjusted operating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126,650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80,847</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stockholders’ equity</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727,515</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541,347</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equity</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54"/>
        </w:trPr>
        <w:tc>
          <w:tcPr>
            <w:tcW w:w="7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 on Tangible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Return on tangible equity for the years ended December 31, 2024 and 2023 reconciles to return on equity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net income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85,984</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639,624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452,194</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tangible equity</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54"/>
        </w:trPr>
        <w:tc>
          <w:tcPr>
            <w:tcW w:w="7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Return on Tangible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Adjusted return on tangible equity for the years ended December 31, 2024 and 2023 reconciles to return on equity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adjusted operating income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126,650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80,847</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639,624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452,194</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tangible equity</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54"/>
        </w:trPr>
        <w:tc>
          <w:tcPr>
            <w:tcW w:w="7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gross written premiums by underwriting division for the years ended December 31,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9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420" w:type="dxa"/>
            <w:vAlign w:val="bottom"/>
            <w:tcBorders>
              <w:top w:val="single" w:sz="8" w:color="auto"/>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Industry Solutions</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317,198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Property &amp; Agriculture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311,402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273,191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218,407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152,429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1,743,249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1,459,847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283,402</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Excludes exited business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year-over-year increase in gross written premiums, when compared to 2023, was driven by double-digit premium growth from our captives, surety, transactional E&amp;S, programs and global property &amp; agriculture underwriting divisions. We continued to broaden and diversify our product portfolio during 2024, growing in areas that are less exposed to the P&amp;C cycles. The gross written premium increases were primarily driven by (i) new captive members and growth in existing captives, (ii) new product offerings, including participation in the Small Business Administration (“SBA”) Bond Guarantee Program, and regional expansion in surety, (iii) new business and rate in transactional E&amp;S, (iv) the addition of four new programs, including Aviation. and (iv) new business in global agriculture. Slightly offsetting the gross written premium increases were (i) downward pricing pressure in the global property market, and (ii) our intentional actions to address profitability in commercial auto.</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written premiums were $1,123.6 million compared to $910.7 million in 2023, an increase of $212.9 million or 23.4%. The increase in net written premiums was primarily driven by the same reasons that drove the increases in gross written premiums discussed above.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earned premiums for 2024 were $1,056.7 million compared to $829.1 million for 2023, an increase of $227.6 million, or 27.4%. The increase in net earned premiums was primarily driven by the same reasons that drove the increases in gross written premiums discussed above.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reinsurance programs, see the discussion included in “Item 1 Business - Reinsurance”</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LAE</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the loss and LAE ratios and adjusted loss and LAE ratios for the years ended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760" w:type="dxa"/>
            <w:vAlign w:val="bottom"/>
            <w:tcBorders>
              <w:top w:val="single" w:sz="8" w:color="auto"/>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3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8"/>
                <w:szCs w:val="18"/>
                <w:color w:val="auto"/>
                <w:w w:val="97"/>
              </w:rPr>
              <w:t>Losses</w:t>
            </w:r>
          </w:p>
        </w:tc>
        <w:tc>
          <w:tcPr>
            <w:tcW w:w="1380" w:type="dxa"/>
            <w:vAlign w:val="bottom"/>
          </w:tcPr>
          <w:p>
            <w:pPr>
              <w:jc w:val="center"/>
              <w:ind w:right="23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8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38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21"/>
                <w:szCs w:val="21"/>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and LAE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Premiums</w:t>
            </w:r>
          </w:p>
        </w:tc>
        <w:tc>
          <w:tcPr>
            <w:tcW w:w="280" w:type="dxa"/>
            <w:vAlign w:val="bottom"/>
          </w:tcPr>
          <w:p>
            <w:pPr>
              <w:spacing w:after="0"/>
              <w:rPr>
                <w:sz w:val="21"/>
                <w:szCs w:val="21"/>
                <w:color w:val="auto"/>
              </w:rPr>
            </w:pPr>
          </w:p>
        </w:tc>
        <w:tc>
          <w:tcPr>
            <w:tcW w:w="168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and LAE</w:t>
            </w: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Premiums</w:t>
            </w:r>
          </w:p>
        </w:tc>
        <w:tc>
          <w:tcPr>
            <w:tcW w:w="0" w:type="dxa"/>
            <w:vAlign w:val="bottom"/>
          </w:tcPr>
          <w:p>
            <w:pPr>
              <w:spacing w:after="0"/>
              <w:rPr>
                <w:sz w:val="1"/>
                <w:szCs w:val="1"/>
                <w:color w:val="auto"/>
              </w:rPr>
            </w:pPr>
          </w:p>
        </w:tc>
      </w:tr>
      <w:tr>
        <w:trPr>
          <w:trHeight w:val="230"/>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Non-cat loss and LAE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640,257</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312"/>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17,954</w:t>
            </w:r>
          </w:p>
        </w:tc>
        <w:tc>
          <w:tcPr>
            <w:tcW w:w="1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66"/>
        </w:trPr>
        <w:tc>
          <w:tcPr>
            <w:tcW w:w="44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880" w:type="dxa"/>
            <w:vAlign w:val="bottom"/>
            <w:gridSpan w:val="3"/>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accident year development - LPT</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11,598</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losses and LAE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669,809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losses and LAE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Non-cat loss and LAE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640,257</w:t>
            </w: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312"/>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17,954</w:t>
            </w:r>
          </w:p>
        </w:tc>
        <w:tc>
          <w:tcPr>
            <w:tcW w:w="1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66"/>
        </w:trPr>
        <w:tc>
          <w:tcPr>
            <w:tcW w:w="4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adjusted losses and LAE</w:t>
            </w:r>
            <w:r>
              <w:rPr>
                <w:rFonts w:ascii="Times New Roman" w:cs="Times New Roman" w:eastAsia="Times New Roman" w:hAnsi="Times New Roman"/>
                <w:sz w:val="23"/>
                <w:szCs w:val="23"/>
                <w:color w:val="auto"/>
                <w:vertAlign w:val="superscript"/>
              </w:rPr>
              <w:t>(2)</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658,211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ind w:left="160" w:hanging="134"/>
        <w:spacing w:after="0"/>
        <w:tabs>
          <w:tab w:leader="none" w:pos="160" w:val="left"/>
        </w:tabs>
        <w:numPr>
          <w:ilvl w:val="0"/>
          <w:numId w:val="25"/>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Current accident year</w:t>
      </w:r>
    </w:p>
    <w:p>
      <w:pPr>
        <w:spacing w:after="0" w:line="55" w:lineRule="exact"/>
        <w:rPr>
          <w:rFonts w:ascii="Times New Roman" w:cs="Times New Roman" w:eastAsia="Times New Roman" w:hAnsi="Times New Roman"/>
          <w:sz w:val="17"/>
          <w:szCs w:val="17"/>
          <w:i w:val="1"/>
          <w:iCs w:val="1"/>
          <w:color w:val="auto"/>
          <w:vertAlign w:val="superscript"/>
        </w:rPr>
      </w:pPr>
    </w:p>
    <w:p>
      <w:pPr>
        <w:ind w:left="180" w:hanging="154"/>
        <w:spacing w:after="0" w:line="191" w:lineRule="auto"/>
        <w:tabs>
          <w:tab w:leader="none" w:pos="180" w:val="left"/>
        </w:tabs>
        <w:numPr>
          <w:ilvl w:val="0"/>
          <w:numId w:val="2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2024 loss ratio increased 1.3 points, respectively, when compared to 2023, primarily due to the net impact of prior accident year development related to the LPT, which added 1.1 points to the loss ratio. The non-cat loss and LAE ratio for 2024 improved 0.3 points when compared to 2023, primarily driven by the shift in the mix of business. The 2024 cat loss and LAE ratio increased 0.3 points when compared to 2023, primarily due to catastrophe losses from Hurricanes Helene and Beryl in the third quarter of 2024 and Hurricane Milton in the fourth quarter of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LAE Development</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presentation of the development of the ultimate liability by accident year for the years ended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214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Development</w:t>
            </w:r>
          </w:p>
        </w:tc>
        <w:tc>
          <w:tcPr>
            <w:tcW w:w="1180" w:type="dxa"/>
            <w:vAlign w:val="bottom"/>
            <w:tcBorders>
              <w:top w:val="single" w:sz="8" w:color="auto"/>
              <w:bottom w:val="single" w:sz="8" w:color="auto"/>
            </w:tcBorders>
          </w:tcPr>
          <w:p>
            <w:pPr>
              <w:spacing w:after="0"/>
              <w:rPr>
                <w:sz w:val="21"/>
                <w:szCs w:val="21"/>
                <w:color w:val="auto"/>
              </w:rPr>
            </w:pPr>
          </w:p>
        </w:tc>
      </w:tr>
      <w:tr>
        <w:trPr>
          <w:trHeight w:val="189"/>
        </w:trPr>
        <w:tc>
          <w:tcPr>
            <w:tcW w:w="75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(Favorable) Adverse</w:t>
            </w:r>
          </w:p>
        </w:tc>
        <w:tc>
          <w:tcPr>
            <w:tcW w:w="1180" w:type="dxa"/>
            <w:vAlign w:val="bottom"/>
            <w:tcBorders>
              <w:bottom w:val="single" w:sz="8" w:color="auto"/>
            </w:tcBorders>
          </w:tcPr>
          <w:p>
            <w:pPr>
              <w:spacing w:after="0"/>
              <w:rPr>
                <w:sz w:val="16"/>
                <w:szCs w:val="16"/>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Accident Year</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25,728</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development on losses subject to LPT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25,300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development on losses excluding losses subject to LPT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w:t>
            </w:r>
          </w:p>
        </w:tc>
      </w:tr>
      <w:tr>
        <w:trPr>
          <w:trHeight w:val="34"/>
        </w:trPr>
        <w:tc>
          <w:tcPr>
            <w:tcW w:w="7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 2024, the Company transitioned from evaluating reserves on a policy year basis to an accident year basis which results in earlier recognition of underlying claim trends, better alignment of exposure to risks, and adherence to commonly used industry best practices. In prior years, the Company’s methodology allocated IBNR from its policy year analysis to accident year. As a result of transitioning to accident year, IBNR within short-tail/monoline specialty lines, multi-line solutions, and exited lines was reallocated for the years ended December 31, 2023, 2022, 2021 and 2020, and certain amounts have been conformed to the current year presentation.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adverse development related to prior years’ loss and loss expense reserves of $25.7 million; $10.1 million and $15.2 million in multi-line solutions and exited lines, respectively, were related to losses previously subject to the LPT from accident years 2018 and prior.</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adverse development related to prior years’ loss and loss expense reserves of $10.8 million. Adverse development of $11.7 million in multi-line solutions was driven by</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greater than expected severity in auto, general, and excess liability lines of business primarily from accident years 2020 to 2022. The adverse development was partially offset by favorable development in short-tail/monoline specialty lines. The favorable development was in the property line of business primarily from accident years 2021 and 2022.</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expense ratios for the years ended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ind w:right="630"/>
              <w:spacing w:after="0" w:line="169"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Net Earned Premiums</w:t>
            </w:r>
          </w:p>
        </w:tc>
        <w:tc>
          <w:tcPr>
            <w:tcW w:w="2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 Earned Premiums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149,975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161,782</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311,757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243,444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(6,703)</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305,054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237,380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expense ratio for 2024 increased 0.3 points when compared 2023, primarily driven by the business mix shift partially offset by earnings leverage.</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expense ratios for the periods presented exclude the impact of IPO related stock compensation and secondary offering expenses, which are reported in other expenses in our consolidated statements of operations and comprehensive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Results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Beginning January 1, 2024, we simplified the investment portfolio classifications to align with our strategy and the underlying risk characteristics of the portfolio. The prior period has been reclassified to conform to the current period presentation.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investment income and net investment gains (losses)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62865</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8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&amp; 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0" w:type="dxa"/>
            <w:vAlign w:val="bottom"/>
          </w:tcPr>
          <w:p>
            <w:pPr>
              <w:spacing w:after="0"/>
              <w:rPr>
                <w:sz w:val="1"/>
                <w:szCs w:val="1"/>
                <w:color w:val="auto"/>
              </w:rPr>
            </w:pPr>
          </w:p>
        </w:tc>
      </w:tr>
      <w:tr>
        <w:trPr>
          <w:trHeight w:val="221"/>
        </w:trPr>
        <w:tc>
          <w:tcPr>
            <w:tcW w:w="748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80,686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40,322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unrealized gains on securities still held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420" w:type="dxa"/>
            <w:vAlign w:val="bottom"/>
          </w:tcPr>
          <w:p>
            <w:pPr>
              <w:jc w:val="right"/>
              <w:ind w:right="2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7,921</w:t>
            </w:r>
          </w:p>
        </w:tc>
        <w:tc>
          <w:tcPr>
            <w:tcW w:w="100" w:type="dxa"/>
            <w:vAlign w:val="bottom"/>
          </w:tcPr>
          <w:p>
            <w:pPr>
              <w:spacing w:after="0"/>
              <w:rPr>
                <w:sz w:val="17"/>
                <w:szCs w:val="17"/>
                <w:color w:val="auto"/>
              </w:rPr>
            </w:pPr>
          </w:p>
        </w:tc>
        <w:tc>
          <w:tcPr>
            <w:tcW w:w="42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losses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gains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investment income for the year ended 2024 increased $40.4 million when compared to 2023.</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income from our fixed income portfolio for 2024, when compared to 2023, was due to (i) a larger asset base as we continued to increase our allocation to this part of our investment portfolio and (ii) a higher book yield of 5.2% at December 31, 2024 compared to 4.5% at December 31, 2023. The increase in income from short-term investments &amp; cash and cash equivalents for 2024 when compared to 2023 was due to higher investment yields and a larger asset base. The fair value of our alternative and strategic investments portfolio for 2024 increased when compared to 2023 due to an increase in the fair value of limited partnership investments.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Investment Portfolio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investment portfolio at carrying value at December 31,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top w:val="single" w:sz="8" w:color="auto"/>
              <w:bottom w:val="single" w:sz="8" w:color="auto"/>
            </w:tcBorders>
          </w:tcPr>
          <w:p>
            <w:pPr>
              <w:spacing w:after="0"/>
              <w:rPr>
                <w:sz w:val="21"/>
                <w:szCs w:val="2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274,929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106,254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1,992,423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1,679,578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income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fixed income portfolio primarily consists of investment grade fixed income securities, which are predominantly highly-rated and liquid bonds, and commercial mortgage loans.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fixed income securities at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9"/>
                <w:szCs w:val="19"/>
                <w:color w:val="auto"/>
              </w:rPr>
            </w:pP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6"/>
              </w:rPr>
              <w:t>Carrying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Carrying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425,628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393,833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23"/>
        </w:trPr>
        <w:tc>
          <w:tcPr>
            <w:tcW w:w="5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1,292,218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95.3 %</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1,318,708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1,067,721</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credit rating of our available-for-sale fixed income portfolio was “AA-” by Standard &amp; Poor’s Financial Services, LLC (“Standard &amp; Poor’s”) at December 31, 2024 and 2023. The following table sets forth the credit quality of our available-for-sale fixed income portfolio at December 31, 2024 and 2023, as rated by Standard &amp; Poor’s or equivalent designation: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Fair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483,099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493,252</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429,703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233,487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216,602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154,096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 and Lower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30,910</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1,292,218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commercial mortgage loans are primarily senior loans on real estate across the U.S.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duration of our fixed income portfolio was approximately 4.34 years and 4.24 years, respectively,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Equities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equities portfolio primarily consists of domestic preferred stocks, common equities, exchange traded funds, limited partnerships, limited liability corporations and other types of equity interests, 100.0% of which are publicly traded.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equities portfolio by security type at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169"/>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jc w:val="center"/>
              <w:ind w:right="68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20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 of Total</w:t>
            </w: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20"/>
                <w:szCs w:val="20"/>
                <w:color w:val="auto"/>
              </w:rPr>
            </w:pPr>
          </w:p>
        </w:tc>
        <w:tc>
          <w:tcPr>
            <w:tcW w:w="14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2"/>
              </w:rPr>
              <w:t>Value</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Fair Value</w:t>
            </w:r>
          </w:p>
        </w:tc>
        <w:tc>
          <w:tcPr>
            <w:tcW w:w="28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27"/>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common equities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71,502</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common equities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39,389</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2"/>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106,254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118,249</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45"/>
        </w:trPr>
        <w:tc>
          <w:tcPr>
            <w:tcW w:w="5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and strategic investments</w:t>
      </w:r>
    </w:p>
    <w:p>
      <w:pPr>
        <w:spacing w:after="0" w:line="1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value as asset values are monetized and the income is distributed. Strategic investments consists of equity interests in private entities within the insurance industry.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interest rates, equity prices, foreign currency exchange rates and commodity prices. The primary components of market risk affecting us are credit risk and interest rate risk. We do not have significant exposure to foreign currency exchange rate risk or commodity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We have exposure to credit risk as a holder of debt instruments in our core fixed income and opportunistic fixed income portfolios. Our risk management strategy and investment policy is to invest primarily in debt instruments of high credit quality issuers and to limit the amount of credit exposure with respect to particular ratings categories and any one issuer. At December 31, 2024, our core fixed income portfolio had an average rating of “AA-,” with approximately 81.5% of securities in that portfolio rated “A” or better by at least one nationally recognized rating organization. Our policy is to invest in investment grade fixed income securities which are high quality and liquid, providing a stable income stream, supplemented by opportunistic fixed income and equity securities, with the objective of further enhancing the portfolio’s diversification and risk-adjusted returns. At December 31, 2024, approximately 1.7% of our core fixed income portfolio was unrated or rated below investment-grade. Through our investment managers, we monitor the financial condition of all of the issuers of securities in our portfolio.</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are subject to credit risk with respect to our third-party reinsurers. Although our third-party reinsurers are obligated to reimburse us to the extent we cede risk to them, we are ultimately liable to our policyholders on all risks we have ceded. As a result, reinsurance contracts do not limit our ultimate obligations to pay claims covered under the insurance policies we issue, and we might not collect amounts recoverable from our reinsurers. We address this credit risk by seeking to purchase reinsurance from reinsurers that are rated at least “A-” (Excellent) or better by A.M. Best. We also perform, along with our reinsurance broker, periodic credit reviews of our reinsurers. At December 31, 2024, 99% of our reinsurance recoverables were either derived from reinsurers rated “A-” (Excellent) by A.M. Best, or better, or were collateralized through funds held, trusts and letters of credit by the reinsurer. If one of our reinsurers suffers a credit downgrade, we may consider various options to lessen the risk of asset impairment, including commutation, novation and letters of credit.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we will incur economic losses due to adverse changes in interest rates. The primary market risk to our investment portfolio is interest rate risk associated with investments in fixed income securities. Fluctuations in interest rates have a direct effect on the market valuation of these securities. When market interest rates rise, the fair value of our securities decreases. Conversely, as interest rates fall, the fair value of our securities increases. We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 this interest rate risk by investing in securities with varied maturity dates and by managing the duration of our investment portfolio in directional relation to the duration of our reserves. Expressed in years, duration is the weighted average payment period of cash flows, where the weighting is based on the present value of the cash flows. We set duration targets for our core fixed income investment portfolio after consideration of the estimated duration of our liabilities and other factors. Our fixed maturity securities had a weighted average effective duration of 4.34 years as of December 31, 2024.</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fixed income securities that were subject to interest rate risk with a fair value of $1,292.2 million at December 31, 2024. Our opportunistic fixed income securities are excluded from our interest rate sensitivity analysis as they are primarily floating rate and treated as held to maturity securities.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what changes might occur in the value of our core fixed income portfolio given hypothetical changes in interest rates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Estimated</w:t>
            </w:r>
          </w:p>
        </w:tc>
        <w:tc>
          <w:tcPr>
            <w:tcW w:w="16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Estimated %</w:t>
            </w:r>
          </w:p>
        </w:tc>
        <w:tc>
          <w:tcPr>
            <w:tcW w:w="0" w:type="dxa"/>
            <w:vAlign w:val="bottom"/>
          </w:tcPr>
          <w:p>
            <w:pPr>
              <w:spacing w:after="0"/>
              <w:rPr>
                <w:sz w:val="1"/>
                <w:szCs w:val="1"/>
                <w:color w:val="auto"/>
              </w:rPr>
            </w:pPr>
          </w:p>
        </w:tc>
      </w:tr>
      <w:tr>
        <w:trPr>
          <w:trHeight w:val="90"/>
        </w:trPr>
        <w:tc>
          <w:tcPr>
            <w:tcW w:w="6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Estimated</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Change</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18"/>
                <w:szCs w:val="18"/>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6"/>
              </w:rPr>
              <w:t>in Fair Value</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126"/>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6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in Fair Value</w:t>
            </w:r>
          </w:p>
        </w:tc>
        <w:tc>
          <w:tcPr>
            <w:tcW w:w="0" w:type="dxa"/>
            <w:vAlign w:val="bottom"/>
          </w:tcPr>
          <w:p>
            <w:pPr>
              <w:spacing w:after="0"/>
              <w:rPr>
                <w:sz w:val="1"/>
                <w:szCs w:val="1"/>
                <w:color w:val="auto"/>
              </w:rPr>
            </w:pPr>
          </w:p>
        </w:tc>
      </w:tr>
      <w:tr>
        <w:trPr>
          <w:trHeight w:val="112"/>
        </w:trPr>
        <w:tc>
          <w:tcPr>
            <w:tcW w:w="6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6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 increase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1,118,982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(173,236)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1,177,074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(115,144)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1,234,820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(57,398)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change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1,292,218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0.0 %</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decrease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1,349,269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57,051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basis point decrease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1,405,973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113,755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8.8 %</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 decrease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1,462,329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170,111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13.2 %</w:t>
            </w:r>
          </w:p>
        </w:tc>
        <w:tc>
          <w:tcPr>
            <w:tcW w:w="0" w:type="dxa"/>
            <w:vAlign w:val="bottom"/>
          </w:tcPr>
          <w:p>
            <w:pPr>
              <w:spacing w:after="0"/>
              <w:rPr>
                <w:sz w:val="1"/>
                <w:szCs w:val="1"/>
                <w:color w:val="auto"/>
              </w:rPr>
            </w:pPr>
          </w:p>
        </w:tc>
      </w:tr>
      <w:tr>
        <w:trPr>
          <w:trHeight w:val="54"/>
        </w:trPr>
        <w:tc>
          <w:tcPr>
            <w:tcW w:w="6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interest rates will have an immediate effect on comprehensive income and stockholders’ equity but will not ordinarily have an immediate effect on net income. Actual results may differ from the hypothetical change in market rates assumed in the table above. This sensitivity analysis does not reflect the results of any action that we may take to mitigate such hypothetical losses in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price risk</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price risk represents the potential economic losses due to adverse changes in equity security prices. At December 31, 2024, approximately 6.7% of the fair value of our investment portfolio (excluding cash and cash equivalents and short-term investments) was invested in equity securities. We manage equity price risk through portfolio diversification and maintain a tail-risk management strategy that is designed to provide some protection for the equity portfolio if there is a significant decline in the S&amp;P 500 within a 30 day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for the year ended December 31, 2024 was $33.9 million, compared to $24.1 million, for the year ended December 31, 2023. Our effective tax rate for the year ended December 31, 2024 was 22.2%, compared to 21.9%, for the year ended December 31, 2023.</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 13, “Income Taxes” to our consolidated financial statements included in Item 8 of this Form 10-K for a reconciliation between our actual federal income tax expense and the amount computed at the indicated statutory rate for the years ended December 31, 2024 and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organized as a holding company with our operations primarily conducted by our wholly-owned insurance subsidiaries, GMIC, HSIC, and IIC, which are domiciled in Texas, and OSIC, which is domiciled in Oklahoma. Accordingly, the holding company may receive cash through (1) corporate service fees from our operating subsidiaries, (2) payments pursuant to our consolidated tax allocation agreement, (3) dividends from our subsidiaries, subject to certain limitations discussed below regarding dividends from our insurance subsidiaries, (4) loans from banks, (5) draws on a revolving loan agreement, and (6) issuance of equity and debt securities. We also may use the proceeds from these sources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contribute funds to insurance subsidiaries in order to support premium growth, pay dividends and taxes and for other business purposes.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Service Company receives corporate service fees from the operating subsidiaries to reimburse it for most of the operating expenses that it incurs. Reimbursement of expenses through corporate service fees is based on the actual costs that we expect to incur with no mark-up above our expected costs.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file a consolidated U.S. federal income tax return with our subsidiaries, and under our corporate tax allocation agreement, each participant is charged or refunded taxes according to the amount that the participant would have paid or received had it filed on a separate return basis with the Internal Revenue Service (the “IRS”).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Applicable state insurance laws restrict the ability of the insurance subsidiaries to declare stockholder dividends without prior regulatory approval. Applicable state insurance regulators require insurance companies to maintain specified levels of statutory capital and surplus. Dividend payments are further limited to that part of available policyholder surplus which is derived from net profits on an insurer’s business.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subsidiaries may in the future adopt statutory provisions more restrictive than those currently in effect. Our insurance subsidiaries did not pay dividends to us for the years ended December 31, 2024 and 2023. See Note 23, “Statutory Accounting Principles and Regulatory Matters” to our consolidated financial statements included in Item 8 of this Form 10-K for additional information regarding our insurance companies.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2024, our holding company had $2.9 million in cash and investments compared to $3.0 million at December 31, 2023.</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have sufficient liquidity available to meet our operating cash needs and obligations and committed capital expenditures for the next 12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flows for the years ended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1"/>
                <w:szCs w:val="2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305,115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338,187</w:t>
            </w:r>
          </w:p>
        </w:tc>
        <w:tc>
          <w:tcPr>
            <w:tcW w:w="100" w:type="dxa"/>
            <w:vAlign w:val="bottom"/>
          </w:tcPr>
          <w:p>
            <w:pPr>
              <w:spacing w:after="0"/>
              <w:rPr>
                <w:sz w:val="19"/>
                <w:szCs w:val="19"/>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(243,694)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(493,809)</w:t>
            </w:r>
          </w:p>
        </w:tc>
        <w:tc>
          <w:tcPr>
            <w:tcW w:w="100" w:type="dxa"/>
            <w:vAlign w:val="bottom"/>
            <w:shd w:val="clear" w:color="auto" w:fill="CCEEFF"/>
          </w:tcPr>
          <w:p>
            <w:pPr>
              <w:spacing w:after="0"/>
              <w:rPr>
                <w:sz w:val="19"/>
                <w:szCs w:val="19"/>
                <w:color w:val="auto"/>
              </w:rPr>
            </w:pP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130,947</w:t>
            </w:r>
          </w:p>
        </w:tc>
        <w:tc>
          <w:tcPr>
            <w:tcW w:w="100" w:type="dxa"/>
            <w:vAlign w:val="bottom"/>
            <w:tcBorders>
              <w:bottom w:val="single" w:sz="8" w:color="CCEEFF"/>
            </w:tcBorders>
          </w:tcPr>
          <w:p>
            <w:pPr>
              <w:spacing w:after="0"/>
              <w:rPr>
                <w:sz w:val="19"/>
                <w:szCs w:val="19"/>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 and restricted cash</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cash provided by operating activities in 2024 when compared to 2023 was primarily due an increase in cash outflows from our net reinsurance recoverables and net premiums receivables. Cash from operations can vary from period to period due to the timing of premium receipts, claim payments and reinsurance activity. Cash flows from operations in each of the past two years were used primarily to fund investing activities.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2024 was primarily driven by purchases of fixed maturity securities, partially offset by sales and maturities of investment securities and sales of short-term investments. Net cash used in investing activities in 2023 was primarily driven by purchases of fixed maturity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in 2024 was driven by net payments on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Loan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2024, we entered into a loan (the “FHLB Loan”) with the Federal Home Loan Bank of Dallas (the “FHLB”) pursuant to its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We used the proceeds to fund the redemption of the March 15, 2024 draw on the Revolving Credit Facility and redeemed $7.0 million of the March 29, 2023 draw on the Revolving Credit Facility (see “Revolving Credit Facility” below for additional information regarding the redemption).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29, 2023, we entered into an unsecured revolving credit facility (the “Revolving Credit Facility”) with a syndicate of participating banks.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Credit Facility provides us with up to a $150.0 million revolving credit facility and a letter of credit sub-facility of up to $30.0 million.</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14, 2024, we drew $50.0 million on the Revolving Credit Facility and used the proceeds and existing cash to fund the redemption of the Debentures (see “Debentures” below for additional information regarding the redemption).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30, 2024, we fully redeemed the March 15, 2024 draw on the Revolving Credit Facility and redeemed $7.0 million of the March 29, 2023 draw on the Revolving Credit Facility. As of December 31, 2024, we had $43.0 million outstanding under the Revolving Credit Facility with another $107.0 million of undrawn capacity.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SOFR plus a margin of between 150 and 190 basis points based on the ratio of debt to total capital and a credit spread adjustment of 10 basis points. At December 31, 2024, the six-month SOFR on the Revolving Credit Facility was 4.25%, plus a margin of 1.60%.</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covenants on the Revolving Credit Facility based on minimum net worth, maximum debt to capital ratio, minimum A.M. Best Rating and minimum liquidity. As of December 31, 2024, we are in compliance with all covenants.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On March 15, 2024, the Company redeemed the Debentures and paid $1.4 million of accrued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2019, we issued unsecured subordinated notes (the “Notes”) with an aggregate principal amount of $20.0 million. Interest on the subordinated notes is 7.25% fixed for the first eight years and 8.25% fixed thereafter. Early retirement of the debt ahead of the eight-year commitment requires all interest payments to be paid in full, as well as the return of all capital. Principal payment is due at maturity on May 24, 2039 and interest is payable quarterly.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2024 the ratio of total debt outstanding, including the FHLB Loan, the Revolving Credit Facility and the Notes, to total capitalization (defined as total debt plus stockholders’ equity) was 13.1% and at December 31, 2023, the ratio of total debt outstanding, including the Term Loan, the Revolver, the Trust Preferred and the Notes, to total capitalization was 16.3%.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2024, the Board of Directors approved a share repurchase program authorizing the repurchase of up to $50.0 million of our common stock. The shares may be repurchased from time to time in open market purchases, privately-negotiated transactions, block purchases, accelerated share repurchase agreements or a combination of methods, including through Rule 10b5-1 trading plans. The timing, manner, price and amount of any repurchases under the share repurchase program will be determined by us in our discretion. The share repurchase program does not require us to repurchase any specific number of shares, and may be modified, suspended or terminated at any time. As of December 31, 2024, no shares have been repurchased under this plan.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and commercial commitments by due date as of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Payments due by period</w:t>
            </w:r>
          </w:p>
        </w:tc>
        <w:tc>
          <w:tcPr>
            <w:tcW w:w="1220" w:type="dxa"/>
            <w:vAlign w:val="bottom"/>
            <w:tcBorders>
              <w:top w:val="single" w:sz="8" w:color="auto"/>
              <w:bottom w:val="single" w:sz="8" w:color="auto"/>
            </w:tcBorders>
          </w:tcPr>
          <w:p>
            <w:pPr>
              <w:spacing w:after="0"/>
              <w:rPr>
                <w:sz w:val="21"/>
                <w:szCs w:val="21"/>
                <w:color w:val="auto"/>
              </w:rPr>
            </w:pPr>
          </w:p>
        </w:tc>
      </w:tr>
      <w:tr>
        <w:trPr>
          <w:trHeight w:val="169"/>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rPr>
              <w:t>Less Than</w:t>
            </w:r>
          </w:p>
        </w:tc>
        <w:tc>
          <w:tcPr>
            <w:tcW w:w="26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One Year</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One Year</w:t>
            </w:r>
          </w:p>
        </w:tc>
        <w:tc>
          <w:tcPr>
            <w:tcW w:w="260" w:type="dxa"/>
            <w:vAlign w:val="bottom"/>
          </w:tcPr>
          <w:p>
            <w:pPr>
              <w:spacing w:after="0"/>
              <w:rPr>
                <w:sz w:val="21"/>
                <w:szCs w:val="21"/>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or More</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1,782,383</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433,204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1,349,179</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35,197</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2,664</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1,947,458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1,507,040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Reserves for losses and LAE represent our best estimate of the ultimate cost of settling reported and unreported claims and related expenses. Estimating reserves for losses and LAE is based on various complex and subjective judgments. Actual losses and settlement expenses paid may deviate, perhaps substantially, from the reserve estimates reflected in our financial statements. Similarly, the timing for payment of our estimated losses is not fixed and is not determinable on an individual or aggregate basis. The assumptions used in estimating the payments due by period are based on our own, industry and peer group claims payment experience. Due to the uncertainty inherent in the process of estimating the timing of such payments, there is a risk that the amounts paid in any period will be significantly different than the amounts disclosed above. Amounts disclosed above are gross of anticipated amounts recoverable from reinsurers. Reinsurance balances recoverable on reserves for losses and LAE are reported separately as assets, instead of being netted with the related liabilities, since reinsurance does not discharge us of our liability to policyholders. Reinsurance balances recoverable on reserves for paid and unpaid losses and LAE totaled $857.9 million and $596.3 million at December 31, 2024 and December 31, 2023,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Note 1, “Summary of Significant Accounting Policies” to our consolidated financial statements included in Item 8 of this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unpaid losses and LAE</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reserves for unpaid losses and LAE is the largest and most complex estimate in our consolidated balance sheet. The reserves for unpaid losses and LAE represent our estimated ultimate cost of all unreported and reported but unpaid insured claims and the cost to adjust these losses that have occurred as of or before the balance sheet date. We do not discount our reserves for losses and LAE to reflect estimated present value. We estimate the reserves using individual case-basis valuations of reported claims and statistical analyses and various actuarial procedures. Those estimates are based on our historical information, industry and peer group information and our estimates of future trends in variable factors such as loss severity, loss frequency and other factors such as inflation. We regularly review our estimates and adjust them as necessary as experience develops or as new information becomes known to us. Additionally, during the loss settlement period, it often becomes necessary to refine and adjust the estimates of liability on a claim either upward or downward. Even after such adjustments, the ultimate liability may exceed or be less than the revised estimates. Accordingly, the ultimate settlement of losses and the related LAE may vary significantly from the estimate included in our financial statements.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categorize our reserves for unpaid losses and LAE into two types: case reserves and IBNR.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gross and net reserves for unpaid losses and LAE at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r>
      <w:tr>
        <w:trPr>
          <w:trHeight w:val="189"/>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Gross</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of Total</w:t>
            </w:r>
          </w:p>
        </w:tc>
        <w:tc>
          <w:tcPr>
            <w:tcW w:w="2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w:t>
            </w: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Gross</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of Total</w:t>
            </w:r>
          </w:p>
        </w:tc>
        <w:tc>
          <w:tcPr>
            <w:tcW w:w="28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w:t>
            </w: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 of Total</w:t>
            </w:r>
          </w:p>
        </w:tc>
      </w:tr>
      <w:tr>
        <w:trPr>
          <w:trHeight w:val="230"/>
        </w:trPr>
        <w:tc>
          <w:tcPr>
            <w:tcW w:w="1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reserves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567,192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342,612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561,474</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318,863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29"/>
        </w:trPr>
        <w:tc>
          <w:tcPr>
            <w:tcW w:w="1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1,215,191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768,925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753,027</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540,154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62.9 %</w:t>
            </w:r>
          </w:p>
        </w:tc>
      </w:tr>
      <w:tr>
        <w:trPr>
          <w:trHeight w:val="248"/>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1,782,383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1,111,537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1,314,501</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859,017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Case reserves are established for individual claims that have been reported to us. We are notified of losses by our insureds or their agents or our brokers. Based on the information provided, we establish case reserves by estimating the ultimate losses from the claim, including defense costs associated with the ultimate settlement of the claim. Our claims department personnel use their knowledge of the specific claim along with advice from internal and external experts, including underwriters and legal counsel, to estimate the expected ultimate losses. In limited circumstances, we utilize the services of TPAs to assist in the adjustment of claims. Our internal claims managers oversee TPA activities and monitor their individual claim handling activities to our prescribed standards. The incurred but not reported (“IBNR”) reserve is derived by estimating the ultimate unpaid reserve liability and subtracting case reserves.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Management’s best estimate of the ultimate unpaid liability is set by our Reserve Committee, who consider the actuarial indications along with other factors such as underwriting, claims handling, economic, legal and environmental changes.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Reserve Committee includes our Chief Actuary, Chief Financial Officer and Chief Claims Officer. The Reserve Committee meets quarterly to review the actuarial reserving recommendations made by the Chief Actuary and uses their judgment to determine the best estimate to be recorded for the reserve for losses and LAE on our balance sheet. In establishing the quarterly actuarial recommendation for the reserves for losses and LAE, our actuary estimates an initial expected ultimate loss ratio for each of our underwriting divisions. Input from our underwriting and claims departments, including premium pricing assumptions and historical experience, is considered in setting our reserves.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actuarial review considers multiple actuarial methods are used to estimate the reserve for losses and LAE.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actuarial methods used to estimate losses and LAE reserves are:</w:t>
      </w:r>
    </w:p>
    <w:p>
      <w:pPr>
        <w:spacing w:after="0" w:line="7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Reported and/or Paid Loss Development Methods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Reported Bornhuetter-Ferguson Methods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Paid Bornhuetter-Ferguson Method</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evaluating reserves related to less mature policy years, our actuaries rely on the Bornhuetter-Ferguson Method as the primary method for our ultimate loss indications. As we move to more mature policy years, we transition to the Reported and/or Paid Loss Development Methods. We primarily rely on reported methods where case reserving is consistently applied across policy years, however, when there is a change in reserving philosophy we will blend both reported and paid methods in our evaluation of ultimate loss indications.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LAE may vary significantly from the estimates included in our financial statements. We regularly review our estimates and adjust them as necessary as experience develops or as new information becomes known to us. Such adjustments are included in the results of current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amount by which estimated losses differ from those originally reported for a period is known as “development.” Development is unfavorable when the losses ultimately settle for more than the amount reserved or subsequent estimates indicate a basis for reserve increases on unresolved claims. Development is favorable when losses ultimately settle for less than the amount reserved or subsequent estimates indicate a basis for reducing loss reserves on unresolved claims. We reflect favorable or unfavorable development of loss reserves in the results of operations in the period the estimates are changed.</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5% change in net IBNR would result in a $38.4 million change in our reserves for losses and LAE and a $30.4 million change in net income and stockholders’ equity.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(Topic 280). ASU 2023-07 requires segment disclosures for (i) significant segment expenses that are regularly provided to the chief operating decision maker (“CODM”), (ii) how the CODM uses the reported measure(s) of segment profitability in assessing segment performance and resource allocation and (iii) the title and position of the CODM. This update states that entities with a single reportable segment are required to provide full segment disclosures. The guidance became effective for fiscal years beginning after December 15, 2023, and interim periods within fiscal years beginning after December 15, 2024. This update is applied retrospectively to all prior periods presented. We have added additional segment disclosures as required by ASU 2023-07. There was no impact to the consolidated financial statements.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public companies, on an annual basis, provide enhanced rate reconciliation disclosures, including disclosures of specific categories and additional information that meet a quantitative threshold. This update also requires public companies to, among other things, disaggregate income taxes paid by federal, state and foreign taxes. The guidance is effective for fiscal years beginning after December 15, 2024. We do not expect the amendments will have a material impact on our consolidated financial statements.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ASU 2024-03 require a footnote disclosure about specific expenses by requiring PBEs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would also include certain other expenses, when applicable. In January 2025, the FASB issued ASU 2025-01 to clarify the effective date of ASU 2024-03 as the first annual reporting period beginning after December 15, 2026, and interim reporting periods within annual reporting periods beginning after December 15, 2027. We are evaluating the effect of the amendments on our consolidated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Qualitative and Quantitative Disclosures about Market Risk are included in Item 7 of this Form 10-K under “Investments—Market Risk.”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117" w:lineRule="exact"/>
        <w:rPr>
          <w:sz w:val="20"/>
          <w:szCs w:val="20"/>
          <w:color w:val="auto"/>
        </w:rPr>
      </w:pPr>
    </w:p>
    <w:p>
      <w:pPr>
        <w:ind w:right="3360" w:firstLine="3364"/>
        <w:spacing w:after="0" w:line="377"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Stockholders and the Board of Directors of Skyward Specialty Insurance Group, Inc. Opinion on Internal Control Over Financial Reporting</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Skyward Specialty Insurance Group, Inc.’s internal control over financial reporting as of December 31, 2024,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Skyward Specialty Insurance Group, Inc. (the Company) has not maintained effective internal control over financial reporting as of December 31, 2024, based on the COSO criteria.</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that existed as of December 31, 2024, related to the ineffective implementation of information technology general controls (“ITGCs”) in the area of user access for systems that support the Company’s financial reporting processes. Further, the Company’s related process-level IT dependent manual and automated controls that rely upon the affected ITGCs, or information coming from IT systems with affected ITGCs, were also deemed ineffective.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income (loss), stockholders’ equity and cash flows for each of the three years in the period ended December 31, 2024, and the related notes and financial statement schedules listed in the Index at Item 15(a). This material weakness was considered in determining the nature, timing and extent of audit tests applied in our audit of the 2024 consolidated financial statements, and this report does not affect our report dated March 3, 2025, which expressed an unqualified opinion thereon.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360" w:firstLine="3364"/>
        <w:spacing w:after="0" w:line="377"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Stockholders and the Board of Directors of Skyward Specialty Insurance Group, Inc. 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Skyward Specialty Insurance Group, Inc. and subsidiaries (the Company) as of December 31, 2024 and 2023, the related consolidated statements of operations and comprehensive income, stockholders' equity and cash flows for each of the three years in the period ended December 31, 2024, and the related notes and financial statement schedules listed in the Index at Item 15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of Reserves for Unpaid Losses and Loss Adjustment Expenses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11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At December 31, 2024, the Company’s reserves for unpaid losses and loss adjustment expenses (LAE) was $1.8 billion, of which a significant portion represents incurred but not reported reserves (IBNR). As described in Note 1 of the consolidated financial statements, the reserves for unpaid losses and LAE represents the Company’s estimated ultimate cost of all unreported and reported but unpaid insured claims and the cost to adjust the losses that have been incurred as of the balance sheet date. The Company estimates the reserves for unpaid losses and LAE using individual case-basis valuations of reported claims and statistical analyses and various actuarial procedures. Those estimates are based on historical information, industry and peer group information, and estimates of trends in factors such as loss severity, loss frequency, and other factors such as inflation.</w:t>
      </w:r>
    </w:p>
    <w:p>
      <w:pPr>
        <w:spacing w:after="0" w:line="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Auditing management’s estimate of reserves for unpaid losses and LAE, including IBNR, was complex and involved our actuarial specialists due to the significant estimation uncertainty associated with evaluating management’s methods and assumptions including loss development factors, expected loss ratios, and trends applied to the Company’s historical experience. These assumptions have a significant effect on the valuation of IBNR reserves.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1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With the assistance of actuarial specialists, our audit procedures to test the Company’s reserves for unpaid losses and LAE included, among others, an evaluation of the selection of the actuarial methods utilized by management, including comparison with the actuarial methods used in prior periods and those used in the industry. In addition, we evaluated the assumptions used in the actuarial methods, by comparing the significant assumptions, including loss development factors, expected loss ratios, and trends to the Company’s historical experience and current industry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benchmarks and trends. We developed an independent range of reserve estimates and compared the range of reserve estimates to management’s best estimate for unpaid losses and LAE. We also performed a review of the development of prior year reserve estimates.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73"/>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available-for-sale, at fair value (amortized cost of $1,320,266 and $1,047,713,</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1,292,218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held-to-maturity, at amortized cost (net of allowance for credit losses of $243</w:t>
            </w: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39,153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$329, respectively)</w:t>
            </w:r>
          </w:p>
        </w:tc>
        <w:tc>
          <w:tcPr>
            <w:tcW w:w="3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42,986</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106,254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118,249</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 at fair value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98,594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33,182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274,929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270,226</w:t>
            </w: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1,870,820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1,613,687</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121,603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35,922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321,641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179,235</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857,876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596,334</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203,901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113,183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91,955</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30,486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87,348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88,435</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86,698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75,341</w:t>
            </w:r>
          </w:p>
        </w:tc>
        <w:tc>
          <w:tcPr>
            <w:tcW w:w="0" w:type="dxa"/>
            <w:vAlign w:val="bottom"/>
          </w:tcPr>
          <w:p>
            <w:pPr>
              <w:spacing w:after="0"/>
              <w:rPr>
                <w:sz w:val="1"/>
                <w:szCs w:val="1"/>
                <w:color w:val="auto"/>
              </w:rPr>
            </w:pPr>
          </w:p>
        </w:tc>
      </w:tr>
      <w:tr>
        <w:trPr>
          <w:trHeight w:val="223"/>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3,729,478</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2,953,435</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losses and loss adjustment expenses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1,782,383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1,314,501</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637,185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552,532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37,057</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and premium payables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177,070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150,156</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held for others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102,665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58,588</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76,206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19,536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78,690</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2,935,479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2,292,404</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40,127,908 and 39,863,756 shares issued</w:t>
            </w: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36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718,598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710,855</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notes receivable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(22,120)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97,120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793,999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661,031</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3,729,478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2,953,435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5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220" w:type="dxa"/>
            <w:vAlign w:val="bottom"/>
            <w:tcBorders>
              <w:top w:val="single" w:sz="8" w:color="auto"/>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1,056,722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829,143</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615,994</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29"/>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(loss) income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1,150,200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885,969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642,420</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402,512</w:t>
            </w:r>
          </w:p>
        </w:tc>
        <w:tc>
          <w:tcPr>
            <w:tcW w:w="0" w:type="dxa"/>
            <w:vAlign w:val="bottom"/>
          </w:tcPr>
          <w:p>
            <w:pPr>
              <w:spacing w:after="0"/>
              <w:rPr>
                <w:sz w:val="1"/>
                <w:szCs w:val="1"/>
                <w:color w:val="auto"/>
              </w:rPr>
            </w:pPr>
          </w:p>
        </w:tc>
      </w:tr>
      <w:tr>
        <w:trPr>
          <w:trHeight w:val="230"/>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311,757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182,171</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229"/>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997,461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775,867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592,637</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49,783</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35" w:right="359" w:bottom="1440" w:gutter="0" w:footer="0" w:header="0"/>
        </w:sectPr>
      </w:pPr>
    </w:p>
    <w:p>
      <w:pPr>
        <w:ind w:left="1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710628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Unrealized gains and losses on investments:</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change in unrealized gains (losses) on investments,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106285"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43" w:lineRule="exact"/>
        <w:rPr>
          <w:sz w:val="20"/>
          <w:szCs w:val="20"/>
          <w:color w:val="auto"/>
        </w:rPr>
      </w:pPr>
    </w:p>
    <w:p>
      <w:pPr>
        <w:ind w:left="560" w:right="600" w:hanging="188"/>
        <w:spacing w:after="0" w:line="282" w:lineRule="auto"/>
        <w:rPr>
          <w:sz w:val="20"/>
          <w:szCs w:val="20"/>
          <w:color w:val="auto"/>
        </w:rPr>
      </w:pPr>
      <w:r>
        <w:rPr>
          <w:rFonts w:ascii="Times New Roman" w:cs="Times New Roman" w:eastAsia="Times New Roman" w:hAnsi="Times New Roman"/>
          <w:sz w:val="18"/>
          <w:szCs w:val="18"/>
          <w:color w:val="auto"/>
        </w:rPr>
        <w:t>Reclassification adjustment for (losses) gains on securities no longer held,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560" w:val="left"/>
          <w:tab w:leader="none" w:pos="3080" w:val="left"/>
        </w:tabs>
        <w:rPr>
          <w:sz w:val="20"/>
          <w:szCs w:val="20"/>
          <w:color w:val="auto"/>
        </w:rPr>
      </w:pPr>
      <w:r>
        <w:rPr>
          <w:rFonts w:ascii="Times New Roman" w:cs="Times New Roman" w:eastAsia="Times New Roman" w:hAnsi="Times New Roman"/>
          <w:sz w:val="18"/>
          <w:szCs w:val="18"/>
          <w:b w:val="1"/>
          <w:bCs w:val="1"/>
          <w:color w:val="auto"/>
        </w:rPr>
        <w:t>9,792</w:t>
      </w:r>
      <w:r>
        <w:rPr>
          <w:sz w:val="20"/>
          <w:szCs w:val="20"/>
          <w:color w:val="auto"/>
        </w:rPr>
        <w:tab/>
      </w:r>
      <w:r>
        <w:rPr>
          <w:rFonts w:ascii="Times New Roman" w:cs="Times New Roman" w:eastAsia="Times New Roman" w:hAnsi="Times New Roman"/>
          <w:sz w:val="18"/>
          <w:szCs w:val="18"/>
          <w:color w:val="auto"/>
        </w:rPr>
        <w:t>25,516</w:t>
      </w:r>
      <w:r>
        <w:rPr>
          <w:sz w:val="20"/>
          <w:szCs w:val="20"/>
          <w:color w:val="auto"/>
        </w:rPr>
        <w:tab/>
      </w:r>
      <w:r>
        <w:rPr>
          <w:rFonts w:ascii="Times New Roman" w:cs="Times New Roman" w:eastAsia="Times New Roman" w:hAnsi="Times New Roman"/>
          <w:sz w:val="18"/>
          <w:szCs w:val="18"/>
          <w:color w:val="auto"/>
        </w:rPr>
        <w:t>(48,545)</w:t>
      </w:r>
    </w:p>
    <w:p>
      <w:pPr>
        <w:spacing w:after="0" w:line="279" w:lineRule="exact"/>
        <w:rPr>
          <w:sz w:val="20"/>
          <w:szCs w:val="20"/>
          <w:color w:val="auto"/>
        </w:rPr>
      </w:pPr>
    </w:p>
    <w:p>
      <w:pPr>
        <w:spacing w:after="0"/>
        <w:tabs>
          <w:tab w:leader="none" w:pos="1580" w:val="left"/>
          <w:tab w:leader="none" w:pos="3380" w:val="left"/>
        </w:tabs>
        <w:rPr>
          <w:sz w:val="20"/>
          <w:szCs w:val="20"/>
          <w:color w:val="auto"/>
        </w:rPr>
      </w:pPr>
      <w:r>
        <w:rPr>
          <w:rFonts w:ascii="Times New Roman" w:cs="Times New Roman" w:eastAsia="Times New Roman" w:hAnsi="Times New Roman"/>
          <w:sz w:val="18"/>
          <w:szCs w:val="18"/>
          <w:b w:val="1"/>
          <w:bCs w:val="1"/>
          <w:color w:val="auto"/>
        </w:rPr>
        <w:t>(8,959)</w:t>
      </w:r>
      <w:r>
        <w:rPr>
          <w:sz w:val="20"/>
          <w:szCs w:val="20"/>
          <w:color w:val="auto"/>
        </w:rPr>
        <w:tab/>
      </w:r>
      <w:r>
        <w:rPr>
          <w:rFonts w:ascii="Times New Roman" w:cs="Times New Roman" w:eastAsia="Times New Roman" w:hAnsi="Times New Roman"/>
          <w:sz w:val="18"/>
          <w:szCs w:val="18"/>
          <w:color w:val="auto"/>
        </w:rPr>
        <w:t>(4,984)</w:t>
      </w:r>
      <w:r>
        <w:rPr>
          <w:sz w:val="20"/>
          <w:szCs w:val="20"/>
          <w:color w:val="auto"/>
        </w:rPr>
        <w:tab/>
      </w:r>
      <w:r>
        <w:rPr>
          <w:rFonts w:ascii="Times New Roman" w:cs="Times New Roman" w:eastAsia="Times New Roman" w:hAnsi="Times New Roman"/>
          <w:sz w:val="17"/>
          <w:szCs w:val="17"/>
          <w:color w:val="auto"/>
        </w:rPr>
        <w:t>420</w:t>
      </w:r>
    </w:p>
    <w:p>
      <w:pPr>
        <w:spacing w:after="0" w:line="41" w:lineRule="exact"/>
        <w:rPr>
          <w:sz w:val="20"/>
          <w:szCs w:val="20"/>
          <w:color w:val="auto"/>
        </w:rPr>
      </w:pPr>
    </w:p>
    <w:p>
      <w:pPr>
        <w:sectPr>
          <w:pgSz w:w="11900" w:h="16838" w:orient="portrait"/>
          <w:cols w:equalWidth="0" w:num="2">
            <w:col w:w="6760" w:space="720"/>
            <w:col w:w="3740"/>
          </w:cols>
          <w:pgMar w:left="320" w:top="135" w:right="359" w:bottom="1440" w:gutter="0" w:footer="0" w:header="0"/>
          <w:type w:val="continuous"/>
        </w:sectPr>
      </w:pPr>
    </w:p>
    <w:tbl>
      <w:tblPr>
        <w:tblLayout w:type="fixed"/>
        <w:tblInd w:w="40" w:type="dxa"/>
        <w:tblCellMar>
          <w:top w:w="0" w:type="dxa"/>
          <w:left w:w="0" w:type="dxa"/>
          <w:bottom w:w="0" w:type="dxa"/>
          <w:right w:w="0" w:type="dxa"/>
        </w:tblCellMar>
      </w:tblPr>
      <w:tr>
        <w:trPr>
          <w:trHeight w:val="214"/>
        </w:trPr>
        <w:tc>
          <w:tcPr>
            <w:tcW w:w="6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40,056,475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36,031,907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16,568,393</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41,377,460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38,317,534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32,653,194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54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2460" w:type="dxa"/>
            <w:vAlign w:val="bottom"/>
            <w:tcBorders>
              <w:top w:val="single" w:sz="8" w:color="auto"/>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4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Common shares: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39,863,756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16,599,666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16,533,620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264,152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6,958,977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16,305,113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40,127,908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39,863,756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16,599,666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5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710,855</w:t>
            </w:r>
          </w:p>
        </w:tc>
        <w:tc>
          <w:tcPr>
            <w:tcW w:w="5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575,159</w:t>
            </w:r>
          </w:p>
        </w:tc>
        <w:tc>
          <w:tcPr>
            <w:tcW w:w="0" w:type="dxa"/>
            <w:vAlign w:val="bottom"/>
          </w:tcPr>
          <w:p>
            <w:pPr>
              <w:spacing w:after="0"/>
              <w:rPr>
                <w:sz w:val="1"/>
                <w:szCs w:val="1"/>
                <w:color w:val="auto"/>
              </w:rPr>
            </w:pPr>
          </w:p>
        </w:tc>
      </w:tr>
      <w:tr>
        <w:trPr>
          <w:trHeight w:val="230"/>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718,598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577,289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notes receivable: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(5,562)</w:t>
            </w:r>
          </w:p>
        </w:tc>
        <w:tc>
          <w:tcPr>
            <w:tcW w:w="5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(22,953)</w:t>
            </w:r>
          </w:p>
        </w:tc>
        <w:tc>
          <w:tcPr>
            <w:tcW w:w="5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(22,120)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(21,708)</w:t>
            </w:r>
          </w:p>
        </w:tc>
        <w:tc>
          <w:tcPr>
            <w:tcW w:w="5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(144,813)</w:t>
            </w:r>
          </w:p>
        </w:tc>
        <w:tc>
          <w:tcPr>
            <w:tcW w:w="0" w:type="dxa"/>
            <w:vAlign w:val="bottom"/>
          </w:tcPr>
          <w:p>
            <w:pPr>
              <w:spacing w:after="0"/>
              <w:rPr>
                <w:sz w:val="1"/>
                <w:szCs w:val="1"/>
                <w:color w:val="auto"/>
              </w:rPr>
            </w:pPr>
          </w:p>
        </w:tc>
      </w:tr>
      <w:tr>
        <w:trPr>
          <w:trHeight w:val="230"/>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effect on adoption of ASU No. 2016-13</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December 31</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793,999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421,662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Undistributed loss (earnings) from long-term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(16,032)</w:t>
            </w:r>
          </w:p>
        </w:tc>
        <w:tc>
          <w:tcPr>
            <w:tcW w:w="0" w:type="dxa"/>
            <w:vAlign w:val="bottom"/>
          </w:tcPr>
          <w:p>
            <w:pPr>
              <w:spacing w:after="0"/>
              <w:rPr>
                <w:sz w:val="1"/>
                <w:szCs w:val="1"/>
                <w:color w:val="auto"/>
              </w:rPr>
            </w:pP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Premiums receivable,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(142,406)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Reinsurance recoverables,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(45,032)</w:t>
            </w:r>
          </w:p>
        </w:tc>
        <w:tc>
          <w:tcPr>
            <w:tcW w:w="0" w:type="dxa"/>
            <w:vAlign w:val="bottom"/>
          </w:tcPr>
          <w:p>
            <w:pPr>
              <w:spacing w:after="0"/>
              <w:rPr>
                <w:sz w:val="1"/>
                <w:szCs w:val="1"/>
                <w:color w:val="auto"/>
              </w:rPr>
            </w:pP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Ceded unearned premium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0" w:type="dxa"/>
            <w:vAlign w:val="bottom"/>
          </w:tcPr>
          <w:p>
            <w:pPr>
              <w:spacing w:after="0"/>
              <w:rPr>
                <w:sz w:val="1"/>
                <w:szCs w:val="1"/>
                <w:color w:val="auto"/>
              </w:rPr>
            </w:pP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Federal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Losses and loss adjustment expenses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467,882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162,208</w:t>
            </w:r>
          </w:p>
        </w:tc>
        <w:tc>
          <w:tcPr>
            <w:tcW w:w="0" w:type="dxa"/>
            <w:vAlign w:val="bottom"/>
          </w:tcPr>
          <w:p>
            <w:pPr>
              <w:spacing w:after="0"/>
              <w:rPr>
                <w:sz w:val="1"/>
                <w:szCs w:val="1"/>
                <w:color w:val="auto"/>
              </w:rPr>
            </w:pP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Unearned premiums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79,221</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ceding commission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Reinsurance and premium payables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Funds held for others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0" w:type="dxa"/>
            <w:vAlign w:val="bottom"/>
          </w:tcPr>
          <w:p>
            <w:pPr>
              <w:spacing w:after="0"/>
              <w:rPr>
                <w:sz w:val="1"/>
                <w:szCs w:val="1"/>
                <w:color w:val="auto"/>
              </w:rPr>
            </w:pP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305,115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208,938</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fixed maturity securities, available-for-sale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(617,606)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(268,781)</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illiquid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(53,548)</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equity method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direct and indirect loans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sales of fixed maturity securities, available-for-sale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calls, transfers and paydowns of fixed maturity securities, available-for-sale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122,694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Maturities, calls and paydowns of fixed maturity securities held-to-maturity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sales of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37,177</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of and distributions from equity method and other long-term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short-term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receivable/payable for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provided by deposit accounting</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investment activities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(243,694)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(193,381)</w:t>
            </w:r>
          </w:p>
        </w:tc>
        <w:tc>
          <w:tcPr>
            <w:tcW w:w="0" w:type="dxa"/>
            <w:vAlign w:val="bottom"/>
          </w:tcPr>
          <w:p>
            <w:pPr>
              <w:spacing w:after="0"/>
              <w:rPr>
                <w:sz w:val="1"/>
                <w:szCs w:val="1"/>
                <w:color w:val="auto"/>
              </w:rPr>
            </w:pPr>
          </w:p>
        </w:tc>
      </w:tr>
      <w:tr>
        <w:trPr>
          <w:trHeight w:val="19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share purchases</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stock notes receivable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 term borrowings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long term borrowings and trust preferred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(116,794)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initial public offering</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130,947</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beginning of period</w:t>
            </w:r>
            <w:r>
              <w:rPr>
                <w:rFonts w:ascii="Times New Roman" w:cs="Times New Roman" w:eastAsia="Times New Roman" w:hAnsi="Times New Roman"/>
                <w:sz w:val="21"/>
                <w:szCs w:val="21"/>
                <w:b w:val="1"/>
                <w:b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107,274</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r>
              <w:rPr>
                <w:rFonts w:ascii="Times New Roman" w:cs="Times New Roman" w:eastAsia="Times New Roman" w:hAnsi="Times New Roman"/>
                <w:sz w:val="21"/>
                <w:szCs w:val="21"/>
                <w:b w:val="1"/>
                <w:bCs w:val="1"/>
                <w:color w:val="auto"/>
                <w:vertAlign w:val="superscript"/>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federal income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36,980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The sum of cash and cash equivalents and restricted cash from the consolidated balance sheets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3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rFonts w:ascii="Times New Roman" w:cs="Times New Roman" w:eastAsia="Times New Roman" w:hAnsi="Times New Roman"/>
          <w:sz w:val="18"/>
          <w:szCs w:val="18"/>
          <w:b w:val="1"/>
          <w:bCs w:val="1"/>
          <w:u w:val="single" w:color="auto"/>
          <w:color w:val="231F20"/>
        </w:rPr>
        <w:t>.</w:t>
      </w:r>
      <w:r>
        <w:rPr>
          <w:sz w:val="20"/>
          <w:szCs w:val="20"/>
          <w:color w:val="auto"/>
        </w:rPr>
        <w:tab/>
      </w:r>
      <w:r>
        <w:rPr>
          <w:rFonts w:ascii="Times New Roman" w:cs="Times New Roman" w:eastAsia="Times New Roman" w:hAnsi="Times New Roman"/>
          <w:sz w:val="17"/>
          <w:szCs w:val="17"/>
          <w:b w:val="1"/>
          <w:bCs w:val="1"/>
          <w:u w:val="single" w:color="auto"/>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  Description of Business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Specialty Insurance Group, Inc. (the “Company”), an insurance holding company, is a Delaware corporation that was organized in 2006. It is a specialty insurance company operating in one segment delivering commercial property and casualty products insurance coverages through its underwriting divisions.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four wholly owned insurance company subsidiaries based in the United States:</w:t>
      </w:r>
    </w:p>
    <w:p>
      <w:pPr>
        <w:spacing w:after="0" w:line="117" w:lineRule="exact"/>
        <w:rPr>
          <w:sz w:val="20"/>
          <w:szCs w:val="20"/>
          <w:color w:val="auto"/>
        </w:rPr>
      </w:pPr>
    </w:p>
    <w:p>
      <w:pPr>
        <w:ind w:left="660" w:firstLine="320"/>
        <w:spacing w:after="0" w:line="282" w:lineRule="auto"/>
        <w:tabs>
          <w:tab w:leader="none" w:pos="13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Midwest Insurance Company (“GMIC”) underwrites insurance on an admitted basis and is a certified surety bond company listed with the U.S. Department of the Treasury.</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Specialty Insurance Company (“HSIC”), a subsidiary of GMIC, underwrites insurance on a non-admitted basis.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Imperium Insurance Company (“IIC”), a subsidiary of HSIC, underwrites insurance on an admitted basis.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Oklahoma Specialty Insurance Company (“OSIC”), a subsidiary of IIC, underwrites insurance on a non-admitted basis.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wholly owned captive reinsurance company subsidiary, Skyward Re, that is domiciled in the Cayman Islands and assumed net reserves for certain divisions, related to a retroactive reinsurance contract, from the Company’s insurance companies and retroceded the net reserves to a third-party reinsurer.</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three non-risk bearing wholly owned subsidiaries, (i) Skyward Underwriters Agency, Inc. (“SUA”),a managing general insurance agent and reinsurance broker for property and casualty risks in specialty niche markets, (ii) Skyward Service Company an entity which provides various administrative services to the Company’s subsidiaries, and (iii) Skyward Specialty No. 1 Limited, a Lloyd’s corporate member authorized to invest in Lloyd’s syndicates.</w:t>
      </w:r>
    </w:p>
    <w:p>
      <w:pPr>
        <w:spacing w:after="0" w:line="68"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Basis of Presentation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generally accepted accounting principles in the United States of America (“GAAP”), which differ in some respects from those followed in reports to insurance regulatory authorities. The consolidated financial statements include the accounts of the holding company and its subsidiaries. All intercompany transactions and balances have been eliminated in consolidation.</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the Company to make estimates and assumptions that affect amounts reported in the consolidated financial statements and accompanying notes. The Company’s actual results could differ from those estimates.</w:t>
      </w:r>
    </w:p>
    <w:p>
      <w:pPr>
        <w:spacing w:after="0" w:line="50"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fixed maturity securities with original maturities of three months or less. The carrying value of the Company’s cash and cash equivalents approximates fair value.</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with a legal restriction on withdrawal or use by the consolidated group is recorded as restricted cash. The carrying value of the Company’s restricted cash approximates fair value.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SUA collects premiums from clients, and after deducting commissions and any applicable fees, remits these premiums to the Company’s insurance companies, or to third-party insurance companies. SUA holds unremitted insurance premiums in a fiduciary capacity to third-party insurance companies, as restricted cash.</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required by state regulations to maintain assets on deposit with certain states and hold cash as collateral for certain reinsurance balances. Cash held in a depository account for others, or restricted by a state, is recorded as restricted cash.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right="3260" w:firstLine="3258"/>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b w:val="1"/>
          <w:bCs w:val="1"/>
          <w:u w:val="single" w:color="auto"/>
          <w:color w:val="auto"/>
        </w:rPr>
        <w:t>1. Summary of Significant Accounting Policies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Investments in fixed maturities that are classified as available-for-sale are carried at fair value. For available-for-sale fixed maturities in an unrealized loss position, the Company first determines whether there is an intent to sell the security or if it is more likely than not that the Company will be required to sell the security before maturity or recovery of its cost basis. If either of these criteria are met, the amortized cost of the security is written down to fair value with the losses recognized in net investment gains on the consolidated statements of operations. If neither of the these criteria are met, the Company determines whether unrealized losses are due to credit-related factors. If the unrealized losses are due to credit-related factors, an allowance for credit losses is determined using a present value of cash flows compared to the amortized cost of the security.</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limited to the amount by which fair value is below amortized cost. Changes in the allowance for credit losses are recognized in net investment income on the consolidated statements of operations. Credit losses that are limited by the fair value of the security are recognized in stockholders’ equity, net of taxes, as a component of accumulated other comprehensive loss. Unrealized losses that are not credit-related continue to be recognized in stockholders’ equity, net of taxes, as a component of accumulated other comprehensive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 to maturity</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Investments in fixed maturity securities that are held-to-maturity are carried at amortized cost net of an allowance for credit losses. The allowance for credit losses represents the current estimate of expected credit losses. The Company develops a historical loss rate from Moody’s multi-year cumulative loss rates for asset backed securities. The historical loss rate is adjusted for current conditions and reasonable and supportable forecasts. Changes in the allowance for credit losses are recognized in net investment income on the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with a readily determinable fair value</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securities consists of common stock or preferred stock. Mutual funds, including those that invest mostly in debt securities, are classified as equity securities. Investments in equity securities with a readily determinable fair value are carried on the balance sheet at fair value using quoted market prices. Changes in the carrying value of equity securities are included in net investment (losses) gains within the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Investments in mortgage loans are classified as held for investment and carried on the balance sheet at cost adjusted for unamortized premiums, discounts and loan fees. When an amount is determined to be uncollectible, the Company writes off the uncollectible amount in the period it was determined to be uncollectible. Interest on the loans is recognized as interest receivable which the Company includes in other assets on the consolidated balance sheet.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elected the fair value option in accounting for mortgage loans effective January 1, 2023 as targeted transition relief from the adoption of ASU 2016-13. Under the fair value option, mortgage loans are measured at fair value, and changes in unrealized gains and losses on mortgage loans are reported in net investment (losses) gains on the consolidated statements of operations. Interest income and amortization continue to be recognized in net investment income on the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Equity method investments include investments in equity and equity securities of non-public entities and indirect investments in loans and loan collateral.</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equity investments in certain limited partnerships and corporations where it has significant influence but not control. The analysis of entities that are variable interest entities indicated the Company is not the primary beneficiary, and would not have to consolidate these entities. Equity method is used to account for these investments in unconsolidated subsidiaries. Under the equity method, initial investment is recorded at cost and is subsequently adjusted based on its proportionate share of distributions and net income or loss of the equity method investee. The difference between the cost of an investment and its proportionate share of the underlying equity in net assets recorded on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Summary of Significant Accounting Policies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investee’s books is a component of investment income. The Company amortizes the difference as an adjustment to its pro-rata share of equity method income over the useful life which is based on the underlying asset.</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have significant influence in its investments in equity securities of non-public entities. When these securities do not have a readily determinable fair value, the Company carries these investments at cost, minus impairment, if any, and changes resulting from observable price changes in orderly transactions for identical or similar investments of the same issuer.</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Investments in indirect collateralized loans and loan collateral are held through and accounted for as an ownership interest in an unconsolidated subsidiary. The Company’s ownership interests in unconsolidated subsidiaries consists of investments in entities such as partnerships, joint ventures, and special purpose investment vehicles. The Company has significant influence, but not control of these unconsolidated subsidiaries and uses the equity method to account for these investments.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long-term investments consist of an investment in a limited partnership held at net asset value (“NAV”) and other long-term investment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investments consist primarily of money market funds and are carried at cost which approximates fair value.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 and Net Realized Gains and Losses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investment income consists of interest, dividends and equity in earnings (losses) of unconsolidated subsidiaries net of investment expenses such as investment management expenses. Interest income is recognized on the accrual basis, and dividends as earned at the ex-dividend date. Interest income on mortgage-backed and other asset-backed securities is recognized using the effective-yield method based on estimated principal repayments. Included in interest income is the amortization of premium and accretion of discounts on debt securities.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realized gains and losses on investments are recognized in net income based upon the specific identification method.</w:t>
      </w:r>
    </w:p>
    <w:p>
      <w:pPr>
        <w:spacing w:after="0" w:line="113"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 Accounting</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purchases prospective reinsurance for certain lines of business on a proportional, excess of loss and facultative basis. Proportional reinsurance requires the Company to share the losses and expenses with the reinsurer in exchange for a share of the premiums. Excess of loss reinsurance shares losses, either a proportion of or in its entirety, above a certain dollar threshold, in exchange for a negotiated cost. Facultative reinsurance covers specific risks and/or policies on either a proportional or excess of loss basis.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Ceded unearned premium and reinsurance balances recoverable—on paid and unpaid losses and settlement expenses—are reported separately as assets, instead of netting them with the related liabilities, since reinsurance does not relieve the Company of its legal liability to its policyholders. Reinsurance on unpaid losses and settlement expenses represent estimates of the portion of the liabilities recoverable from reinsurers. On the Consolidated Statements of Operations, net earned premiums, losses and loss adjustment expenses, net and underwriting, acquisition and insurance expenses are presented net of reinsurance ceded.</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purchases retroactive reinsurance on certain lines of business in the form of loss portfolio transfers (“LPT”) and adverse development covers. These contracts provide indemnification of losses related to past loss events where the reinsurer shares losses, either a proportion of or in its entirety, depending on certain dollar thresholds. Income generated from retroactive reinsurance contracts is deferred and amortized into net income over the settlement period and losses are charged to net income immediately. Subsequent changes in the measurement of the retroactive reinsurance contract are accounted for under a full retrospective method.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Summary of Significant Accounting Policies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 Accounting</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ceded reinsurance contracts, which management determines do not transfer significant insurance risk, are accounted for using the deposit method of accounting. The evaluation of the transfer of significant insurance risk involves an assessment of both timing risk and underwriting risk. Management may determine that a reinsurance contract does not transfer significant insurance risk if either underwriting risk or timing risk or both are not deemed to have been transferred. For those contracts that transfer only significant timing risk and do not transfer sufficient underwriting risk, a deposit asset is recorded equal to the initial cash outflow under the contract, which will then be offset by cash inflows received from the reinsurers. To the extent cash outflows are expected to differ from expected cash inflows, an accretion rate is established at inception of the contract based on actuarial estimates whereby the deposit accounting asset is increased/decreased to the estimated amount receivable over the contract term. The accretion of the deposit is based on the expected rate of return implied from the estimated cash inflows and outflows under the contract.</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Periodically, the Company reassesses the estimated ultimate receivable and the related expected rate of return on the deposit asset. The accretion of the deposit asset, including any changes in accretion resulting from changes in estimated cash flows, are reflected as part of investment income in the Company’s results of operations. Several reinsurance contracts require deposit accounting treatment due to not transferring sufficient underwriting risk. There were no reinsurance contracts that require deposit accounting treatment due to not transferring sufficient timing risk.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 Recoverables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Reinsurance recoverables are carried net of an allowance for credit losses. The allowance for credit losses represents the current estimate of expected credit losses. The Company develops a historical loss rate using the A.M. Best impairment rate and rating transition study which provides historical loss data of similarly rated reinsurance companies based on the expected duration of the receivables. The historical loss rate is adjusted for current conditions, reasonable and supportable forecasts and consideration of current economic conditions. Changes in the allowance for credit losses are recognized in underwriting, acquisition and insurance expenses on the consolidated statements of operations.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Reinsurance does not relieve the Company of its legal liability to its policyholders. The Company continuously monitors the financial condition of its reinsurers. As part of its monitoring efforts, the Company reviews the reinsurers’ annual financial statements. The Company also reviews insurance industry developments that may impact the financial condition of its reinsurers.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analyzes the credit risk associated with its reinsurance recoverables by monitoring the financial strength rating of its reinsurers from A.M. Best. It also assesses the adequacy of collateral obtained, where applicable. Should its reinsurers fail to fulfill their obligations, the Company has access to collateral from various reinsurers. As of December 31, 2024 and 2023, reinsurance collateral from reinsurers was $337.0 million and $257.5 million, respectively.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Reinsurance recoverables present potential exposures to individual reinsurers. Everest Reinsurance Co. and eMaxx Captives represented 18.0% and 16.8%, respectively, of the Company’s reinsurance recoverable balances at December 31, 2024, and 20.4% and 20.4%, respectively, at December 31, 2023, and were the only reinsurers that represented 10% or more of the Company’s reinsurance recoverable balances. Everest Reinsurance Co’s financial strength rating from A.M. Best was A+ at December 31, 2024 and 2023 and eMaxx Captives was not rated by A.M. Best at December 31, 2024 and 2023.</w:t>
      </w:r>
    </w:p>
    <w:p>
      <w:pPr>
        <w:spacing w:after="0" w:line="68"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reinsurance recoverables, financial instruments that potentially subject us to concentrations of credit risk are primarily cash and cash equivalents, restricted cash, investments and premiums receivable.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equivalents and short-term investments include U.S. government securities and money market funds. Investments are diversified throughout many industries and geographic regions. The Company limits the amount of credit exposure with any one financial institution or issuer and believes no significant concentration of credit risk exists with respect to cash and investments. As of December 31, 2024 and 2023, outstanding premiums receivable are generally diversified due to the large number of entities comprising the Company’s customer base and their dispersion across many different lines of business and geographic regions. Failure by distribution sources to remit premiums could result in premium write-offs and a corresponding loss of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right="3260" w:firstLine="3258"/>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b w:val="1"/>
          <w:bCs w:val="1"/>
          <w:u w:val="single" w:color="auto"/>
          <w:color w:val="auto"/>
        </w:rPr>
        <w:t>1. Summary of Significant Accounting Policies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Policy acquisition costs consist of commissions and premium taxes that vary with and are directly related to the successful production of new or renewal business. The Company defers policy acquisition costs and related ceding commissions and charges or credits them to earnings in proportion with the premium earned over the life of the policy.</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premium deficiency is recognized if the sum of expected losses, loss adjustment expenses, and unamortized acquisition costs exceed its related unearned premiums. The Company first recognizes a premium deficiency by charging any unamortized acquisition costs to expense to the extent required to eliminate the deficiency. If its premium deficiency is greater than unamortized acquisition costs, it accrues a liability for the excess deficiency. Anticipated investment income is considered in the determination of premium deficiencies. Management performed an analysis and determined no premium deficiency existed as of December 31, 2024 and 2023.</w:t>
      </w:r>
    </w:p>
    <w:p>
      <w:pPr>
        <w:spacing w:after="0" w:line="71" w:lineRule="exact"/>
        <w:rPr>
          <w:sz w:val="20"/>
          <w:szCs w:val="20"/>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Goodwill and Intangible Assets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and intangible assets are recorded as a result of a business combination. Goodwill represents the excess of the purchase price over the fair value of the assets acquired and liabilities assumed. The Company reviews its purchase price allocation up to one year subsequent to an acquisition and may make adjustments within the one-year period. The Company amortizes identifiable intangible assets with a finite useful life over the period that the intangible asset is expected to contribute directly or indirectly to its future cash flows; however, it does not amortize indefinite lived intangible assets.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reviews goodwill and identifiable intangible assets for recoverability annually in the fourth quarter or on an interim basis should events or changes in circumstances indicate that a carrying amount may not be recoverable. Based upon this review, the Company did not have any goodwill impairment for the years ended December 31, 2024 and 2023.</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J.</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which is included in other assets on the consolidated balance sheets, is recorded at cost less accumulated depreciation.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recognized on a straight-line basis for financial statement purposes over periods ranging from three to seven years.</w:t>
      </w:r>
    </w:p>
    <w:p>
      <w:pPr>
        <w:spacing w:after="0" w:line="95" w:lineRule="exact"/>
        <w:rPr>
          <w:sz w:val="20"/>
          <w:szCs w:val="20"/>
          <w:color w:val="auto"/>
        </w:rPr>
      </w:pPr>
    </w:p>
    <w:p>
      <w:pPr>
        <w:ind w:left="420" w:hanging="412"/>
        <w:spacing w:after="0"/>
        <w:tabs>
          <w:tab w:leader="none" w:pos="4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Right-of-use (ROU) assets are included in other assets and lease liabilities are included in accounts payable and accrued liabilities on the consolidated balance sheets. For operating leases, the Company determines if a contract contains a lease at inception and recognizes the operating lease ROU assets and lease liabilities based on the present value of the future minimum lease payments at the commencement date. As the Company does not have the interest rate implicit in its leases, it uses its incremental borrowing rate based on the information available at the commencement date in determining the present value of future payments.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agreements may include options to extend or terminate. The options are exercised at the Company’s discretion and are included in operating lease liabilities if it is reasonably certain the option will be exercised. Lease agreements have lease and non-lease components, which are accounted for as a single lease component. Operating lease cost for future minimum lease payments is recognized on a straight-line basis over the lease term. Sublease income is recognized on a straight-line basis over the sublease term.</w:t>
      </w:r>
    </w:p>
    <w:p>
      <w:pPr>
        <w:spacing w:after="0" w:line="68"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Reserves for Losses and Loss Adjustment Expenses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reserves for unpaid losses and loss adjustment expenses (“LAE”) represents the Company’s estimated ultimate cost of all unreported and reported but unpaid insured claims and the cost to adjust the losses that have been incurred as of the balance sheet date. We estimate the reserves using individual case-basis valuations of reported claims and statistical analyses and various actuarial procedures. Those estimates are based on our historical information, industry and peer group information and our estimates of future trends in variable factors such as loss severity, loss frequency and other factors such as inflation. We regularly review our estimates and adjust them as necessary as experience develops or as new information becomes known to us. Additionally, during the loss settlement period, it often becomes necessary to refine and adjust the estimates of liability on a claim either upward or downward. Even after such adjustments, the ultimate liability may exceed or be less than the revised estimates. Accordingly, the ultimate settlement of losses and the related LAE may vary significantly from the estimate included in our financial statements. If actual liabilities do exceed recorded amounts,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Summary of Significant Accounting Policies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will be an adverse effect. Furthermore, we may determine that recorded reserves are more than adequate to cover expected losses, which would lead to a reduction in our reserves.</w:t>
      </w:r>
    </w:p>
    <w:p>
      <w:pPr>
        <w:spacing w:after="0" w:line="50"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Premiums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earns and recognizes property and casualty and surety premiums on a pro-rata basis over the terms of the policies. The Company earns accident and health premiums as billed, based on census data. Gross premiums written are reduced by ceded premiums from proportional, facultative and excess of loss reinsurance costs for prospective reinsurance. Its premiums receivable includes deferred premiums, which represent installment payments the Company is due from insureds under the payment terms of their policies.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Premiums receivable are carried net of an allowance for credit losses. The allowance for credit losses represents the current estimate of expected credit losses. The Company develops a historical loss rate using historical write-offs and aging of receivables. This historical loss rate is adjusted for current conditions, reasonable and supportable forecasts and our ability to cancel coverage on a policy after premium is considered past due. Changes in the allowance for credit losses are recognized in underwriting, acquisition and insurance expenses on the consolidated statements of operations.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Unearned premiums represent the portion of gross premiums written which is applicable to the unexpired terms of insurance policies or reinsurance contracts in force. Ceded unearned premiums represent the portion of ceded premiums written which is applicable to the unexpired terms of insurance policies or reinsurance contracts in force. These unearned premiums are calculated on a pro-rata basis over the terms of the policies for direct and ceded amounts.</w:t>
      </w:r>
    </w:p>
    <w:p>
      <w:pPr>
        <w:spacing w:after="0" w:line="68"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and Fee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SUA commission revenue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SUA commission revenue is generated from the placement of insurance policies on reinsurance programs through a reinsurance broker which represents the Company’s single performance obligation. Its transaction price is fixed at contract inception and based on a percentage of premiums placed. The Company recognizes 100% of the transaction price as the associated performance obligation is satisfied at the point in time a policy is placed as it has no constraints on revenue.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SUA fee income</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SUA fee income is generated from the placement of insurance policies with a third-party insurance company. The Company’s single performance obligation consists of the placement of the policy. Its transaction price is variable at contract inception and based on a percentage of premium based on risk factors that vary every month such as employee census data and worker roles. The Company estimates its transaction price over the life of the policy using the expected value method and recognizes revenue at the point in time the policy is placed. When there are changes in the estimate of variable consideration, it recognizes those changes in the month they occur.</w:t>
      </w:r>
    </w:p>
    <w:p>
      <w:pPr>
        <w:spacing w:after="0" w:line="71" w:lineRule="exact"/>
        <w:rPr>
          <w:sz w:val="20"/>
          <w:szCs w:val="20"/>
          <w:color w:val="auto"/>
        </w:rPr>
      </w:pPr>
    </w:p>
    <w:p>
      <w:pPr>
        <w:ind w:left="420" w:hanging="412"/>
        <w:spacing w:after="0"/>
        <w:tabs>
          <w:tab w:leader="none" w:pos="4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is accrued for the tax effects of transactions reported on the consolidated financial statements, and this provision for income taxes consists of taxes currently due plus deferred taxes resulting from temporary differences between amounts reported for financial statement and income tax purposes. A valuation allowance is established for any deferred tax asset not expected to be realized.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temporary differences are expected to be recovered or settled. The effect on deferred tax assets and liabilities from a change in tax rates is recognized in income in the period that includes the enactment date.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liability for uncertain tax positions is recorded where it is more likely-than-not that the tax position will not be sustained upon examination by the appropriate tax authority. Changes in the liability for uncertain tax positions are reflected in income tax expense in the period when a new uncertain tax position arises, judgment changes about the likelihood of an uncertainty, the tax issue is settled, or the statute of limitation expires. Any potential net interest income or expense and penalties related to uncertain tax positions are recorded on the Consolidated Statements of Operations.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files a consolidated federal income tax return in the United States and certain other state tax returns. Its admitted insurance subsidiaries pay premium taxes on gross written premiums in lieu of most state income or franchise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1.</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Summary of Significant Accounting Policies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Premium tax expense is recognized within underwriting, acquisition and insurance expense on the Consolidated Statements of Operations.</w:t>
      </w:r>
    </w:p>
    <w:p>
      <w:pPr>
        <w:spacing w:after="0" w:line="113"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estimated for each class of financial instrument based on the framework established in the fair value accounting guidance. This guidance requires an entity to maximize the use of observable inputs and minimize the use of unobservable inputs when measuring fair value. Fair value hierarchy disclosures are based on the quality of inputs used to measure fair value. The hierarchy gives the highest priority to unadjusted quoted prices in active markets for identical assets or liabilities (Level 1 measurements) and the lowest priority to unobservable inputs (Level 3 measurements).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part of management’s process to determine fair value, the Company utilizes widely recognized, third-party pricing sources to determine the Company’s fair values of financial instruments. The Company has obtained an understanding of the third-party pricing sources’ valuation methodologies and inputs.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4 for further details regarding fair value disclosures.</w:t>
      </w:r>
    </w:p>
    <w:p>
      <w:pPr>
        <w:spacing w:after="0" w:line="113" w:lineRule="exact"/>
        <w:rPr>
          <w:sz w:val="20"/>
          <w:szCs w:val="20"/>
          <w:color w:val="auto"/>
        </w:rPr>
      </w:pPr>
    </w:p>
    <w:p>
      <w:pPr>
        <w:ind w:left="420" w:hanging="412"/>
        <w:spacing w:after="0"/>
        <w:tabs>
          <w:tab w:leader="none" w:pos="4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expense the estimated fair value of employee stock options and similar awards. We measure compensation cost for awards of equity instruments to employees based on the grant-date fair value of those awards and recognize compensation expense over the service period that the awards are expected to vest. The tax effects related to share-based payments are made through net earnings. See note 18 for further discussion and related disclosures regarding stock-based compensation.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employee stock purchase plan (“ESPP”), offers all employees the option to purchase common stock at a discount. The Company recognizes compensation cost on a straight-line basis over the offering period.</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R.</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using the two-class method. Undistributed earnings are allocated to participating securities based on the extent to which each class may share in earnings as if all the earnings for the period have been distributed. Basic earnings per share is calculated by dividing net income attributable to common stockholders by the weighted-average number of common shares outstanding for the period. Common shares, when contingencies, such as vesting requirements, exist and have not been satisfied, are excluded from basic earnings per share.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common and preferred shares financed by stock notes are contingently issuable instruments where the holder must return, all or part of, the shares if the stock notes are not paid off. These instruments are excluded from basic and diluted earnings per share when the specified conditions are not met presuming the end of the period is the end of the contingency period. The impact of the contingently issuable instruments on diluted earnings per share was calculated using the treasury stock method and included in the reconciliation of the denominator of the basic and diluted earnings per share computations for the year ended December 31, 2023. All outstanding stock notes were settled during 2024 so there was no impact to the Company’s basic and diluted earnings per share computations for the year ended December 31, 2024.</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Instruments that are convertible into common shares are included in diluted weighted-average common shares outstanding on an if-converted basis based on the legal conversion rate for the respective period, if dilutive. Share-based awards to employees with only service conditions are included as potential common shares, weighted for the portion of the period they are unvested, if dilutive. Share-based awards to employees with performance and service or market conditions are included as potential common shares presuming the end of the period is the end of the contingency period, if dilutive.</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When inclusion of common share adjustments increases the earnings per share or reduces the loss per share, the effect on earnings is anti-dilutive, and the diluted net earnings or net loss per share is computed excluding these common share equivalents.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right="3260" w:firstLine="3258"/>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b w:val="1"/>
          <w:bCs w:val="1"/>
          <w:u w:val="single" w:color="auto"/>
          <w:color w:val="auto"/>
        </w:rPr>
        <w:t>1. Summary of Significant Accounting Policies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Adopted</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(Topic 280). ASU 2023-07 requires segment disclosures for (i) significant segment expenses that are regularly provided to the chief operating decision maker (“CODM”), (ii) how the CODM uses the reported measure(s) of segment profitability in assessing segment performance and resource allocation and (iii) the title and position of the CODM. This update states that entities with a single reportable segment are required to provide full segment disclosures. The guidance became effective for fiscal years beginning after December 15, 2023, and interim periods within fiscal years beginning after December 15, 2024. This update is applied retrospectively to all prior periods presented. The Company has added additional segment disclosures as required by ASU 2023-07, see Note 12 for the additional disclosures required by this ASU.</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public companies, on an annual basis, to provide enhanced rate reconciliation disclosures, including disclosures of specific categories and additional information that meets a quantitative threshold. This update also requires public companies to, among other things, disaggregate income taxes paid by federal, state and foreign taxes. The guidance is effective for fiscal years beginning after December 15, 2024. The Company is continuing to evaluate the effect and currently does not expect the amendments will have a material impact on its consolidated financial statements.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ASU 2024-03 require a footnote disclosure about specific expenses by requiring PBEs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will also include certain other expenses, when applicable. In January 2025, the FASB issued ASU 2025-01 to clarify the effective date of ASU 2024-03 as the first annual reporting period beginning after December 15, 2026, and interim reporting periods within annual reporting periods beginning after December 15, 2027. The Company is evaluating the effect of the amendments on its consolidated financial statements.</w:t>
      </w:r>
    </w:p>
    <w:p>
      <w:pPr>
        <w:spacing w:after="0" w:line="76"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Goodwill and Intangible Assets</w:t>
      </w:r>
    </w:p>
    <w:p>
      <w:pPr>
        <w:spacing w:after="0" w:line="121" w:lineRule="exact"/>
        <w:rPr>
          <w:rFonts w:ascii="Times New Roman" w:cs="Times New Roman" w:eastAsia="Times New Roman" w:hAnsi="Times New Roman"/>
          <w:sz w:val="18"/>
          <w:szCs w:val="18"/>
          <w:b w:val="1"/>
          <w:bCs w:val="1"/>
          <w:u w:val="single" w:color="auto"/>
          <w:color w:val="auto"/>
        </w:rPr>
      </w:pPr>
    </w:p>
    <w:p>
      <w:pPr>
        <w:ind w:left="34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The following tables set forth the carrying amount and changes in the balance of goodwill by reporting unit at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20"/>
              <w:spacing w:after="0" w:line="153" w:lineRule="exact"/>
              <w:rPr>
                <w:sz w:val="20"/>
                <w:szCs w:val="20"/>
                <w:color w:val="auto"/>
              </w:rPr>
            </w:pPr>
            <w:r>
              <w:rPr>
                <w:rFonts w:ascii="Times New Roman" w:cs="Times New Roman" w:eastAsia="Times New Roman" w:hAnsi="Times New Roman"/>
                <w:sz w:val="14"/>
                <w:szCs w:val="14"/>
                <w:color w:val="auto"/>
              </w:rPr>
              <w:t>Accident</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Surety</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Industry Solutions</w:t>
            </w: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4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and Health</w:t>
            </w: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6"/>
              </w:rPr>
              <w:t>91,577</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w:t>
            </w:r>
          </w:p>
        </w:tc>
        <w:tc>
          <w:tcPr>
            <w:tcW w:w="100" w:type="dxa"/>
            <w:vAlign w:val="bottom"/>
          </w:tcPr>
          <w:p>
            <w:pPr>
              <w:spacing w:after="0"/>
              <w:rPr>
                <w:sz w:val="23"/>
                <w:szCs w:val="23"/>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center"/>
              <w:ind w:left="315"/>
              <w:spacing w:after="0"/>
              <w:rPr>
                <w:sz w:val="20"/>
                <w:szCs w:val="20"/>
                <w:color w:val="auto"/>
              </w:rPr>
            </w:pPr>
            <w:r>
              <w:rPr>
                <w:rFonts w:ascii="Times New Roman" w:cs="Times New Roman" w:eastAsia="Times New Roman" w:hAnsi="Times New Roman"/>
                <w:sz w:val="18"/>
                <w:szCs w:val="18"/>
                <w:b w:val="1"/>
                <w:bCs w:val="1"/>
                <w:color w:val="auto"/>
              </w:rPr>
              <w:t>3,879</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112,441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at December 31, 2023</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rPr>
              <w:t>(44,821)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b w:val="1"/>
                <w:bCs w:val="1"/>
                <w:color w:val="auto"/>
                <w:w w:val="98"/>
              </w:rPr>
              <w:t>(1,886)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(46,707)</w:t>
            </w:r>
          </w:p>
        </w:tc>
        <w:tc>
          <w:tcPr>
            <w:tcW w:w="0" w:type="dxa"/>
            <w:vAlign w:val="bottom"/>
          </w:tcPr>
          <w:p>
            <w:pPr>
              <w:spacing w:after="0"/>
              <w:rPr>
                <w:sz w:val="1"/>
                <w:szCs w:val="1"/>
                <w:color w:val="auto"/>
              </w:rPr>
            </w:pPr>
          </w:p>
        </w:tc>
      </w:tr>
      <w:tr>
        <w:trPr>
          <w:trHeight w:val="22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6"/>
              </w:rPr>
              <w:t>46,756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b w:val="1"/>
                <w:bCs w:val="1"/>
                <w:color w:val="auto"/>
              </w:rPr>
              <w:t>1,993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65,734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1"/>
                <w:szCs w:val="11"/>
                <w:color w:val="auto"/>
              </w:rPr>
            </w:pPr>
          </w:p>
        </w:tc>
        <w:tc>
          <w:tcPr>
            <w:tcW w:w="11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Accident</w:t>
            </w:r>
          </w:p>
        </w:tc>
        <w:tc>
          <w:tcPr>
            <w:tcW w:w="26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Surety</w:t>
            </w:r>
          </w:p>
        </w:tc>
        <w:tc>
          <w:tcPr>
            <w:tcW w:w="1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Industry Solutions</w:t>
            </w:r>
          </w:p>
        </w:tc>
        <w:tc>
          <w:tcPr>
            <w:tcW w:w="28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1"/>
                <w:szCs w:val="11"/>
                <w:color w:val="auto"/>
              </w:rPr>
            </w:pPr>
          </w:p>
        </w:tc>
        <w:tc>
          <w:tcPr>
            <w:tcW w:w="9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and Health</w:t>
            </w:r>
          </w:p>
        </w:tc>
        <w:tc>
          <w:tcPr>
            <w:tcW w:w="2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297"/>
              <w:spacing w:after="0"/>
              <w:rPr>
                <w:sz w:val="20"/>
                <w:szCs w:val="20"/>
                <w:color w:val="auto"/>
              </w:rPr>
            </w:pPr>
            <w:r>
              <w:rPr>
                <w:rFonts w:ascii="Times New Roman" w:cs="Times New Roman" w:eastAsia="Times New Roman" w:hAnsi="Times New Roman"/>
                <w:sz w:val="18"/>
                <w:szCs w:val="18"/>
                <w:color w:val="auto"/>
                <w:w w:val="96"/>
              </w:rPr>
              <w:t>91,577</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23"/>
                <w:szCs w:val="23"/>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at December 31, 2022</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rPr>
              <w:t>(44,821)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8"/>
              </w:rPr>
              <w:t>(1,886)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w:t>
            </w:r>
          </w:p>
        </w:tc>
        <w:tc>
          <w:tcPr>
            <w:tcW w:w="0" w:type="dxa"/>
            <w:vAlign w:val="bottom"/>
          </w:tcPr>
          <w:p>
            <w:pPr>
              <w:spacing w:after="0"/>
              <w:rPr>
                <w:sz w:val="1"/>
                <w:szCs w:val="1"/>
                <w:color w:val="auto"/>
              </w:rPr>
            </w:pPr>
          </w:p>
        </w:tc>
      </w:tr>
      <w:tr>
        <w:trPr>
          <w:trHeight w:val="22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w w:val="96"/>
              </w:rPr>
              <w:t>46,756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Goodwill and Intangible Assets</w:t>
      </w:r>
      <w:r>
        <w:rPr>
          <w:rFonts w:ascii="Times New Roman" w:cs="Times New Roman" w:eastAsia="Times New Roman" w:hAnsi="Times New Roman"/>
          <w:sz w:val="18"/>
          <w:szCs w:val="18"/>
          <w:b w:val="1"/>
          <w:bCs w:val="1"/>
          <w:color w:val="auto"/>
        </w:rPr>
        <w:t xml:space="preserve"> (continued)</w:t>
      </w:r>
    </w:p>
    <w:p>
      <w:pPr>
        <w:spacing w:after="0" w:line="200" w:lineRule="exact"/>
        <w:rPr>
          <w:rFonts w:ascii="Times New Roman" w:cs="Times New Roman" w:eastAsia="Times New Roman" w:hAnsi="Times New Roman"/>
          <w:sz w:val="18"/>
          <w:szCs w:val="18"/>
          <w:b w:val="1"/>
          <w:bCs w:val="1"/>
          <w:u w:val="single" w:color="auto"/>
          <w:color w:val="auto"/>
        </w:rPr>
      </w:pPr>
    </w:p>
    <w:p>
      <w:pPr>
        <w:spacing w:after="0" w:line="200" w:lineRule="exact"/>
        <w:rPr>
          <w:rFonts w:ascii="Times New Roman" w:cs="Times New Roman" w:eastAsia="Times New Roman" w:hAnsi="Times New Roman"/>
          <w:sz w:val="18"/>
          <w:szCs w:val="18"/>
          <w:b w:val="1"/>
          <w:bCs w:val="1"/>
          <w:u w:val="single" w:color="auto"/>
          <w:color w:val="auto"/>
        </w:rPr>
      </w:pPr>
    </w:p>
    <w:p>
      <w:pPr>
        <w:spacing w:after="0" w:line="200" w:lineRule="exact"/>
        <w:rPr>
          <w:rFonts w:ascii="Times New Roman" w:cs="Times New Roman" w:eastAsia="Times New Roman" w:hAnsi="Times New Roman"/>
          <w:sz w:val="18"/>
          <w:szCs w:val="18"/>
          <w:b w:val="1"/>
          <w:bCs w:val="1"/>
          <w:u w:val="single" w:color="auto"/>
          <w:color w:val="auto"/>
        </w:rPr>
      </w:pPr>
    </w:p>
    <w:p>
      <w:pPr>
        <w:spacing w:after="0" w:line="236" w:lineRule="exact"/>
        <w:rPr>
          <w:rFonts w:ascii="Times New Roman" w:cs="Times New Roman" w:eastAsia="Times New Roman" w:hAnsi="Times New Roman"/>
          <w:sz w:val="18"/>
          <w:szCs w:val="18"/>
          <w:b w:val="1"/>
          <w:bCs w:val="1"/>
          <w:u w:val="single" w:color="auto"/>
          <w:color w:val="auto"/>
        </w:rPr>
      </w:pPr>
    </w:p>
    <w:p>
      <w:pPr>
        <w:ind w:left="34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The following tables set forth the carrying amount and changes in the balance of other intangible assets at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Agent</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Relationships</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Non-competes</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Trademarks</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Licenses</w:t>
            </w:r>
          </w:p>
        </w:tc>
        <w:tc>
          <w:tcPr>
            <w:tcW w:w="28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40,626</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at December 31, 2023</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(17,925)</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(1,087)</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21,614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w w:val="99"/>
              </w:rPr>
              <w:t>Agent</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Non-competes</w:t>
            </w:r>
          </w:p>
        </w:tc>
        <w:tc>
          <w:tcPr>
            <w:tcW w:w="20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Trademarks</w:t>
            </w:r>
          </w:p>
        </w:tc>
        <w:tc>
          <w:tcPr>
            <w:tcW w:w="240" w:type="dxa"/>
            <w:vAlign w:val="bottom"/>
          </w:tcPr>
          <w:p>
            <w:pPr>
              <w:spacing w:after="0"/>
              <w:rPr>
                <w:sz w:val="11"/>
                <w:szCs w:val="11"/>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Licenses</w:t>
            </w:r>
          </w:p>
        </w:tc>
        <w:tc>
          <w:tcPr>
            <w:tcW w:w="280" w:type="dxa"/>
            <w:vAlign w:val="bottom"/>
          </w:tcPr>
          <w:p>
            <w:pPr>
              <w:spacing w:after="0"/>
              <w:rPr>
                <w:sz w:val="11"/>
                <w:szCs w:val="11"/>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Relationships</w:t>
            </w: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40,576</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at December 31, 2022</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indefinite lived intangible assets relate to insurance licenses and trademarks. Its finite lived intangible assets, which relate to policy renewals, agency relationships, within agent relationships, and non-compete/exclusivity agreements, within non-competes, have a weighted average useful life of approximately 15 years as of December 31, 2024.</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approximately $1.1 million in amortization expense for the year ended December 31, 2024, and $1.5 million for the years ended December 31, 2023 and 2022. The following table sets forth the estimated future net amortization expense of intangible assets: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42"/>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r>
      <w:tr>
        <w:trPr>
          <w:trHeight w:val="54"/>
        </w:trPr>
        <w:tc>
          <w:tcPr>
            <w:tcW w:w="9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Investments</w:t>
      </w:r>
    </w:p>
    <w:p>
      <w:pPr>
        <w:spacing w:after="0" w:line="121" w:lineRule="exact"/>
        <w:rPr>
          <w:rFonts w:ascii="Times New Roman" w:cs="Times New Roman" w:eastAsia="Times New Roman" w:hAnsi="Times New Roman"/>
          <w:sz w:val="18"/>
          <w:szCs w:val="18"/>
          <w:b w:val="1"/>
          <w:bCs w:val="1"/>
          <w:u w:val="single" w:color="auto"/>
          <w:color w:val="auto"/>
        </w:rPr>
      </w:pPr>
    </w:p>
    <w:p>
      <w:pPr>
        <w:ind w:left="34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The following tables set forth the amortized cost and the fair value by investment category at December 31,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425,628</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84,716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393,833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69,364</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292,191</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1,292,218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38,717</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(243)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w:t>
            </w:r>
          </w:p>
        </w:tc>
        <w:tc>
          <w:tcPr>
            <w:tcW w:w="12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maturity securities, available for sale, at December 31, 2024 by contractual maturity are shown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23,292</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279,144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273,755</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197,373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192,929</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49,992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46,854</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478,847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463,197</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291,578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292,191</w:t>
            </w:r>
          </w:p>
        </w:tc>
      </w:tr>
      <w:tr>
        <w:trPr>
          <w:trHeight w:val="24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1,320,266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1,292,218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fixed maturity securities, held-to-maturity, at December 31, 2024 consisted entirely of asset backed securities that were not due at a single maturity date.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U.S. government agencies mortgage-backed fixed maturity securities, with a carrying value of approximately $66.2 million pledged as collateral for a loan (the “FHLB Loan”) from the Federal Home Loan Bank of Dallas (“FHLB”) pursuant to an Advances and Security Agreement between the Company and FHLB (the “Advances and Security Agreement”). In accordance with the terms of the FHLB Loans, the Company retains all rights regarding these pledged securities.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assets with fair values of approximately $28.0 million pledged as collateral for the performance obligations under reinsurance agreements. In accordance with the terms of the trust agreements, the Company retains all rights regarding these securities, of which $24.3 million are residential mortgage-backed securities, $2.2 million of short-term investments and $1.5 million of cash and cash equivalents and other assets.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gross unrealized losses and the corresponding fair values of investments, aggregated by length of time that individual securities had been in a continuous unrealized loss position as of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136,888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218,120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(13,288)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(5,366)</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283,903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(16,627)</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29,851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104,970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(1,834)</w:t>
            </w: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480,693</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236,741</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(31,331)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717,434</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(38,684)</w:t>
            </w: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0" w:type="dxa"/>
            <w:vAlign w:val="bottom"/>
          </w:tcPr>
          <w:p>
            <w:pPr>
              <w:spacing w:after="0"/>
              <w:rPr>
                <w:sz w:val="1"/>
                <w:szCs w:val="1"/>
                <w:color w:val="auto"/>
              </w:rPr>
            </w:pPr>
          </w:p>
        </w:tc>
      </w:tr>
      <w:tr>
        <w:trPr>
          <w:trHeight w:val="205"/>
        </w:trPr>
        <w:tc>
          <w:tcPr>
            <w:tcW w:w="3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2,144</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36,573</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38,717</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482,837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273,314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(39,120)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441,858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563,220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(42,553)</w:t>
            </w: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156"/>
        </w:trPr>
        <w:tc>
          <w:tcPr>
            <w:tcW w:w="34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778 lots of fixed maturity securities in an unrealized loss position. The Company does not have an intent to sell these securities and it is not more likely than not that the Company will be required to sell these securities before maturity or recovery of its cost basis. The Company reviewed its investments at December 31, 2024 and determined that no credit impairment existed in the gross unrealized holding losses, due to the reasons discussed below:</w:t>
      </w:r>
    </w:p>
    <w:p>
      <w:pPr>
        <w:spacing w:after="0" w:line="70" w:lineRule="exact"/>
        <w:rPr>
          <w:sz w:val="20"/>
          <w:szCs w:val="20"/>
          <w:color w:val="auto"/>
        </w:rPr>
      </w:pPr>
    </w:p>
    <w:p>
      <w:pPr>
        <w:jc w:val="both"/>
        <w:ind w:left="66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government securities and municipal securities</w:t>
      </w:r>
      <w:r>
        <w:rPr>
          <w:rFonts w:ascii="Times New Roman" w:cs="Times New Roman" w:eastAsia="Times New Roman" w:hAnsi="Times New Roman"/>
          <w:sz w:val="18"/>
          <w:szCs w:val="18"/>
          <w:color w:val="auto"/>
        </w:rPr>
        <w:t>: These securities were issued by the U.S. Treasury Department, Federal government-sponsored entities or by state and local governments.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securities and miscellaneous</w:t>
      </w:r>
      <w:r>
        <w:rPr>
          <w:rFonts w:ascii="Times New Roman" w:cs="Times New Roman" w:eastAsia="Times New Roman" w:hAnsi="Times New Roman"/>
          <w:sz w:val="18"/>
          <w:szCs w:val="18"/>
          <w:color w:val="auto"/>
        </w:rPr>
        <w:t>: Corporations in various industries issued these securities. The decline in fair values was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interest rates and not credit quality. The Company reviewed the issuers of these securities to identify any significant adverse change in financial condition, a change in the quality of credit enhancement (if any), a ratings decrease, or negative outlook assignment from a major credit rating agency, and any failure to make interest or principal payments. After these reviews, the Company determined that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60" w:hanging="328"/>
        <w:spacing w:after="0" w:line="267"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Residential mortgage-backed securities, commercial mortgage-backed securities, and other asset-backed securities</w:t>
      </w:r>
      <w:r>
        <w:rPr>
          <w:rFonts w:ascii="Times New Roman" w:cs="Times New Roman" w:eastAsia="Times New Roman" w:hAnsi="Times New Roman"/>
          <w:sz w:val="18"/>
          <w:szCs w:val="18"/>
          <w:color w:val="auto"/>
        </w:rPr>
        <w:t>: The decline in fair values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gains (losses) for the years ended December 31, 2024, 2023 and 2022:</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5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29"/>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30"/>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2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r>
      <w:tr>
        <w:trPr>
          <w:trHeight w:val="23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Mortgage loans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(15,705)</w:t>
            </w: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proceeds from sales of available-for-sale fixed maturity securities and equity securities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500" w:type="dxa"/>
            <w:vAlign w:val="bottom"/>
            <w:tcBorders>
              <w:top w:val="single" w:sz="8" w:color="auto"/>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w:t>
            </w:r>
          </w:p>
        </w:tc>
      </w:t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37,177</w:t>
            </w:r>
          </w:p>
        </w:tc>
      </w:tr>
      <w:tr>
        <w:trPr>
          <w:trHeight w:val="45"/>
        </w:trPr>
        <w:tc>
          <w:tcPr>
            <w:tcW w:w="65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years ended December 31, 2024,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14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2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57,574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loans</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Indirect loans</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 and cash</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2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438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net unrealized gains (losses) on the Company’s investment portfolio, net of deferred income taxes, included in other comprehensive loss for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(60,918)</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8"/>
              </w:rPr>
              <w:t>(5,420)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6"/>
              </w:rPr>
              <w:t>12,793</w:t>
            </w:r>
          </w:p>
        </w:tc>
      </w:tr>
      <w:tr>
        <w:trPr>
          <w:trHeight w:val="248"/>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(48,125)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Various state regulations require the Company to maintain cash, investment securities or letters of credit on deposit with the states in a depository account. At December 31, 2024 and 2023, cash and investment securities on deposit had carrying values of approximately $66.8 million and $65.3 million, respectively.</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4.</w:t>
      </w:r>
      <w:r>
        <w:rPr>
          <w:sz w:val="20"/>
          <w:szCs w:val="20"/>
          <w:color w:val="auto"/>
        </w:rPr>
        <w:tab/>
      </w:r>
      <w:r>
        <w:rPr>
          <w:rFonts w:ascii="Times New Roman" w:cs="Times New Roman" w:eastAsia="Times New Roman" w:hAnsi="Times New Roman"/>
          <w:sz w:val="17"/>
          <w:szCs w:val="17"/>
          <w:b w:val="1"/>
          <w:bCs w:val="1"/>
          <w:u w:val="single" w:color="auto"/>
          <w:color w:val="auto"/>
        </w:rPr>
        <w:t>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for identical assets or liabilities in active markets at the measurement date.</w:t>
      </w:r>
    </w:p>
    <w:p>
      <w:pPr>
        <w:spacing w:after="0" w:line="54" w:lineRule="exact"/>
        <w:rPr>
          <w:sz w:val="20"/>
          <w:szCs w:val="20"/>
          <w:color w:val="auto"/>
        </w:rPr>
      </w:pPr>
    </w:p>
    <w:p>
      <w:pPr>
        <w:ind w:left="1060" w:right="2560" w:hanging="728"/>
        <w:spacing w:after="0" w:line="282" w:lineRule="auto"/>
        <w:rPr>
          <w:sz w:val="20"/>
          <w:szCs w:val="20"/>
          <w:color w:val="auto"/>
        </w:rPr>
      </w:pPr>
      <w:r>
        <w:rPr>
          <w:rFonts w:ascii="Times New Roman" w:cs="Times New Roman" w:eastAsia="Times New Roman" w:hAnsi="Times New Roman"/>
          <w:sz w:val="18"/>
          <w:szCs w:val="18"/>
          <w:color w:val="auto"/>
        </w:rPr>
        <w:t>Level 2 - Inputs are other than quoted prices included in Level 1 that are observable for the asset or liability through corroboration with market data at the measurement date.</w:t>
      </w:r>
    </w:p>
    <w:p>
      <w:pPr>
        <w:spacing w:after="0" w:line="54" w:lineRule="exact"/>
        <w:rPr>
          <w:sz w:val="20"/>
          <w:szCs w:val="20"/>
          <w:color w:val="auto"/>
        </w:rPr>
      </w:pPr>
    </w:p>
    <w:p>
      <w:pPr>
        <w:ind w:left="1060" w:right="2860" w:hanging="72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management’s best estimate of what market participants would use in pricing the asset or liability at the measurement date.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for financial instruments in the accompanying consolidated financial statements and in these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 mutual funds and common stock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uses unadjusted quoted prices for identical instruments in an active exchange to measure fair value which represent Level 1 inputs.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stocks, municipal securities, corporate securities and miscellaneous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mortgage-backed securities, residential mortgage-backed securities and other asset-backed securities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Fair Value Measurements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securities, available for sale and equity securities classified as Level 3</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corporate securities and miscellaneous, other asset-backed securities that are managed by an independent asset manager and priced by an independent pricing provider. The provider estimates the value of the securities using the discount net present value of cash flows method using an unobservable discount rate. The discount rate spread represents the risk associated with future cash flows, including inflation, opportunity cost and the time value of money. This rate represents Level 3 fair value inputs.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range of the discount rate as of December 31,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9000" w:type="dxa"/>
            <w:vAlign w:val="bottom"/>
            <w:tcBorders>
              <w:top w:val="single" w:sz="8" w:color="auto"/>
              <w:bottom w:val="single" w:sz="8" w:color="CCEEFF"/>
            </w:tcBorders>
          </w:tcPr>
          <w:p>
            <w:pPr>
              <w:spacing w:after="0"/>
              <w:rPr>
                <w:sz w:val="21"/>
                <w:szCs w:val="21"/>
                <w:color w:val="auto"/>
              </w:rPr>
            </w:pPr>
          </w:p>
        </w:tc>
        <w:tc>
          <w:tcPr>
            <w:tcW w:w="22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8.00 %</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5.70 %</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6.60 %</w:t>
            </w:r>
          </w:p>
        </w:tc>
      </w:tr>
      <w:tr>
        <w:trPr>
          <w:trHeight w:val="54"/>
        </w:trPr>
        <w:tc>
          <w:tcPr>
            <w:tcW w:w="90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judgement and uncertainty.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range and weighted average, weighted by relative fair value, of the spread as of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r>
      <w:tr>
        <w:trPr>
          <w:trHeight w:val="54"/>
        </w:trPr>
        <w:tc>
          <w:tcPr>
            <w:tcW w:w="68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RedBird Capital Partners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Included in other long-term investments is an investment in a limited partnership with RedBird Capital Partners, which invests in Bishop Street Underwriters, LLC (“Bishop Street”), a managing general agent (MGA). The investment had a fair value of $28.2 million at December 31, 2024, which was determined using the net asset value. The Company employs procedures to assess the reasonableness of the fair value of the investment including obtaining and reviewing the audited financial statements. The unfunded commitment related to the investment was $24.4 million at December 31, 2024. The Company may sell its interest in the investment with the appropriate prior written notice and approval by the general partner. In accordance with Accounting Standard Codification 820-10, this investment is measured at fair value using the net asset value per share practical expedient and has not been classified in the fair value hierarchy.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Fair Value Measurements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investments within the fair value hierarchy at December 31,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26,486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26,486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354,815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425,628</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84,716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393,833</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69,364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69,364</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285,084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292,191</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26,486</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1,187,812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77,920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1,292,218</w:t>
            </w: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38,717</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38,717</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64,251</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40,839</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105,090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106,254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274,929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274,929</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406,505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1,188,976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1,738,608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Fair Value Measurements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383,420</w:t>
            </w: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281,626</w:t>
            </w: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185,727</w:t>
            </w:r>
          </w:p>
        </w:tc>
      </w:tr>
      <w:tr>
        <w:trPr>
          <w:trHeight w:val="223"/>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973,485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1,017,651</w:t>
            </w: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r>
      <w:tr>
        <w:trPr>
          <w:trHeight w:val="223"/>
        </w:trPr>
        <w:tc>
          <w:tcPr>
            <w:tcW w:w="50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67,425</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w:t>
            </w:r>
          </w:p>
        </w:tc>
      </w:tr>
      <w:tr>
        <w:trPr>
          <w:trHeight w:val="223"/>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118,249</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270,226</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1,497,213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changes in the fair value of instruments carried at fair value with a Level 3 measurement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color w:val="auto"/>
              </w:rPr>
              <w:t>Fixed Maturity Securities,</w:t>
            </w:r>
          </w:p>
        </w:tc>
        <w:tc>
          <w:tcPr>
            <w:tcW w:w="34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vMerge w:val="restart"/>
          </w:tcPr>
          <w:p>
            <w:pPr>
              <w:jc w:val="right"/>
              <w:ind w:right="511"/>
              <w:spacing w:after="0"/>
              <w:rPr>
                <w:sz w:val="20"/>
                <w:szCs w:val="20"/>
                <w:color w:val="auto"/>
              </w:rPr>
            </w:pPr>
            <w:r>
              <w:rPr>
                <w:rFonts w:ascii="Times New Roman" w:cs="Times New Roman" w:eastAsia="Times New Roman" w:hAnsi="Times New Roman"/>
                <w:sz w:val="16"/>
                <w:szCs w:val="16"/>
                <w:color w:val="auto"/>
              </w:rPr>
              <w:t>Mortgage Loans</w:t>
            </w:r>
          </w:p>
        </w:tc>
        <w:tc>
          <w:tcPr>
            <w:tcW w:w="0" w:type="dxa"/>
            <w:vAlign w:val="bottom"/>
          </w:tcPr>
          <w:p>
            <w:pPr>
              <w:spacing w:after="0"/>
              <w:rPr>
                <w:sz w:val="1"/>
                <w:szCs w:val="1"/>
                <w:color w:val="auto"/>
              </w:rPr>
            </w:pP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Available-For-Sale</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(losses) for the period recognized in net investment gains (losses)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(24,649)</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Total unrealized gains for the period recognized in accumulated comprehensive income</w:t>
            </w:r>
          </w:p>
        </w:tc>
        <w:tc>
          <w:tcPr>
            <w:tcW w:w="200" w:type="dxa"/>
            <w:vAlign w:val="bottom"/>
            <w:shd w:val="clear" w:color="auto" w:fill="CCEEFF"/>
          </w:tcPr>
          <w:p>
            <w:pPr>
              <w:spacing w:after="0"/>
              <w:rPr>
                <w:sz w:val="15"/>
                <w:szCs w:val="15"/>
                <w:color w:val="auto"/>
              </w:rPr>
            </w:pPr>
          </w:p>
        </w:tc>
        <w:tc>
          <w:tcPr>
            <w:tcW w:w="2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gains for the period recognized in net investment gains (losses) attributable to the</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or losses relating to assets held as of period end</w:t>
            </w:r>
          </w:p>
        </w:tc>
        <w:tc>
          <w:tcPr>
            <w:tcW w:w="200" w:type="dxa"/>
            <w:vAlign w:val="bottom"/>
            <w:vMerge w:val="continue"/>
            <w:shd w:val="clear" w:color="auto" w:fill="CCEEFF"/>
          </w:tcPr>
          <w:p>
            <w:pPr>
              <w:spacing w:after="0"/>
              <w:rPr>
                <w:sz w:val="20"/>
                <w:szCs w:val="20"/>
                <w:color w:val="auto"/>
              </w:rPr>
            </w:pPr>
          </w:p>
        </w:tc>
        <w:tc>
          <w:tcPr>
            <w:tcW w:w="2160" w:type="dxa"/>
            <w:vAlign w:val="bottom"/>
            <w:gridSpan w:val="2"/>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6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9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Fair Value Measurements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color w:val="auto"/>
              </w:rPr>
              <w:t>Mortgage Loans</w:t>
            </w:r>
          </w:p>
        </w:tc>
        <w:tc>
          <w:tcPr>
            <w:tcW w:w="0" w:type="dxa"/>
            <w:vAlign w:val="bottom"/>
          </w:tcPr>
          <w:p>
            <w:pPr>
              <w:spacing w:after="0"/>
              <w:rPr>
                <w:sz w:val="1"/>
                <w:szCs w:val="1"/>
                <w:color w:val="auto"/>
              </w:rPr>
            </w:pPr>
          </w:p>
        </w:tc>
      </w:tr>
      <w:tr>
        <w:trPr>
          <w:trHeight w:val="226"/>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0" w:type="dxa"/>
            <w:vAlign w:val="bottom"/>
          </w:tcPr>
          <w:p>
            <w:pPr>
              <w:spacing w:after="0"/>
              <w:rPr>
                <w:sz w:val="1"/>
                <w:szCs w:val="1"/>
                <w:color w:val="auto"/>
              </w:rPr>
            </w:pPr>
          </w:p>
        </w:tc>
      </w:tr>
      <w:tr>
        <w:trPr>
          <w:trHeight w:val="229"/>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 (losses)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0" w:type="dxa"/>
            <w:vAlign w:val="bottom"/>
          </w:tcPr>
          <w:p>
            <w:pPr>
              <w:spacing w:after="0"/>
              <w:rPr>
                <w:sz w:val="1"/>
                <w:szCs w:val="1"/>
                <w:color w:val="auto"/>
              </w:rPr>
            </w:pPr>
          </w:p>
        </w:tc>
      </w:tr>
      <w:tr>
        <w:trPr>
          <w:trHeight w:val="229"/>
        </w:trPr>
        <w:tc>
          <w:tcPr>
            <w:tcW w:w="9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(30,029)</w:t>
            </w:r>
          </w:p>
        </w:tc>
        <w:tc>
          <w:tcPr>
            <w:tcW w:w="0" w:type="dxa"/>
            <w:vAlign w:val="bottom"/>
          </w:tcPr>
          <w:p>
            <w:pPr>
              <w:spacing w:after="0"/>
              <w:rPr>
                <w:sz w:val="1"/>
                <w:szCs w:val="1"/>
                <w:color w:val="auto"/>
              </w:rPr>
            </w:pP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losses for the period recognized in net investment gains (losses) attributable to the change in unrealized gains or losses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5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of other financial instruments:</w:t>
      </w:r>
    </w:p>
    <w:p>
      <w:pPr>
        <w:spacing w:after="0" w:line="11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 maturity securities, held-to-maturity: </w:t>
      </w:r>
      <w:r>
        <w:rPr>
          <w:rFonts w:ascii="Times New Roman" w:cs="Times New Roman" w:eastAsia="Times New Roman" w:hAnsi="Times New Roman"/>
          <w:sz w:val="18"/>
          <w:szCs w:val="18"/>
          <w:color w:val="auto"/>
        </w:rPr>
        <w:t>Fixed maturity securities, held-to-maturity consists of senior and junior notes with target rates of return.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2024, the Company determined the fair value of these instruments using the income approach utilizing inputs that are unobservable (Level 3).</w:t>
      </w:r>
    </w:p>
    <w:p>
      <w:pPr>
        <w:spacing w:after="0" w:line="6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The carrying value approximates the estimated fair value for notes payable as the notes payable accrue interest at current market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a spread. The Company determines fair value using the income approach utilizing inputs that are observable (Level 2).</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Subordinated debt consists of the Unsecured Subordinated Notes, due May 24, 2039 and have a fixed interest rate.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fair value of these instruments using the income approach utilizing inputs that are observable (Level 2).</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carrying and fair values of notes payable and subordinated debt as of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69"/>
        </w:trPr>
        <w:tc>
          <w:tcPr>
            <w:tcW w:w="5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3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FHLB Loan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Subordinated debt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subordinated interest debentures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59,794</w:t>
            </w: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Unsecured subordinated notes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19,536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81,172</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instruments qualify as insurance-related products and are specifically exempted from fair value disclosure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5.</w:t>
      </w:r>
      <w:r>
        <w:rPr>
          <w:sz w:val="20"/>
          <w:szCs w:val="20"/>
          <w:color w:val="auto"/>
        </w:rPr>
        <w:tab/>
      </w:r>
      <w:r>
        <w:rPr>
          <w:rFonts w:ascii="Times New Roman" w:cs="Times New Roman" w:eastAsia="Times New Roman" w:hAnsi="Times New Roman"/>
          <w:sz w:val="17"/>
          <w:szCs w:val="17"/>
          <w:b w:val="1"/>
          <w:bCs w:val="1"/>
          <w:u w:val="single" w:color="auto"/>
          <w:color w:val="auto"/>
        </w:rPr>
        <w:t>Mortgage Loans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invested in Separately Managed Accounts (“SMA1” and “SMA2”). As of December 31, 2024 and December 31, 2023, the Company held direct investments in mortgage loans from various creditors through SMA1 and SMA2.</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mortgage loan portfolios are primarily senior loans on real estate across the U.S. The loans earn interest at a fixed spread above a prime rate, mature in approximately 2 year to 3 years from loan origination and the principal amounts of the loans range between 64% to 80% of the property’s appraised value at the time the loans were made.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carrying value of the Company’s mortgage loans as of December 31,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8,474</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5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r>
      <w:tr>
        <w:trPr>
          <w:trHeight w:val="248"/>
        </w:trPr>
        <w:tc>
          <w:tcPr>
            <w:tcW w:w="806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sets forth the Company’s gross investment income for mortgage loans for the years ended December 31, 2024,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48"/>
        </w:trPr>
        <w:tc>
          <w:tcPr>
            <w:tcW w:w="65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years ended December 31, 2024, 2023 and 2022 respectively.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no mortgage loans were in the process of foreclosure and there were no mortgage loans that were not producing income for the previous 12 months. As of December 31, 2023, approximately $7.1 million of mortgage loans were in the process of foreclosure and $6.8 million of mortgage loans were not producing income for the previous 12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6.</w:t>
      </w:r>
      <w:r>
        <w:rPr>
          <w:sz w:val="20"/>
          <w:szCs w:val="20"/>
          <w:color w:val="auto"/>
        </w:rPr>
        <w:tab/>
      </w:r>
      <w:r>
        <w:rPr>
          <w:rFonts w:ascii="Times New Roman" w:cs="Times New Roman" w:eastAsia="Times New Roman" w:hAnsi="Times New Roman"/>
          <w:sz w:val="17"/>
          <w:szCs w:val="17"/>
          <w:b w:val="1"/>
          <w:bCs w:val="1"/>
          <w:u w:val="single" w:color="auto"/>
          <w:color w:val="auto"/>
        </w:rPr>
        <w:t>Equity Method Investments and Other</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carrying value and ownership percentage of the Company’s equity method investments as of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2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34,936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JVM Funds LLC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17,229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3"/>
        </w:trPr>
        <w:tc>
          <w:tcPr>
            <w:tcW w:w="4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65,325</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74,628</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investment income (loss) from equity method investments for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 Black Swan LP units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II LP units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JVM Funds LLC</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6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unfunded commitment of equity method investments as of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4,077</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804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4,860</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0"/>
        </w:trPr>
        <w:tc>
          <w:tcPr>
            <w:tcW w:w="8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6.</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Equity Method Investments and Other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RISCOM compared to its share of underlying equity as of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RISCOM:</w:t>
            </w: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w:t>
            </w:r>
          </w:p>
        </w:tc>
      </w:tr>
      <w:tr>
        <w:trPr>
          <w:trHeight w:val="21"/>
        </w:trPr>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
        </w:trPr>
        <w:tc>
          <w:tcPr>
            <w:tcW w:w="8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JVM Funds LLC compared to its share of underlying equity as of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JVM Funds LLC:</w:t>
            </w: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16,624</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19,304</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20,061</w:t>
            </w:r>
          </w:p>
        </w:tc>
      </w:tr>
      <w:tr>
        <w:trPr>
          <w:trHeight w:val="21"/>
        </w:trPr>
        <w:tc>
          <w:tcPr>
            <w:tcW w:w="8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
        </w:trPr>
        <w:tc>
          <w:tcPr>
            <w:tcW w:w="8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Indirect Loans and Loan Collateral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2023, the Company held indirect investments in collateralized loans and loan collateral through SMA1 and SMA2.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SMA1 and SMA2 as of December 31, 2024 and 2023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SMA1</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20,296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SMA2</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indirect loans and loan collateral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33,269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7.</w:t>
      </w:r>
      <w:r>
        <w:rPr>
          <w:sz w:val="20"/>
          <w:szCs w:val="20"/>
          <w:color w:val="auto"/>
        </w:rPr>
        <w:tab/>
      </w:r>
      <w:r>
        <w:rPr>
          <w:rFonts w:ascii="Times New Roman" w:cs="Times New Roman" w:eastAsia="Times New Roman" w:hAnsi="Times New Roman"/>
          <w:sz w:val="17"/>
          <w:szCs w:val="17"/>
          <w:b w:val="1"/>
          <w:bCs w:val="1"/>
          <w:u w:val="single" w:color="auto"/>
          <w:color w:val="auto"/>
        </w:rPr>
        <w:t>Allowance for Credit Losses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Receivable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allowance for expected credit losses on premiums receivable for the years ended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Allowance for Estimated</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260" w:type="dxa"/>
            <w:vAlign w:val="bottom"/>
          </w:tcPr>
          <w:p>
            <w:pPr>
              <w:spacing w:after="0"/>
              <w:rPr>
                <w:sz w:val="21"/>
                <w:szCs w:val="21"/>
                <w:color w:val="auto"/>
              </w:rPr>
            </w:pPr>
          </w:p>
        </w:tc>
        <w:tc>
          <w:tcPr>
            <w:tcW w:w="2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Uncollectible Premiums</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179,235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change for estimated uncollectible premiums</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3,235</w:t>
            </w: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of uncollectible premiums receivable</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r>
      <w:tr>
        <w:trPr>
          <w:trHeight w:val="230"/>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321,641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7.</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Allowance for Credit Losses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Allowance for Estimated</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260" w:type="dxa"/>
            <w:vAlign w:val="bottom"/>
          </w:tcPr>
          <w:p>
            <w:pPr>
              <w:spacing w:after="0"/>
              <w:rPr>
                <w:sz w:val="21"/>
                <w:szCs w:val="21"/>
                <w:color w:val="auto"/>
              </w:rPr>
            </w:pPr>
          </w:p>
        </w:tc>
        <w:tc>
          <w:tcPr>
            <w:tcW w:w="2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Uncollectible Premiums</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effect of adoption of ASU 2016-13 at January 1, 2023</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 change for estimated uncollectible premiums</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 of uncollectible premiums receivable</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179,235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1"/>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 Recoverables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analyzes the credit risk associated with its reinsurance recoverables by monitoring the financial strength rating of its reinsurers from A.M. Best, a widely recognized rating agency with an exclusive insurance industry focus. The Company assesses the financial strength rating annually and throughout the year as A.M. Best provides updates on ratings and outlooks. The Company assesses the adequacy of various forms of credit enhancements such as reinsurance payables, letters of credit and funds held. The following table sets forth the Company’s reinsurance recoverables net of credit enhancements by A.M. Best as of December 31,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0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600" w:type="dxa"/>
            <w:vAlign w:val="bottom"/>
            <w:tcBorders>
              <w:top w:val="single" w:sz="8" w:color="auto"/>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20" w:type="dxa"/>
            <w:vAlign w:val="bottom"/>
            <w:tcBorders>
              <w:top w:val="single" w:sz="8" w:color="auto"/>
              <w:bottom w:val="single" w:sz="8" w:color="auto"/>
            </w:tcBorders>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3020" w:type="dxa"/>
            <w:vAlign w:val="bottom"/>
            <w:gridSpan w:val="4"/>
          </w:tcPr>
          <w:p>
            <w:pPr>
              <w:jc w:val="center"/>
              <w:ind w:right="400"/>
              <w:spacing w:after="0" w:line="169" w:lineRule="exact"/>
              <w:rPr>
                <w:sz w:val="20"/>
                <w:szCs w:val="20"/>
                <w:color w:val="auto"/>
              </w:rPr>
            </w:pPr>
            <w:r>
              <w:rPr>
                <w:rFonts w:ascii="Times New Roman" w:cs="Times New Roman" w:eastAsia="Times New Roman" w:hAnsi="Times New Roman"/>
                <w:sz w:val="18"/>
                <w:szCs w:val="18"/>
                <w:color w:val="auto"/>
              </w:rPr>
              <w:t>Reinsurance Recoverables, Gross,</w:t>
            </w:r>
          </w:p>
        </w:tc>
        <w:tc>
          <w:tcPr>
            <w:tcW w:w="1520" w:type="dxa"/>
            <w:vAlign w:val="bottom"/>
          </w:tcPr>
          <w:p>
            <w:pPr>
              <w:spacing w:after="0"/>
              <w:rPr>
                <w:sz w:val="14"/>
                <w:szCs w:val="14"/>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 Best Rating</w:t>
            </w:r>
          </w:p>
        </w:tc>
        <w:tc>
          <w:tcPr>
            <w:tcW w:w="420" w:type="dxa"/>
            <w:vAlign w:val="bottom"/>
          </w:tcPr>
          <w:p>
            <w:pPr>
              <w:spacing w:after="0"/>
              <w:rPr>
                <w:sz w:val="21"/>
                <w:szCs w:val="21"/>
                <w:color w:val="auto"/>
              </w:rPr>
            </w:pPr>
          </w:p>
        </w:tc>
        <w:tc>
          <w:tcPr>
            <w:tcW w:w="26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Amortized Cost</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Percent of Total</w:t>
            </w:r>
          </w:p>
        </w:tc>
      </w:tr>
      <w:tr>
        <w:trPr>
          <w:trHeight w:val="223"/>
        </w:trPr>
        <w:tc>
          <w:tcPr>
            <w:tcW w:w="6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and above</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837,807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97.4 %</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 to B+</w:t>
            </w:r>
          </w:p>
        </w:tc>
        <w:tc>
          <w:tcPr>
            <w:tcW w:w="4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0.7</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 rated</w:t>
            </w:r>
          </w:p>
        </w:tc>
        <w:tc>
          <w:tcPr>
            <w:tcW w:w="4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54"/>
        </w:trPr>
        <w:tc>
          <w:tcPr>
            <w:tcW w:w="67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reinsurance balances to be past due when they are 90 days past due. The following tables set forth the changes in the allowance for estimated uncollectible reinsurance for the years ended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Reinsurance Recoverables,</w:t>
            </w:r>
          </w:p>
        </w:tc>
        <w:tc>
          <w:tcPr>
            <w:tcW w:w="24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w w:val="99"/>
              </w:rPr>
              <w:t>Allowance for Estimated</w:t>
            </w:r>
          </w:p>
        </w:tc>
        <w:tc>
          <w:tcPr>
            <w:tcW w:w="0" w:type="dxa"/>
            <w:vAlign w:val="bottom"/>
          </w:tcPr>
          <w:p>
            <w:pPr>
              <w:spacing w:after="0"/>
              <w:rPr>
                <w:sz w:val="1"/>
                <w:szCs w:val="1"/>
                <w:color w:val="auto"/>
              </w:rPr>
            </w:pP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w:t>
            </w:r>
          </w:p>
        </w:tc>
        <w:tc>
          <w:tcPr>
            <w:tcW w:w="240" w:type="dxa"/>
            <w:vAlign w:val="bottom"/>
          </w:tcPr>
          <w:p>
            <w:pPr>
              <w:spacing w:after="0"/>
              <w:rPr>
                <w:sz w:val="20"/>
                <w:szCs w:val="20"/>
                <w:color w:val="auto"/>
              </w:rPr>
            </w:pPr>
          </w:p>
        </w:tc>
        <w:tc>
          <w:tcPr>
            <w:tcW w:w="2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Uncollectible Reinsurance</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596,334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change for estimated uncollectible reinsurance</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13,585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of uncollectible reinsurance recoverables</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(13,585)</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857,876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Balance at</w:t>
            </w: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color w:val="auto"/>
              </w:rPr>
              <w:t>Reinsurance Recoverables,</w:t>
            </w:r>
          </w:p>
        </w:tc>
        <w:tc>
          <w:tcPr>
            <w:tcW w:w="240" w:type="dxa"/>
            <w:vAlign w:val="bottom"/>
          </w:tcPr>
          <w:p>
            <w:pPr>
              <w:spacing w:after="0"/>
              <w:rPr>
                <w:sz w:val="14"/>
                <w:szCs w:val="14"/>
                <w:color w:val="auto"/>
              </w:rPr>
            </w:pPr>
          </w:p>
        </w:tc>
        <w:tc>
          <w:tcPr>
            <w:tcW w:w="240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9"/>
              </w:rPr>
              <w:t>Allowance for Estimated</w:t>
            </w: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w:t>
            </w:r>
          </w:p>
        </w:tc>
        <w:tc>
          <w:tcPr>
            <w:tcW w:w="240" w:type="dxa"/>
            <w:vAlign w:val="bottom"/>
          </w:tcPr>
          <w:p>
            <w:pPr>
              <w:spacing w:after="0"/>
              <w:rPr>
                <w:sz w:val="20"/>
                <w:szCs w:val="20"/>
                <w:color w:val="auto"/>
              </w:rPr>
            </w:pPr>
          </w:p>
        </w:tc>
        <w:tc>
          <w:tcPr>
            <w:tcW w:w="2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Uncollectible Reinsurance</w:t>
            </w:r>
          </w:p>
        </w:tc>
        <w:tc>
          <w:tcPr>
            <w:tcW w:w="0" w:type="dxa"/>
            <w:vAlign w:val="bottom"/>
          </w:tcPr>
          <w:p>
            <w:pPr>
              <w:spacing w:after="0"/>
              <w:rPr>
                <w:sz w:val="1"/>
                <w:szCs w:val="1"/>
                <w:color w:val="auto"/>
              </w:rPr>
            </w:pPr>
          </w:p>
        </w:tc>
      </w:tr>
      <w:tr>
        <w:trPr>
          <w:trHeight w:val="227"/>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581,359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effect of adoption of ASU 2016-13 at January 1, 2023</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 change for estimated uncollectible reinsurance</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Write-offs of uncollectible reinsurance recoverables</w:t>
            </w:r>
          </w:p>
        </w:tc>
        <w:tc>
          <w:tcPr>
            <w:tcW w:w="1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596,334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31, 2025, the Company commuted the LPT with R&amp;Q Re (Bermuda) Ltd. ("R&amp;Q") related to accident years 2018 and prior. The Company recognized the uncollectible reinsurance recoverable balance related to the LPT as a net increase of $13.6 million to the allowance for estimated uncollectible reinsurance, which was subsequently written-off during the year ended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8.</w:t>
      </w:r>
      <w:r>
        <w:rPr>
          <w:sz w:val="20"/>
          <w:szCs w:val="20"/>
          <w:color w:val="auto"/>
        </w:rPr>
        <w:tab/>
      </w:r>
      <w:r>
        <w:rPr>
          <w:rFonts w:ascii="Times New Roman" w:cs="Times New Roman" w:eastAsia="Times New Roman" w:hAnsi="Times New Roman"/>
          <w:sz w:val="17"/>
          <w:szCs w:val="17"/>
          <w:b w:val="1"/>
          <w:bCs w:val="1"/>
          <w:u w:val="single" w:color="auto"/>
          <w:color w:val="auto"/>
        </w:rPr>
        <w:t>Property and Equipment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property and equipment as of December 31, 2024 and 2023, which are included within other assets on the consolidated balance sheets.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29,189</w:t>
            </w:r>
          </w:p>
        </w:tc>
      </w:tr>
      <w:tr>
        <w:trPr>
          <w:trHeight w:val="223"/>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36,114</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(27,044)</w:t>
            </w:r>
          </w:p>
        </w:tc>
      </w:tr>
      <w:tr>
        <w:trPr>
          <w:trHeight w:val="22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12,179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w:t>
            </w:r>
          </w:p>
        </w:tc>
      </w:tr>
      <w:tr>
        <w:trPr>
          <w:trHeight w:val="21"/>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$2.9 million, $3.2 million, and $3.6 million for the years ended December 31, 2024, 2023 and 2022 respectively.</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9.</w:t>
        <w:tab/>
        <w:t>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 contract contains a lease at inception and recognizes a right-of-use asset, within other assets, and lease liability, within accounts payable and accrued liabilities, based on the present value of future lease payments. In cases where its leases do not provide an implicit interest rate, the Company uses its incremental borrowing rate based on the information available on the inception date to determine the lease liability.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leases are primarily for office facilities which have been classified as operating leases. Its leases have remaining lease terms ranging from less than 1 year to 6 years, some of which include options to extend the leases. Lease expense for the years ended December 31, 2024, 2023, and 2022 was $2.1 million, $2.8 million and $2.6 million, respectively.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leases as of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4,905</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3,213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5,228</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remaining lease term</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4.39 years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years</w:t>
            </w:r>
          </w:p>
        </w:tc>
      </w:tr>
      <w:tr>
        <w:trPr>
          <w:trHeight w:val="23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discount rate</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45"/>
        </w:trPr>
        <w:tc>
          <w:tcPr>
            <w:tcW w:w="7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lease expenses for the years ended December 31, 2024,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4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2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expense</w:t>
            </w:r>
          </w:p>
        </w:tc>
        <w:tc>
          <w:tcPr>
            <w:tcW w:w="2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0"/>
        </w:trPr>
        <w:tc>
          <w:tcPr>
            <w:tcW w:w="4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98"/>
        </w:trPr>
        <w:tc>
          <w:tcPr>
            <w:tcW w:w="4460" w:type="dxa"/>
            <w:vAlign w:val="bottom"/>
          </w:tcPr>
          <w:p>
            <w:pPr>
              <w:spacing w:after="0"/>
              <w:rPr>
                <w:sz w:val="24"/>
                <w:szCs w:val="24"/>
                <w:color w:val="auto"/>
              </w:rPr>
            </w:pPr>
          </w:p>
        </w:tc>
        <w:tc>
          <w:tcPr>
            <w:tcW w:w="21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446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Leases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future minimum lease payment obligations of the Company’s operating leases at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r>
      <w:tr>
        <w:trPr>
          <w:trHeight w:val="223"/>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3,632</w:t>
            </w:r>
          </w:p>
        </w:tc>
      </w:tr>
      <w:tr>
        <w:trPr>
          <w:trHeight w:val="229"/>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r>
      <w:tr>
        <w:trPr>
          <w:trHeight w:val="248"/>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10.</w:t>
      </w:r>
      <w:r>
        <w:rPr>
          <w:sz w:val="20"/>
          <w:szCs w:val="20"/>
          <w:color w:val="auto"/>
        </w:rPr>
        <w:tab/>
      </w:r>
      <w:r>
        <w:rPr>
          <w:rFonts w:ascii="Times New Roman" w:cs="Times New Roman" w:eastAsia="Times New Roman" w:hAnsi="Times New Roman"/>
          <w:sz w:val="17"/>
          <w:szCs w:val="17"/>
          <w:b w:val="1"/>
          <w:bCs w:val="1"/>
          <w:u w:val="single" w:color="auto"/>
          <w:color w:val="auto"/>
        </w:rPr>
        <w:t>Notes Payable &amp; Subordinated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Loan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30, 2024, the Company entered into the FHLB Loan pursuant to the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The Company used the proceeds to fund redemptions of the draws on the Revolving Credit Facility (see “Revolving Credit Facility” below for additional information regarding the redemption).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entered into an agreement to obtain a new unsecured revolving credit facility (the “Revolving Credit Facility”) with a syndicate of participating banks during the first quarter of 2023. The Revolving Credit Facility provided the Company with up to a $150.0 million revolving credit facility and a letter of credit sub-facility of up to $30.0 million. As of December 31, 2023, the Company drew $50.0 million on the Revolving Credit Facility. During the first quarter of 2024, the Company drew an additional $50.0 million on the Revolving Credit Facility and used the proceeds to pay off the principal on its existing Debentures (defined below). On September 6, 2024, the Company redeemed $57.0 million of the draws on the Revolving Credit Facility.</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Secured Overnight Financing Rate (“SOFR”) plus a margin of between 150 and 190 basis points based on the ratio of debt to total capital and a credit spread adjustment of 10 basis points. At December 31, 2024, the six-month SOFR on the Revolving Credit Facility was 4.25%, plus a margin of 1.60%.</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subject to covenants on the Revolving Credit Facility based on minimum net worth, maximum debt to capital ratio, minimum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Rating and minimum liquidity. As of December 31, 2024, the Company was in compliance with all covenants.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2019, the Company entered into an agreement to issue unsecured subordinated notes (the “Notes”) with an aggregate principal amount of $20.0 million. Interest on the Notes is fixed at 7.25% for the first 8 years and fixed at 8.25% thereafter. Early retirement of the debt ahead of 8 year commitment requires all interest payments to be paid in full as well as the return of outstanding principal. Principal is due at maturity on May 24, 2039 and interest is payable quarterly. The Notes have junior priority to all previously issued debt. The Company reports debt related to the Notes in its December 31, 2024 and 2023 consolidated balance sheets, net of debt issuance costs of approximately $0.5 million. These deferred financing costs are presented as a direct deduction from the carrying amount of the subordinated debt.</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August 2006, the Company received $58.0 million of proceeds from a debenture offering through a statutory trust, Delos Capital Trust (the “Trust”). The sole asset of the Trust consists of Fixed/Floating Rate Junior Subordinated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10.</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Notes Payable &amp; Subordinated Debt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Deferrable Interest Debentures (the “Debentures”) with a principal amount of $59.8 million issued by the Company and cash of $1.8 million from the issuance of Trust common shares purchased by the Company equal to 3% of the Trust capitalization. On March 15, 2024, the Company redeemed the Debentures and paid $1.4 million of accrued interest.</w:t>
      </w:r>
    </w:p>
    <w:p>
      <w:pPr>
        <w:spacing w:after="0" w:line="64" w:lineRule="exact"/>
        <w:rPr>
          <w:sz w:val="20"/>
          <w:szCs w:val="20"/>
          <w:color w:val="auto"/>
        </w:rPr>
      </w:pPr>
    </w:p>
    <w:p>
      <w:pPr>
        <w:ind w:left="440" w:hanging="432"/>
        <w:spacing w:after="0"/>
        <w:tabs>
          <w:tab w:leader="none" w:pos="440" w:val="left"/>
        </w:tabs>
        <w:numPr>
          <w:ilvl w:val="0"/>
          <w:numId w:val="5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23, 2022, the Board of Directors approved a 4-for-1 reverse stock split of the Company’s common stock. The reverse stock split became effective January 3, 2023. All share and per share information included in the accompanying consolidated financial statements and notes to the consolidated financial statements have been retroactively adjusted to reflect the reverse stock split of common stock for all periods presented.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completed its initial public offering (“IPO”) on January 18, 2023 with 4,750,000 shares offered by the Company at a price of $15.00 per share. The Company’s net proceeds from the IPO were approximately $62.0 million, after deducting underwriting discounts and specific incremental expenses directly attributable to the IPO.</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closing of its IPO, the Company filed an amended and restated certificate of incorporation which, among other things, increased the number of authorized shares consisting of 500,000,000 shares of common stock, par value $0.01 per share, and 10,000,000 shares of preferred stock, par value $0.01 per share.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 Conversion</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Preferred Shares had preference in liquidation over common stock in the amount of the face value of $50.00 per share and any declared but unpaid dividends to related common shares at the applicable conversion rate. The Preferred Shares provided the holder the option at any time to convert the Preferred Shares into common stock based on the Option Conversion Rate.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Preferred Shares were subject to mandatory conversion upon the closing of an IPO at the Mandatory Conversion Rate. At December 31, 2022, the Mandatory Conversion Rate allowed the holder of the Preferred Shares the right to convert into common stock based on a conversion price equal to $6.04 per common share. On January 18, 2023, the 1,969,660 Preferred Shares converted to 16,305,113 shares of common stock upon the Company’s closing of its IPO.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Follow-On Offering</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20, 2023, the Company completed its follow-on offering with 2,150,000 shares sold by the Company at a price of $30.50 per share. The Company’s net proceeds were approximately $62.5 million, after deducting underwriting discounts and specific incremental expenses directly attributable to the offering.</w:t>
      </w:r>
    </w:p>
    <w:p>
      <w:pPr>
        <w:spacing w:after="0" w:line="64"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Segment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through which it offers a broad array of commercial property and casualty products and solutions on a non-admitted (or E&amp;S) and admitted basis, predominantly in the United States. The segment is made up of eight distinct underwriting divisions, or “continuing business,” and has dedicated underwriting leadership supported by high-quality technical staff with deep experience in their respective niches. The Company defines its segment on the basis of the way in which internally reported financial information is regularly reviewed by the Chief Operating Decision Maker (“CODM”) to analyze financial performance, make decisions and allocate resources. The Company’s CODM is the chief executive officer.</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Note 1 “Summary of Significant Accounting Policies” of this Form 10-K. The CODM assesses performance for the segment and decides how to allocate resources based on gross written premiums by net underwriting division, underwriting income, and income before income taxes that also is reported on the consolidated statements of operations as consolidated income before income taxes. The measure of segment assets is reported on the balance sheet as total consolidated assets.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written premiums by underwriting division, net underwriting income, and consolidated net income are used to monitor budget versus actual results. The chief operating decision maker also uses net underwriting income, return on equity and growth in book value per share in competitive analysis by benchmarking to the Company’s competitors.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Segment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competitive analysis along with the monitoring of budgeted versus actual results are used in assessing performance of the segment and in establishing management’s compensation.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gross written premiums by underwriting division for the years ended December 31, 2024, 2023 and 2022:</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5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220" w:type="dxa"/>
            <w:vAlign w:val="bottom"/>
            <w:tcBorders>
              <w:top w:val="single" w:sz="8" w:color="auto"/>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Industry Solutions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267,628</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Property &amp; Agriculture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205,081</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124,286</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130,808</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75,098</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93,011</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152,429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79,062</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continuing business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1,743,249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1,459,847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1,138,627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Exited business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written premiums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1,743,232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1,459,829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1,143,952</w:t>
            </w:r>
          </w:p>
        </w:tc>
        <w:tc>
          <w:tcPr>
            <w:tcW w:w="0" w:type="dxa"/>
            <w:vAlign w:val="bottom"/>
          </w:tcPr>
          <w:p>
            <w:pPr>
              <w:spacing w:after="0"/>
              <w:rPr>
                <w:sz w:val="1"/>
                <w:szCs w:val="1"/>
                <w:color w:val="auto"/>
              </w:rPr>
            </w:pPr>
          </w:p>
        </w:tc>
      </w:tr>
      <w:tr>
        <w:trPr>
          <w:trHeight w:val="54"/>
        </w:trPr>
        <w:tc>
          <w:tcPr>
            <w:tcW w:w="6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Segment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net underwriting income, significant segment expenses and a reconciliation of net underwriting income to net income for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bottom w:val="single" w:sz="8" w:color="CCEEFF"/>
            </w:tcBorders>
          </w:tcPr>
          <w:p>
            <w:pPr>
              <w:spacing w:after="0"/>
              <w:rPr>
                <w:sz w:val="21"/>
                <w:szCs w:val="21"/>
                <w:color w:val="auto"/>
              </w:rPr>
            </w:pPr>
          </w:p>
        </w:tc>
        <w:tc>
          <w:tcPr>
            <w:tcW w:w="6940" w:type="dxa"/>
            <w:vAlign w:val="bottom"/>
            <w:tcBorders>
              <w:top w:val="single" w:sz="8" w:color="auto"/>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189"/>
        </w:trPr>
        <w:tc>
          <w:tcPr>
            <w:tcW w:w="20" w:type="dxa"/>
            <w:vAlign w:val="bottom"/>
            <w:shd w:val="clear" w:color="auto" w:fill="CCEEFF"/>
          </w:tcPr>
          <w:p>
            <w:pPr>
              <w:spacing w:after="0"/>
              <w:rPr>
                <w:sz w:val="16"/>
                <w:szCs w:val="16"/>
                <w:color w:val="auto"/>
              </w:rPr>
            </w:pPr>
          </w:p>
        </w:tc>
        <w:tc>
          <w:tcPr>
            <w:tcW w:w="69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Underwriting income</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30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615,994</w:t>
            </w:r>
          </w:p>
        </w:tc>
      </w:tr>
      <w:tr>
        <w:trPr>
          <w:trHeight w:val="229"/>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23"/>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underwriting revenues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1,063,425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621,193</w:t>
            </w:r>
          </w:p>
        </w:tc>
      </w:tr>
      <w:tr>
        <w:trPr>
          <w:trHeight w:val="209"/>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LAE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402,512</w:t>
            </w:r>
          </w:p>
        </w:tc>
      </w:tr>
      <w:tr>
        <w:trPr>
          <w:trHeight w:val="229"/>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149,975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65,695</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116,476</w:t>
            </w:r>
          </w:p>
        </w:tc>
      </w:tr>
      <w:tr>
        <w:trPr>
          <w:trHeight w:val="223"/>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underwriting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981,566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584,683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underwriting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Reconciliation of net underwriting income to net income:</w:t>
            </w:r>
          </w:p>
        </w:tc>
        <w:tc>
          <w:tcPr>
            <w:tcW w:w="2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underwriting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9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36,931</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(15,705)</w:t>
            </w:r>
          </w:p>
        </w:tc>
      </w:tr>
      <w:tr>
        <w:trPr>
          <w:trHeight w:val="230"/>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(loss)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30"/>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49,783</w:t>
            </w:r>
          </w:p>
        </w:tc>
      </w:tr>
      <w:tr>
        <w:trPr>
          <w:trHeight w:val="223"/>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return on equity and book value per share for the years ended December 31, 2024,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80" w:type="dxa"/>
            <w:vAlign w:val="bottom"/>
            <w:tcBorders>
              <w:top w:val="single" w:sz="8" w:color="auto"/>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equity</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 value per share</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45"/>
        </w:trPr>
        <w:tc>
          <w:tcPr>
            <w:tcW w:w="56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bl>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13.</w:t>
      </w:r>
      <w:r>
        <w:rPr>
          <w:sz w:val="20"/>
          <w:szCs w:val="20"/>
          <w:color w:val="auto"/>
        </w:rPr>
        <w:tab/>
      </w:r>
      <w:r>
        <w:rPr>
          <w:rFonts w:ascii="Times New Roman" w:cs="Times New Roman" w:eastAsia="Times New Roman" w:hAnsi="Times New Roman"/>
          <w:sz w:val="17"/>
          <w:szCs w:val="17"/>
          <w:b w:val="1"/>
          <w:bCs w:val="1"/>
          <w:u w:val="single" w:color="auto"/>
          <w:color w:val="auto"/>
        </w:rPr>
        <w:t>Income Taxes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income tax expense for the years ended December 31, 2024,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2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(benefit) expense related to temporary differences</w:t>
            </w:r>
          </w:p>
        </w:tc>
        <w:tc>
          <w:tcPr>
            <w:tcW w:w="1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10,267</w:t>
            </w:r>
          </w:p>
        </w:tc>
      </w:tr>
      <w:tr>
        <w:trPr>
          <w:trHeight w:val="248"/>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504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13.</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Income Taxes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provision for income taxes generally does not deviate substantially from the statutory tax rate. The effective tax rate may vary slightly from the statutory rate due to tax adjustments for tax-exempt income, dividends-received deduction and non-deductible expenses.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differences between income taxes expected at the federal statutory income tax rate of 21% and the reported income tax expense for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Percentage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Percentage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Percentage</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federal statutory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32,075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advantaged investments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2,075</w:t>
            </w:r>
          </w:p>
        </w:tc>
        <w:tc>
          <w:tcPr>
            <w:tcW w:w="1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33,911</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1"/>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
        </w:trPr>
        <w:tc>
          <w:tcPr>
            <w:tcW w:w="3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effects of temporary differences that give rise to significant portions of the deferred tax assets and deferred tax liabilities at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18,178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w:t>
            </w: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losses on fixed maturity securities, available-for-sale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49,665</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58,361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49,079</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w:t>
            </w: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on equity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9"/>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481(a) adjustment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27,875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27,088</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30,486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paid $37.0 million in federal income taxes during the year ended December 31, 2024. The Company’s federal income tax returns for tax years 2021 to 2023 are subject to examination by the Internal Revenue Service. The Company has no current U.S. federal or state and local income tax examinations on-going at this time.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2024, the Company carried no balance for uncertain tax positions. The Company had no accrual for the payment of interest and penalties at December 31, 2024 or 2023.</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federal net operating loss carryforwards of approximately $44.7 million. These net operating losses are set to expire beginning in 2032. The Company is limited on the utilization of $44.7 million of the net operating losses under Internal Revenue Code Section 382 (“Sec 382”) which imposes limitations on a corporation’s ability to utilize tax attributes if the corporation experiences an “ownership change” which occurred during 2014. The Sec 382 limitation 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13.</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Income Taxes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expected to result in an expiration of $2.8 million ($0.6 million tax effected) of net operating losses. A valuation allowance was established against the balance that is expected to expire without utilization.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generated a capital loss carryforward in 2022, resulting in a deferred tax asset of $1.7 million as of December 31, 2024. No valuation allowance is recorded against this deferred tax asset as the Company expects to utilize this carryforward before it expires in 2027.</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a valuation allowance against deferred tax assets when it is more likely-than-not that some portion, or all, of deferred tax assets will not be realized. Its deferred tax valuation allowance at December 31, 2024 and 2023 was $0.6 million.</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14.</w:t>
      </w:r>
      <w:r>
        <w:rPr>
          <w:sz w:val="20"/>
          <w:szCs w:val="20"/>
          <w:color w:val="auto"/>
        </w:rPr>
        <w:tab/>
      </w:r>
      <w:r>
        <w:rPr>
          <w:rFonts w:ascii="Times New Roman" w:cs="Times New Roman" w:eastAsia="Times New Roman" w:hAnsi="Times New Roman"/>
          <w:sz w:val="17"/>
          <w:szCs w:val="17"/>
          <w:b w:val="1"/>
          <w:bCs w:val="1"/>
          <w:u w:val="single" w:color="auto"/>
          <w:color w:val="auto"/>
        </w:rPr>
        <w:t>Reserves for Losses and Loss Adjustment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its loss development on a consolidated basis; however, it evaluates net ultimate loss and LAE under three sub-categories: multi-line solutions, short-tail/monoline specialty lines and exited lines. The Company determined that these disaggregated groupings have more homogeneous risk characteristics with similar development patterns and are generally subject to similar trends.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Short-tail/Monoline Specialty Lines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Short-tail/monoline specialty lines includes the Company’s global property &amp; agriculture, accident &amp; health, surety, and professional lines underwriting divisions. These are market niches for which the Company serves with monoline solutions which generally have shorter durations for losses to fully develop. Losses for these lines are generally reported within a short period of time from the date of loss, and in most instances, claims are settled and paid within a relatively short timeframe. Short tail/monoline specialty can be impacted by larger losses which can be more complex due to factors such as difficulty determining actual damages, legal and regulatory impediments potentially extending the period of time it takes to settle and pay claims.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Multi-line Solutions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Multi-line solutions includes the Company’s industry solutions, programs, captives and transactional E&amp;S underwriting divisions. These are market niches for which the Company provides multiple products most frequently as an integrated solution. The multi-line solution subcategory is made up predominantly of occurrence liability including general liability, excess liability, and commercial auto. Multi-line solutions have a longer duration for losses to fully develop compared to short-tail/monoline specialty lines. Due to the unique claim characteristics of each product and the longer-tail nature of the multi-line solutions, this introduces more uncertainty as over time the claims can be impacted by changes in regulation, inflation and other unforeseen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Exited lines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Exited lines includes all underwriting units that the Company placed in run-off and are presented separately from on-going lines of business.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2024, the Company transitioned from evaluating reserves on a policy year basis to an accident year basis which results in earlier recognition of underlying claim trends, better alignment of exposure to risks, and adherence to commonly used industry best practices. In prior years, the Company’s methodology allocated IBNR from its policy year analysis to accident year. As a result of transitioning to accident year, IBNR within short-tail/monoline specialty lines, multi-line solutions, and exited lines was reallocated for the years ended December 31, 2023, 2022, 2021 and 2020, and certain amounts have been conformed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Reserves for Losses and Loss Adjustment Expenses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unpaid losses and loss adjustment expenses (“LAE”) as reported in the consolidated balance sheets as of and for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1,314,501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979,549</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on unpaid claims, beginning of period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(455,484)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(381,338)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 net of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859,017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598,211</w:t>
            </w:r>
          </w:p>
        </w:tc>
      </w:tr>
      <w:tr>
        <w:trPr>
          <w:trHeight w:val="20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net of reinsurance, related to:</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657,783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374,475</w:t>
            </w:r>
          </w:p>
        </w:tc>
      </w:tr>
      <w:tr>
        <w:trPr>
          <w:trHeight w:val="230"/>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25,728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33,849</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683,511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408,324</w:t>
            </w: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net of reinsurance, related to:</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136,731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105,928</w:t>
            </w:r>
          </w:p>
        </w:tc>
      </w:tr>
      <w:tr>
        <w:trPr>
          <w:trHeight w:val="229"/>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294,260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194,836</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430,991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300,764</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reserves for losses and LAE, end of period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1,111,537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705,771</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claims, 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670,846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435,986</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1,782,383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1,314,501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1,141,757</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adverse development related to prior years’ loss and loss expense reserves of $25.7 million, primarily related to losses previously subject to the LPT from accident years 2018 and prior, with $10.1 million and $15.2 million in multi-line solutions and exited lines, respectively.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adverse development related to prior years’ loss and loss expense reserves of $10.8 million. Adverse development of $11.7 million in multi-line solutions was driven by greater than expected severity in auto, general, and excess liability lines of business primarily from accident years 2020 to 2022. The adverse development was partially offset by favorable development in short-tail/monoline specialty lines. The favorable development was in the property line of business primarily from accident years 2021 and 2022.</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Company’s net incurred losses for accident years 2021 and prior developed adversely by $33.8 million. Adverse development of $20.2 million in exited lines was due to (i) losses previously subject to the LPT from accident years 2018 and prior, and (ii) increased frequency and severity in general and professional liability lines from accident years 2019 through 2021. Adverse development of $13.0 million in multi-line solutions was driven by an increase in the frequency and severity of claims in commercial auto and general liability from accident years 2018 through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Duration Contract Disclosures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Losses and LAE reserves represent the Company’s best estimate of the ultimate net cost of all reported and unreported losses that are unpaid as of the balance sheet dates. The Company’s estimated reserves for losses and LAE include the accumulation of estimates for claims reported and unpaid prior to the balance sheet dates, estimates (based on projections of relevant historical data) of increases in claims costs for claims already reported, of claims incurred but not reported, and estimates of expenses for investigating and adjusting all incurred and unpaid claims.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determining the cumulative number of reported claims, the Company measures claim counts by incident. The claim counts include all claims reported, even if the Company does not establish a liability for the claim (i.e. reserve for loss and loss adjustment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Reserves for Losses and Loss Adjustment Expenses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Short-tail/Monoline Specialty Lines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 in thousands except number of claims)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tcBorders>
              <w:top w:val="single" w:sz="8" w:color="auto"/>
              <w:bottom w:val="single" w:sz="8" w:color="auto"/>
            </w:tcBorders>
          </w:tcPr>
          <w:p>
            <w:pPr>
              <w:spacing w:after="0"/>
              <w:rPr>
                <w:sz w:val="18"/>
                <w:szCs w:val="18"/>
                <w:color w:val="auto"/>
              </w:rPr>
            </w:pPr>
          </w:p>
        </w:tc>
        <w:tc>
          <w:tcPr>
            <w:tcW w:w="6440" w:type="dxa"/>
            <w:vAlign w:val="bottom"/>
            <w:tcBorders>
              <w:top w:val="single" w:sz="8" w:color="auto"/>
              <w:bottom w:val="single" w:sz="8" w:color="auto"/>
            </w:tcBorders>
            <w:gridSpan w:val="14"/>
          </w:tcPr>
          <w:p>
            <w:pPr>
              <w:ind w:left="440"/>
              <w:spacing w:after="0"/>
              <w:rPr>
                <w:sz w:val="20"/>
                <w:szCs w:val="20"/>
                <w:color w:val="auto"/>
              </w:rPr>
            </w:pPr>
            <w:r>
              <w:rPr>
                <w:rFonts w:ascii="Times New Roman" w:cs="Times New Roman" w:eastAsia="Times New Roman" w:hAnsi="Times New Roman"/>
                <w:sz w:val="14"/>
                <w:szCs w:val="14"/>
                <w:b w:val="1"/>
                <w:bCs w:val="1"/>
                <w:color w:val="auto"/>
              </w:rPr>
              <w:t>Incurred Losses and Allocated Loss Adjustment Expense (“ALAE”), Net of Reinsurance</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48"/>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Accident Year</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color w:val="auto"/>
                <w:w w:val="97"/>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IBNR</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6,536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1,627</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15,316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2,383</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191,865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68,001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4,880</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161,230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4,502</w:t>
            </w:r>
          </w:p>
        </w:tc>
        <w:tc>
          <w:tcPr>
            <w:tcW w:w="0" w:type="dxa"/>
            <w:vAlign w:val="bottom"/>
          </w:tcPr>
          <w:p>
            <w:pPr>
              <w:spacing w:after="0"/>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723,546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net paid loss and ALAE from the table below</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(359,673)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w w:val="99"/>
              </w:rPr>
              <w:t>Net reserves for loss and ALAE before 2020</w:t>
            </w: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reserves for loss and ALAE</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367,226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Cumulative Paid Losses and ALAE, Net of Reinsurance ($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Accident Year</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35,479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rPr>
              <w:t>43,737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49,688</w:t>
            </w:r>
          </w:p>
        </w:tc>
        <w:tc>
          <w:tcPr>
            <w:tcW w:w="0" w:type="dxa"/>
            <w:vAlign w:val="bottom"/>
          </w:tcPr>
          <w:p>
            <w:pPr>
              <w:spacing w:after="0"/>
              <w:rPr>
                <w:sz w:val="1"/>
                <w:szCs w:val="1"/>
                <w:color w:val="auto"/>
              </w:rPr>
            </w:pPr>
          </w:p>
        </w:tc>
      </w:tr>
      <w:tr>
        <w:trPr>
          <w:trHeight w:val="230"/>
        </w:trPr>
        <w:tc>
          <w:tcPr>
            <w:tcW w:w="820" w:type="dxa"/>
            <w:vAlign w:val="bottom"/>
          </w:tcPr>
          <w:p>
            <w:pPr>
              <w:jc w:val="right"/>
              <w:ind w:right="368"/>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18,447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center"/>
              <w:ind w:left="471"/>
              <w:spacing w:after="0"/>
              <w:rPr>
                <w:sz w:val="20"/>
                <w:szCs w:val="20"/>
                <w:color w:val="auto"/>
              </w:rPr>
            </w:pPr>
            <w:r>
              <w:rPr>
                <w:rFonts w:ascii="Times New Roman" w:cs="Times New Roman" w:eastAsia="Times New Roman" w:hAnsi="Times New Roman"/>
                <w:sz w:val="18"/>
                <w:szCs w:val="18"/>
                <w:color w:val="auto"/>
              </w:rPr>
              <w:t>67,912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78,439</w:t>
            </w: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27,773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rPr>
              <w:t>64,594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77,150</w:t>
            </w:r>
          </w:p>
        </w:tc>
        <w:tc>
          <w:tcPr>
            <w:tcW w:w="0" w:type="dxa"/>
            <w:vAlign w:val="bottom"/>
          </w:tcPr>
          <w:p>
            <w:pPr>
              <w:spacing w:after="0"/>
              <w:rPr>
                <w:sz w:val="1"/>
                <w:szCs w:val="1"/>
                <w:color w:val="auto"/>
              </w:rPr>
            </w:pPr>
          </w:p>
        </w:tc>
      </w:tr>
      <w:tr>
        <w:trPr>
          <w:trHeight w:val="229"/>
        </w:trPr>
        <w:tc>
          <w:tcPr>
            <w:tcW w:w="820" w:type="dxa"/>
            <w:vAlign w:val="bottom"/>
          </w:tcPr>
          <w:p>
            <w:pPr>
              <w:jc w:val="right"/>
              <w:ind w:right="368"/>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center"/>
              <w:ind w:left="471"/>
              <w:spacing w:after="0"/>
              <w:rPr>
                <w:sz w:val="20"/>
                <w:szCs w:val="20"/>
                <w:color w:val="auto"/>
              </w:rPr>
            </w:pPr>
            <w:r>
              <w:rPr>
                <w:rFonts w:ascii="Times New Roman" w:cs="Times New Roman" w:eastAsia="Times New Roman" w:hAnsi="Times New Roman"/>
                <w:sz w:val="18"/>
                <w:szCs w:val="18"/>
                <w:color w:val="auto"/>
              </w:rPr>
              <w:t>33,795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100,705</w:t>
            </w: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53,691</w:t>
            </w:r>
          </w:p>
        </w:tc>
        <w:tc>
          <w:tcPr>
            <w:tcW w:w="0" w:type="dxa"/>
            <w:vAlign w:val="bottom"/>
          </w:tcPr>
          <w:p>
            <w:pPr>
              <w:spacing w:after="0"/>
              <w:rPr>
                <w:sz w:val="1"/>
                <w:szCs w:val="1"/>
                <w:color w:val="auto"/>
              </w:rPr>
            </w:pPr>
          </w:p>
        </w:tc>
      </w:tr>
      <w:tr>
        <w:trPr>
          <w:trHeight w:val="22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359,673</w:t>
            </w:r>
          </w:p>
        </w:tc>
        <w:tc>
          <w:tcPr>
            <w:tcW w:w="0" w:type="dxa"/>
            <w:vAlign w:val="bottom"/>
          </w:tcPr>
          <w:p>
            <w:pPr>
              <w:spacing w:after="0"/>
              <w:rPr>
                <w:sz w:val="1"/>
                <w:szCs w:val="1"/>
                <w:color w:val="auto"/>
              </w:rPr>
            </w:pPr>
          </w:p>
        </w:tc>
      </w:tr>
      <w:tr>
        <w:trPr>
          <w:trHeight w:val="21"/>
        </w:trPr>
        <w:tc>
          <w:tcPr>
            <w:tcW w:w="254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540" w:type="dxa"/>
            <w:vAlign w:val="bottom"/>
            <w:gridSpan w:val="6"/>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Multi-line Solutions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5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i w:val="1"/>
                <w:iCs w:val="1"/>
                <w:color w:val="auto"/>
              </w:rPr>
              <w:t>($ in thousands except number of claims)</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16"/>
          </w:tcPr>
          <w:p>
            <w:pPr>
              <w:ind w:left="240"/>
              <w:spacing w:after="0"/>
              <w:rPr>
                <w:sz w:val="20"/>
                <w:szCs w:val="20"/>
                <w:color w:val="auto"/>
              </w:rPr>
            </w:pPr>
            <w:r>
              <w:rPr>
                <w:rFonts w:ascii="Times New Roman" w:cs="Times New Roman" w:eastAsia="Times New Roman" w:hAnsi="Times New Roman"/>
                <w:sz w:val="13"/>
                <w:szCs w:val="13"/>
                <w:b w:val="1"/>
                <w:bCs w:val="1"/>
                <w:color w:val="auto"/>
              </w:rPr>
              <w:t>Incurred Losses and ALAE, Net of Reinsurance ($ in thousands)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0" w:type="dxa"/>
            <w:vAlign w:val="bottom"/>
          </w:tcPr>
          <w:p>
            <w:pPr>
              <w:spacing w:after="0"/>
              <w:rPr>
                <w:sz w:val="1"/>
                <w:szCs w:val="1"/>
                <w:color w:val="auto"/>
              </w:rPr>
            </w:pPr>
          </w:p>
        </w:tc>
      </w:tr>
      <w:tr>
        <w:trPr>
          <w:trHeight w:val="171"/>
        </w:trPr>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Accident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9"/>
          </w:tcPr>
          <w:p>
            <w:pPr>
              <w:ind w:left="4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32"/>
        </w:trPr>
        <w:tc>
          <w:tcPr>
            <w:tcW w:w="920" w:type="dxa"/>
            <w:vAlign w:val="bottom"/>
            <w:gridSpan w:val="2"/>
            <w:vMerge w:val="continue"/>
          </w:tcPr>
          <w:p>
            <w:pPr>
              <w:spacing w:after="0"/>
              <w:rPr>
                <w:sz w:val="2"/>
                <w:szCs w:val="2"/>
                <w:color w:val="auto"/>
              </w:rPr>
            </w:pPr>
          </w:p>
        </w:tc>
        <w:tc>
          <w:tcPr>
            <w:tcW w:w="6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2"/>
                <w:szCs w:val="2"/>
                <w:color w:val="auto"/>
              </w:rPr>
            </w:pPr>
          </w:p>
        </w:tc>
        <w:tc>
          <w:tcPr>
            <w:tcW w:w="7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2"/>
                <w:szCs w:val="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2"/>
                <w:szCs w:val="2"/>
                <w:color w:val="auto"/>
              </w:rPr>
            </w:pPr>
          </w:p>
        </w:tc>
        <w:tc>
          <w:tcPr>
            <w:tcW w:w="76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2"/>
                <w:szCs w:val="2"/>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2"/>
                <w:szCs w:val="2"/>
                <w:color w:val="auto"/>
              </w:rPr>
            </w:pPr>
          </w:p>
        </w:tc>
        <w:tc>
          <w:tcPr>
            <w:tcW w:w="6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IBNR</w:t>
            </w: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Claims</w:t>
            </w:r>
          </w:p>
        </w:tc>
        <w:tc>
          <w:tcPr>
            <w:tcW w:w="0" w:type="dxa"/>
            <w:vAlign w:val="bottom"/>
          </w:tcPr>
          <w:p>
            <w:pPr>
              <w:spacing w:after="0"/>
              <w:rPr>
                <w:sz w:val="1"/>
                <w:szCs w:val="1"/>
                <w:color w:val="auto"/>
              </w:rPr>
            </w:pPr>
          </w:p>
        </w:tc>
      </w:tr>
      <w:tr>
        <w:trPr>
          <w:trHeight w:val="174"/>
        </w:trPr>
        <w:tc>
          <w:tcPr>
            <w:tcW w:w="820" w:type="dxa"/>
            <w:vAlign w:val="bottom"/>
            <w:tcBorders>
              <w:top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3"/>
                <w:szCs w:val="13"/>
                <w:color w:val="auto"/>
              </w:rPr>
              <w:t>2015</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103,191</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114,266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117,024</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117,024</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119,216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114,863</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115,863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116,413</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    116,413</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117,955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(834)</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5,386</w:t>
            </w:r>
          </w:p>
        </w:tc>
        <w:tc>
          <w:tcPr>
            <w:tcW w:w="0" w:type="dxa"/>
            <w:vAlign w:val="bottom"/>
          </w:tcPr>
          <w:p>
            <w:pPr>
              <w:spacing w:after="0"/>
              <w:rPr>
                <w:sz w:val="1"/>
                <w:szCs w:val="1"/>
                <w:color w:val="auto"/>
              </w:rPr>
            </w:pPr>
          </w:p>
        </w:tc>
      </w:tr>
      <w:tr>
        <w:trPr>
          <w:trHeight w:val="171"/>
        </w:trPr>
        <w:tc>
          <w:tcPr>
            <w:tcW w:w="820" w:type="dxa"/>
            <w:vAlign w:val="bottom"/>
          </w:tcPr>
          <w:p>
            <w:pPr>
              <w:jc w:val="right"/>
              <w:ind w:right="368"/>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62,843</w:t>
            </w: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62,843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84,579</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84,829</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84,829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85,434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1,276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4,739</w:t>
            </w:r>
          </w:p>
        </w:tc>
        <w:tc>
          <w:tcPr>
            <w:tcW w:w="0" w:type="dxa"/>
            <w:vAlign w:val="bottom"/>
          </w:tcPr>
          <w:p>
            <w:pPr>
              <w:spacing w:after="0"/>
              <w:rPr>
                <w:sz w:val="1"/>
                <w:szCs w:val="1"/>
                <w:color w:val="auto"/>
              </w:rPr>
            </w:pPr>
          </w:p>
        </w:tc>
      </w:tr>
      <w:tr>
        <w:trPr>
          <w:trHeight w:val="180"/>
        </w:trPr>
        <w:tc>
          <w:tcPr>
            <w:tcW w:w="8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65,332</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65,332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78,166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78,766</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78,766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80,493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5,588</w:t>
            </w:r>
          </w:p>
        </w:tc>
        <w:tc>
          <w:tcPr>
            <w:tcW w:w="0" w:type="dxa"/>
            <w:vAlign w:val="bottom"/>
          </w:tcPr>
          <w:p>
            <w:pPr>
              <w:spacing w:after="0"/>
              <w:rPr>
                <w:sz w:val="1"/>
                <w:szCs w:val="1"/>
                <w:color w:val="auto"/>
              </w:rPr>
            </w:pPr>
          </w:p>
        </w:tc>
      </w:tr>
      <w:tr>
        <w:trPr>
          <w:trHeight w:val="171"/>
        </w:trPr>
        <w:tc>
          <w:tcPr>
            <w:tcW w:w="820" w:type="dxa"/>
            <w:vAlign w:val="bottom"/>
          </w:tcPr>
          <w:p>
            <w:pPr>
              <w:jc w:val="right"/>
              <w:ind w:right="368"/>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74,476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74,476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69,319</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73,019</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73,019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75,686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4,856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5,104</w:t>
            </w:r>
          </w:p>
        </w:tc>
        <w:tc>
          <w:tcPr>
            <w:tcW w:w="0" w:type="dxa"/>
            <w:vAlign w:val="bottom"/>
          </w:tcPr>
          <w:p>
            <w:pPr>
              <w:spacing w:after="0"/>
              <w:rPr>
                <w:sz w:val="1"/>
                <w:szCs w:val="1"/>
                <w:color w:val="auto"/>
              </w:rPr>
            </w:pPr>
          </w:p>
        </w:tc>
      </w:tr>
      <w:tr>
        <w:trPr>
          <w:trHeight w:val="180"/>
        </w:trPr>
        <w:tc>
          <w:tcPr>
            <w:tcW w:w="8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107,432</w:t>
            </w:r>
          </w:p>
        </w:tc>
        <w:tc>
          <w:tcPr>
            <w:tcW w:w="100" w:type="dxa"/>
            <w:vAlign w:val="bottom"/>
            <w:shd w:val="clear" w:color="auto" w:fill="CCEEFF"/>
          </w:tcPr>
          <w:p>
            <w:pPr>
              <w:spacing w:after="0"/>
              <w:rPr>
                <w:sz w:val="15"/>
                <w:szCs w:val="15"/>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109,226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115,530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116,230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116,206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3,918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6,119</w:t>
            </w:r>
          </w:p>
        </w:tc>
        <w:tc>
          <w:tcPr>
            <w:tcW w:w="0" w:type="dxa"/>
            <w:vAlign w:val="bottom"/>
          </w:tcPr>
          <w:p>
            <w:pPr>
              <w:spacing w:after="0"/>
              <w:rPr>
                <w:sz w:val="1"/>
                <w:szCs w:val="1"/>
                <w:color w:val="auto"/>
              </w:rPr>
            </w:pPr>
          </w:p>
        </w:tc>
      </w:tr>
      <w:tr>
        <w:trPr>
          <w:trHeight w:val="171"/>
        </w:trPr>
        <w:tc>
          <w:tcPr>
            <w:tcW w:w="820" w:type="dxa"/>
            <w:vAlign w:val="bottom"/>
          </w:tcPr>
          <w:p>
            <w:pPr>
              <w:jc w:val="right"/>
              <w:ind w:right="368"/>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89"/>
              </w:rPr>
              <w:t>113,030</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124,076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128,111</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132,495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132,125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4,716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5,539</w:t>
            </w:r>
          </w:p>
        </w:tc>
        <w:tc>
          <w:tcPr>
            <w:tcW w:w="0" w:type="dxa"/>
            <w:vAlign w:val="bottom"/>
          </w:tcPr>
          <w:p>
            <w:pPr>
              <w:spacing w:after="0"/>
              <w:rPr>
                <w:sz w:val="1"/>
                <w:szCs w:val="1"/>
                <w:color w:val="auto"/>
              </w:rPr>
            </w:pPr>
          </w:p>
        </w:tc>
      </w:tr>
      <w:tr>
        <w:trPr>
          <w:trHeight w:val="180"/>
        </w:trPr>
        <w:tc>
          <w:tcPr>
            <w:tcW w:w="8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158,891</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160,331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160,546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16,119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6,702</w:t>
            </w:r>
          </w:p>
        </w:tc>
        <w:tc>
          <w:tcPr>
            <w:tcW w:w="0" w:type="dxa"/>
            <w:vAlign w:val="bottom"/>
          </w:tcPr>
          <w:p>
            <w:pPr>
              <w:spacing w:after="0"/>
              <w:rPr>
                <w:sz w:val="1"/>
                <w:szCs w:val="1"/>
                <w:color w:val="auto"/>
              </w:rPr>
            </w:pPr>
          </w:p>
        </w:tc>
      </w:tr>
      <w:tr>
        <w:trPr>
          <w:trHeight w:val="171"/>
        </w:trPr>
        <w:tc>
          <w:tcPr>
            <w:tcW w:w="820" w:type="dxa"/>
            <w:vAlign w:val="bottom"/>
          </w:tcPr>
          <w:p>
            <w:pPr>
              <w:jc w:val="right"/>
              <w:ind w:right="368"/>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236,909</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242,097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242,358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33,477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8,562</w:t>
            </w:r>
          </w:p>
        </w:tc>
        <w:tc>
          <w:tcPr>
            <w:tcW w:w="0" w:type="dxa"/>
            <w:vAlign w:val="bottom"/>
          </w:tcPr>
          <w:p>
            <w:pPr>
              <w:spacing w:after="0"/>
              <w:rPr>
                <w:sz w:val="1"/>
                <w:szCs w:val="1"/>
                <w:color w:val="auto"/>
              </w:rPr>
            </w:pPr>
          </w:p>
        </w:tc>
      </w:tr>
      <w:tr>
        <w:trPr>
          <w:trHeight w:val="180"/>
        </w:trPr>
        <w:tc>
          <w:tcPr>
            <w:tcW w:w="8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306,511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306,511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132,772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8,180</w:t>
            </w:r>
          </w:p>
        </w:tc>
        <w:tc>
          <w:tcPr>
            <w:tcW w:w="0" w:type="dxa"/>
            <w:vAlign w:val="bottom"/>
          </w:tcPr>
          <w:p>
            <w:pPr>
              <w:spacing w:after="0"/>
              <w:rPr>
                <w:sz w:val="1"/>
                <w:szCs w:val="1"/>
                <w:color w:val="auto"/>
              </w:rPr>
            </w:pPr>
          </w:p>
        </w:tc>
      </w:tr>
      <w:tr>
        <w:trPr>
          <w:trHeight w:val="171"/>
        </w:trPr>
        <w:tc>
          <w:tcPr>
            <w:tcW w:w="820" w:type="dxa"/>
            <w:vAlign w:val="bottom"/>
            <w:tcBorders>
              <w:bottom w:val="single" w:sz="8" w:color="CCEEFF"/>
            </w:tcBorders>
          </w:tcPr>
          <w:p>
            <w:pPr>
              <w:jc w:val="right"/>
              <w:ind w:right="368"/>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353,933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246,281</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6,557</w:t>
            </w:r>
          </w:p>
        </w:tc>
        <w:tc>
          <w:tcPr>
            <w:tcW w:w="0" w:type="dxa"/>
            <w:vAlign w:val="bottom"/>
          </w:tcPr>
          <w:p>
            <w:pPr>
              <w:spacing w:after="0"/>
              <w:rPr>
                <w:sz w:val="1"/>
                <w:szCs w:val="1"/>
                <w:color w:val="auto"/>
              </w:rPr>
            </w:pPr>
          </w:p>
        </w:tc>
      </w:tr>
      <w:tr>
        <w:trPr>
          <w:trHeight w:val="174"/>
        </w:trPr>
        <w:tc>
          <w:tcPr>
            <w:tcW w:w="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1,671,247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8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auto"/>
              </w:rPr>
              <w:t>Cumulative net paid loss and ALAE from the table below</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(1,038,650)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reserves for loss and ALAE before 2015</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Total net reserves for loss and ALAE</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631,065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Reserves for Losses and Loss Adjustment Expenses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Cumulative Paid Losses and ALAE, Net of Reinsurance ($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11"/>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Accident</w:t>
            </w:r>
          </w:p>
        </w:tc>
        <w:tc>
          <w:tcPr>
            <w:tcW w:w="8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color w:val="auto"/>
              </w:rPr>
              <w:t>2016*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187"/>
              <w:spacing w:after="0"/>
              <w:rPr>
                <w:sz w:val="20"/>
                <w:szCs w:val="20"/>
                <w:color w:val="auto"/>
              </w:rPr>
            </w:pPr>
            <w:r>
              <w:rPr>
                <w:rFonts w:ascii="Times New Roman" w:cs="Times New Roman" w:eastAsia="Times New Roman" w:hAnsi="Times New Roman"/>
                <w:sz w:val="14"/>
                <w:szCs w:val="14"/>
                <w:color w:val="auto"/>
                <w:w w:val="97"/>
              </w:rPr>
              <w:t>2017*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107"/>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3"/>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44,152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88,833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99,401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108,291</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107,214</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109,622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109,706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113,703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115,116</w:t>
            </w:r>
          </w:p>
        </w:tc>
        <w:tc>
          <w:tcPr>
            <w:tcW w:w="0" w:type="dxa"/>
            <w:vAlign w:val="bottom"/>
          </w:tcPr>
          <w:p>
            <w:pPr>
              <w:spacing w:after="0"/>
              <w:rPr>
                <w:sz w:val="1"/>
                <w:szCs w:val="1"/>
                <w:color w:val="auto"/>
              </w:rPr>
            </w:pPr>
          </w:p>
        </w:tc>
      </w:tr>
      <w:tr>
        <w:trPr>
          <w:trHeight w:val="22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42,528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53,352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58,895</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69,691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75,855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77,760</w:t>
            </w: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23,770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41,945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53,093</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71,109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73,770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75,714</w:t>
            </w:r>
          </w:p>
        </w:tc>
        <w:tc>
          <w:tcPr>
            <w:tcW w:w="0" w:type="dxa"/>
            <w:vAlign w:val="bottom"/>
          </w:tcPr>
          <w:p>
            <w:pPr>
              <w:spacing w:after="0"/>
              <w:rPr>
                <w:sz w:val="1"/>
                <w:szCs w:val="1"/>
                <w:color w:val="auto"/>
              </w:rPr>
            </w:pPr>
          </w:p>
        </w:tc>
      </w:tr>
      <w:tr>
        <w:trPr>
          <w:trHeight w:val="23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26,201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42,568</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65,635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70,128</w:t>
            </w: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33,019</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87,816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99,451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106,765</w:t>
            </w:r>
          </w:p>
        </w:tc>
        <w:tc>
          <w:tcPr>
            <w:tcW w:w="0" w:type="dxa"/>
            <w:vAlign w:val="bottom"/>
          </w:tcPr>
          <w:p>
            <w:pPr>
              <w:spacing w:after="0"/>
              <w:rPr>
                <w:sz w:val="1"/>
                <w:szCs w:val="1"/>
                <w:color w:val="auto"/>
              </w:rPr>
            </w:pPr>
          </w:p>
        </w:tc>
      </w:tr>
      <w:tr>
        <w:trPr>
          <w:trHeight w:val="22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29,499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60,680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82,236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121,097</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73,293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125,749</w:t>
            </w:r>
          </w:p>
        </w:tc>
        <w:tc>
          <w:tcPr>
            <w:tcW w:w="0" w:type="dxa"/>
            <w:vAlign w:val="bottom"/>
          </w:tcPr>
          <w:p>
            <w:pPr>
              <w:spacing w:after="0"/>
              <w:rPr>
                <w:sz w:val="1"/>
                <w:szCs w:val="1"/>
                <w:color w:val="auto"/>
              </w:rPr>
            </w:pPr>
          </w:p>
        </w:tc>
      </w:tr>
      <w:tr>
        <w:trPr>
          <w:trHeight w:val="229"/>
        </w:trPr>
        <w:tc>
          <w:tcPr>
            <w:tcW w:w="8500" w:type="dxa"/>
            <w:vAlign w:val="bottom"/>
            <w:gridSpan w:val="47"/>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gridSpan w:val="5"/>
          </w:tcPr>
          <w:p>
            <w:pPr>
              <w:jc w:val="right"/>
              <w:ind w:right="277"/>
              <w:spacing w:after="0"/>
              <w:rPr>
                <w:sz w:val="20"/>
                <w:szCs w:val="20"/>
                <w:color w:val="auto"/>
              </w:rPr>
            </w:pPr>
            <w:r>
              <w:rPr>
                <w:rFonts w:ascii="Times New Roman" w:cs="Times New Roman" w:eastAsia="Times New Roman" w:hAnsi="Times New Roman"/>
                <w:sz w:val="18"/>
                <w:szCs w:val="18"/>
                <w:color w:val="auto"/>
              </w:rPr>
              <w:t>50,148</w:t>
            </w:r>
          </w:p>
        </w:tc>
        <w:tc>
          <w:tcPr>
            <w:tcW w:w="1000" w:type="dxa"/>
            <w:vAlign w:val="bottom"/>
            <w:gridSpan w:val="5"/>
          </w:tcPr>
          <w:p>
            <w:pPr>
              <w:jc w:val="right"/>
              <w:ind w:right="277"/>
              <w:spacing w:after="0"/>
              <w:rPr>
                <w:sz w:val="20"/>
                <w:szCs w:val="20"/>
                <w:color w:val="auto"/>
              </w:rPr>
            </w:pPr>
            <w:r>
              <w:rPr>
                <w:rFonts w:ascii="Times New Roman" w:cs="Times New Roman" w:eastAsia="Times New Roman" w:hAnsi="Times New Roman"/>
                <w:sz w:val="18"/>
                <w:szCs w:val="18"/>
                <w:color w:val="auto"/>
              </w:rPr>
              <w:t>114,794</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165,854</w:t>
            </w:r>
          </w:p>
        </w:tc>
        <w:tc>
          <w:tcPr>
            <w:tcW w:w="0" w:type="dxa"/>
            <w:vAlign w:val="bottom"/>
          </w:tcPr>
          <w:p>
            <w:pPr>
              <w:spacing w:after="0"/>
              <w:rPr>
                <w:sz w:val="1"/>
                <w:szCs w:val="1"/>
                <w:color w:val="auto"/>
              </w:rPr>
            </w:pPr>
          </w:p>
        </w:tc>
      </w:tr>
      <w:tr>
        <w:trPr>
          <w:trHeight w:val="230"/>
        </w:trPr>
        <w:tc>
          <w:tcPr>
            <w:tcW w:w="9360" w:type="dxa"/>
            <w:vAlign w:val="bottom"/>
            <w:gridSpan w:val="5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5"/>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63,079</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122,186</w:t>
            </w:r>
          </w:p>
        </w:tc>
        <w:tc>
          <w:tcPr>
            <w:tcW w:w="0" w:type="dxa"/>
            <w:vAlign w:val="bottom"/>
          </w:tcPr>
          <w:p>
            <w:pPr>
              <w:spacing w:after="0"/>
              <w:rPr>
                <w:sz w:val="1"/>
                <w:szCs w:val="1"/>
                <w:color w:val="auto"/>
              </w:rPr>
            </w:pPr>
          </w:p>
        </w:tc>
      </w:tr>
      <w:tr>
        <w:trPr>
          <w:trHeight w:val="229"/>
        </w:trPr>
        <w:tc>
          <w:tcPr>
            <w:tcW w:w="10180" w:type="dxa"/>
            <w:vAlign w:val="bottom"/>
            <w:tcBorders>
              <w:bottom w:val="single" w:sz="8" w:color="CCEEFF"/>
            </w:tcBorders>
            <w:gridSpan w:val="56"/>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Borders>
              <w:bottom w:val="single" w:sz="8" w:color="auto"/>
            </w:tcBorders>
            <w:gridSpan w:val="2"/>
          </w:tcPr>
          <w:p>
            <w:pPr>
              <w:jc w:val="right"/>
              <w:ind w:right="984"/>
              <w:spacing w:after="0"/>
              <w:rPr>
                <w:sz w:val="20"/>
                <w:szCs w:val="20"/>
                <w:color w:val="auto"/>
              </w:rPr>
            </w:pPr>
            <w:r>
              <w:rPr>
                <w:rFonts w:ascii="Times New Roman" w:cs="Times New Roman" w:eastAsia="Times New Roman" w:hAnsi="Times New Roman"/>
                <w:sz w:val="18"/>
                <w:szCs w:val="18"/>
                <w:b w:val="1"/>
                <w:bCs w:val="1"/>
                <w:color w:val="auto"/>
              </w:rPr>
              <w:t>58,281</w:t>
            </w:r>
          </w:p>
        </w:tc>
        <w:tc>
          <w:tcPr>
            <w:tcW w:w="0" w:type="dxa"/>
            <w:vAlign w:val="bottom"/>
          </w:tcPr>
          <w:p>
            <w:pPr>
              <w:spacing w:after="0"/>
              <w:rPr>
                <w:sz w:val="1"/>
                <w:szCs w:val="1"/>
                <w:color w:val="auto"/>
              </w:rPr>
            </w:pPr>
          </w:p>
        </w:tc>
      </w:tr>
      <w:tr>
        <w:trPr>
          <w:trHeight w:val="248"/>
        </w:trPr>
        <w:tc>
          <w:tcPr>
            <w:tcW w:w="10180" w:type="dxa"/>
            <w:vAlign w:val="bottom"/>
            <w:tcBorders>
              <w:bottom w:val="single" w:sz="8" w:color="CCEEFF"/>
            </w:tcBorders>
            <w:gridSpan w:val="5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1,038,650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gridSpan w:val="11"/>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620" w:type="dxa"/>
            <w:vAlign w:val="bottom"/>
            <w:gridSpan w:val="11"/>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 xml:space="preserve">Exited </w:t>
            </w:r>
            <w:r>
              <w:rPr>
                <w:rFonts w:ascii="Times New Roman" w:cs="Times New Roman" w:eastAsia="Times New Roman" w:hAnsi="Times New Roman"/>
                <w:sz w:val="18"/>
                <w:szCs w:val="18"/>
                <w:b w:val="1"/>
                <w:bCs w:val="1"/>
                <w:color w:val="231F20"/>
              </w:rPr>
              <w:t>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 all lines in runoff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620" w:type="dxa"/>
            <w:vAlign w:val="bottom"/>
            <w:gridSpan w:val="11"/>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number of claims)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gridSpan w:val="2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24"/>
          </w:tcPr>
          <w:p>
            <w:pPr>
              <w:ind w:left="260"/>
              <w:spacing w:after="0"/>
              <w:rPr>
                <w:sz w:val="20"/>
                <w:szCs w:val="20"/>
                <w:color w:val="auto"/>
              </w:rPr>
            </w:pPr>
            <w:r>
              <w:rPr>
                <w:rFonts w:ascii="Times New Roman" w:cs="Times New Roman" w:eastAsia="Times New Roman" w:hAnsi="Times New Roman"/>
                <w:sz w:val="14"/>
                <w:szCs w:val="14"/>
                <w:b w:val="1"/>
                <w:bCs w:val="1"/>
                <w:color w:val="auto"/>
              </w:rPr>
              <w:t>Incurred Losses and ALAE, Net of Reinsurance ($ in thousands)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240" w:type="dxa"/>
            <w:vAlign w:val="bottom"/>
            <w:gridSpan w:val="58"/>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Accident</w:t>
            </w:r>
          </w:p>
        </w:tc>
        <w:tc>
          <w:tcPr>
            <w:tcW w:w="0" w:type="dxa"/>
            <w:vAlign w:val="bottom"/>
          </w:tcPr>
          <w:p>
            <w:pPr>
              <w:spacing w:after="0"/>
              <w:rPr>
                <w:sz w:val="1"/>
                <w:szCs w:val="1"/>
                <w:color w:val="auto"/>
              </w:rPr>
            </w:pPr>
          </w:p>
        </w:tc>
      </w:tr>
      <w:tr>
        <w:trPr>
          <w:trHeight w:val="18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2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3"/>
          </w:tcPr>
          <w:p>
            <w:pPr>
              <w:jc w:val="right"/>
              <w:ind w:right="59"/>
              <w:spacing w:after="0"/>
              <w:rPr>
                <w:sz w:val="20"/>
                <w:szCs w:val="20"/>
                <w:color w:val="auto"/>
              </w:rPr>
            </w:pPr>
            <w:r>
              <w:rPr>
                <w:rFonts w:ascii="Times New Roman" w:cs="Times New Roman" w:eastAsia="Times New Roman" w:hAnsi="Times New Roman"/>
                <w:sz w:val="13"/>
                <w:szCs w:val="13"/>
                <w:color w:val="auto"/>
              </w:rPr>
              <w:t>2016*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2"/>
              </w:rPr>
              <w:t>2017*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27"/>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26"/>
              <w:spacing w:after="0"/>
              <w:rPr>
                <w:sz w:val="20"/>
                <w:szCs w:val="20"/>
                <w:color w:val="auto"/>
              </w:rPr>
            </w:pPr>
            <w:r>
              <w:rPr>
                <w:rFonts w:ascii="Times New Roman" w:cs="Times New Roman" w:eastAsia="Times New Roman" w:hAnsi="Times New Roman"/>
                <w:sz w:val="13"/>
                <w:szCs w:val="13"/>
                <w:color w:val="auto"/>
                <w:w w:val="92"/>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4"/>
          </w:tcPr>
          <w:p>
            <w:pPr>
              <w:jc w:val="right"/>
              <w:ind w:right="50"/>
              <w:spacing w:after="0"/>
              <w:rPr>
                <w:sz w:val="20"/>
                <w:szCs w:val="20"/>
                <w:color w:val="auto"/>
              </w:rPr>
            </w:pPr>
            <w:r>
              <w:rPr>
                <w:rFonts w:ascii="Times New Roman" w:cs="Times New Roman" w:eastAsia="Times New Roman" w:hAnsi="Times New Roman"/>
                <w:sz w:val="13"/>
                <w:szCs w:val="13"/>
                <w:color w:val="auto"/>
              </w:rPr>
              <w:t>2022*</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IBNR</w:t>
            </w: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Reported Claims</w:t>
            </w: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61,810</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65,063</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68,008</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    70,803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center"/>
              <w:ind w:left="47"/>
              <w:spacing w:after="0"/>
              <w:rPr>
                <w:sz w:val="20"/>
                <w:szCs w:val="20"/>
                <w:color w:val="auto"/>
              </w:rPr>
            </w:pPr>
            <w:r>
              <w:rPr>
                <w:rFonts w:ascii="Times New Roman" w:cs="Times New Roman" w:eastAsia="Times New Roman" w:hAnsi="Times New Roman"/>
                <w:sz w:val="13"/>
                <w:szCs w:val="13"/>
                <w:color w:val="auto"/>
              </w:rPr>
              <w:t>75,187</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79,853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79,853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80,603</w:t>
            </w: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80,603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82,092</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1,145</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4,581</w:t>
            </w:r>
          </w:p>
        </w:tc>
        <w:tc>
          <w:tcPr>
            <w:tcW w:w="0" w:type="dxa"/>
            <w:vAlign w:val="bottom"/>
          </w:tcPr>
          <w:p>
            <w:pPr>
              <w:spacing w:after="0"/>
              <w:rPr>
                <w:sz w:val="1"/>
                <w:szCs w:val="1"/>
                <w:color w:val="auto"/>
              </w:rPr>
            </w:pPr>
          </w:p>
        </w:tc>
      </w:tr>
      <w:tr>
        <w:trPr>
          <w:trHeight w:val="171"/>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4"/>
              </w:rPr>
              <w:t>93,019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92,996</w:t>
            </w: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91,372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left="47"/>
              <w:spacing w:after="0"/>
              <w:rPr>
                <w:sz w:val="20"/>
                <w:szCs w:val="20"/>
                <w:color w:val="auto"/>
              </w:rPr>
            </w:pPr>
            <w:r>
              <w:rPr>
                <w:rFonts w:ascii="Times New Roman" w:cs="Times New Roman" w:eastAsia="Times New Roman" w:hAnsi="Times New Roman"/>
                <w:sz w:val="13"/>
                <w:szCs w:val="13"/>
                <w:color w:val="auto"/>
              </w:rPr>
              <w:t>93,577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98,301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100,651</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100,651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102,801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4,893</w:t>
            </w:r>
          </w:p>
        </w:tc>
        <w:tc>
          <w:tcPr>
            <w:tcW w:w="0" w:type="dxa"/>
            <w:vAlign w:val="bottom"/>
          </w:tcPr>
          <w:p>
            <w:pPr>
              <w:spacing w:after="0"/>
              <w:rPr>
                <w:sz w:val="1"/>
                <w:szCs w:val="1"/>
                <w:color w:val="auto"/>
              </w:rPr>
            </w:pPr>
          </w:p>
        </w:tc>
      </w:tr>
      <w:tr>
        <w:trPr>
          <w:trHeight w:val="18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75,159</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79,581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3"/>
                <w:szCs w:val="13"/>
                <w:color w:val="auto"/>
              </w:rPr>
              <w:t>81,785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68,646</w:t>
            </w: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70,885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4,339</w:t>
            </w:r>
          </w:p>
        </w:tc>
        <w:tc>
          <w:tcPr>
            <w:tcW w:w="0" w:type="dxa"/>
            <w:vAlign w:val="bottom"/>
          </w:tcPr>
          <w:p>
            <w:pPr>
              <w:spacing w:after="0"/>
              <w:rPr>
                <w:sz w:val="1"/>
                <w:szCs w:val="1"/>
                <w:color w:val="auto"/>
              </w:rPr>
            </w:pPr>
          </w:p>
        </w:tc>
      </w:tr>
      <w:tr>
        <w:trPr>
          <w:trHeight w:val="171"/>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74,357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left="47"/>
              <w:spacing w:after="0"/>
              <w:rPr>
                <w:sz w:val="20"/>
                <w:szCs w:val="20"/>
                <w:color w:val="auto"/>
              </w:rPr>
            </w:pPr>
            <w:r>
              <w:rPr>
                <w:rFonts w:ascii="Times New Roman" w:cs="Times New Roman" w:eastAsia="Times New Roman" w:hAnsi="Times New Roman"/>
                <w:sz w:val="13"/>
                <w:szCs w:val="13"/>
                <w:color w:val="auto"/>
              </w:rPr>
              <w:t>68,990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79,006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4"/>
              </w:rPr>
              <w:t>84,165</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84,165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92,082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5,586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4,910</w:t>
            </w:r>
          </w:p>
        </w:tc>
        <w:tc>
          <w:tcPr>
            <w:tcW w:w="0" w:type="dxa"/>
            <w:vAlign w:val="bottom"/>
          </w:tcPr>
          <w:p>
            <w:pPr>
              <w:spacing w:after="0"/>
              <w:rPr>
                <w:sz w:val="1"/>
                <w:szCs w:val="1"/>
                <w:color w:val="auto"/>
              </w:rPr>
            </w:pPr>
          </w:p>
        </w:tc>
      </w:tr>
      <w:tr>
        <w:trPr>
          <w:trHeight w:val="18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67"/>
              <w:spacing w:after="0"/>
              <w:rPr>
                <w:sz w:val="20"/>
                <w:szCs w:val="20"/>
                <w:color w:val="auto"/>
              </w:rPr>
            </w:pPr>
            <w:r>
              <w:rPr>
                <w:rFonts w:ascii="Times New Roman" w:cs="Times New Roman" w:eastAsia="Times New Roman" w:hAnsi="Times New Roman"/>
                <w:sz w:val="13"/>
                <w:szCs w:val="13"/>
                <w:color w:val="auto"/>
                <w:w w:val="94"/>
              </w:rPr>
              <w:t>87,115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79,414</w:t>
            </w: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79,823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5,786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5,632</w:t>
            </w:r>
          </w:p>
        </w:tc>
        <w:tc>
          <w:tcPr>
            <w:tcW w:w="0" w:type="dxa"/>
            <w:vAlign w:val="bottom"/>
          </w:tcPr>
          <w:p>
            <w:pPr>
              <w:spacing w:after="0"/>
              <w:rPr>
                <w:sz w:val="1"/>
                <w:szCs w:val="1"/>
                <w:color w:val="auto"/>
              </w:rPr>
            </w:pPr>
          </w:p>
        </w:tc>
      </w:tr>
      <w:tr>
        <w:trPr>
          <w:trHeight w:val="171"/>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136,469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137,835</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137,907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137,671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11,424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4,828</w:t>
            </w:r>
          </w:p>
        </w:tc>
        <w:tc>
          <w:tcPr>
            <w:tcW w:w="0" w:type="dxa"/>
            <w:vAlign w:val="bottom"/>
          </w:tcPr>
          <w:p>
            <w:pPr>
              <w:spacing w:after="0"/>
              <w:rPr>
                <w:sz w:val="1"/>
                <w:szCs w:val="1"/>
                <w:color w:val="auto"/>
              </w:rPr>
            </w:pPr>
          </w:p>
        </w:tc>
      </w:tr>
      <w:tr>
        <w:trPr>
          <w:trHeight w:val="18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91,188</w:t>
            </w: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92,095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10,923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2,398</w:t>
            </w:r>
          </w:p>
        </w:tc>
        <w:tc>
          <w:tcPr>
            <w:tcW w:w="0" w:type="dxa"/>
            <w:vAlign w:val="bottom"/>
          </w:tcPr>
          <w:p>
            <w:pPr>
              <w:spacing w:after="0"/>
              <w:rPr>
                <w:sz w:val="1"/>
                <w:szCs w:val="1"/>
                <w:color w:val="auto"/>
              </w:rPr>
            </w:pPr>
          </w:p>
        </w:tc>
      </w:tr>
      <w:tr>
        <w:trPr>
          <w:trHeight w:val="171"/>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4"/>
              </w:rPr>
              <w:t>12,717</w:t>
            </w: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12,240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11,800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234</w:t>
            </w:r>
          </w:p>
        </w:tc>
        <w:tc>
          <w:tcPr>
            <w:tcW w:w="0" w:type="dxa"/>
            <w:vAlign w:val="bottom"/>
          </w:tcPr>
          <w:p>
            <w:pPr>
              <w:spacing w:after="0"/>
              <w:rPr>
                <w:sz w:val="1"/>
                <w:szCs w:val="1"/>
                <w:color w:val="auto"/>
              </w:rPr>
            </w:pPr>
          </w:p>
        </w:tc>
      </w:tr>
      <w:tr>
        <w:trPr>
          <w:trHeight w:val="18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71"/>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4"/>
        </w:trPr>
        <w:tc>
          <w:tcPr>
            <w:tcW w:w="8400" w:type="dxa"/>
            <w:vAlign w:val="bottom"/>
            <w:tcBorders>
              <w:top w:val="single" w:sz="8" w:color="CCEEFF"/>
            </w:tcBorders>
            <w:gridSpan w:val="4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669,249</w:t>
            </w:r>
          </w:p>
        </w:tc>
        <w:tc>
          <w:tcPr>
            <w:tcW w:w="2120" w:type="dxa"/>
            <w:vAlign w:val="bottom"/>
            <w:tcBorders>
              <w:top w:val="single" w:sz="8" w:color="CCEEFF"/>
            </w:tcBorders>
            <w:gridSpan w:val="9"/>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60" w:type="dxa"/>
            <w:vAlign w:val="bottom"/>
            <w:gridSpan w:val="14"/>
          </w:tcPr>
          <w:p>
            <w:pPr>
              <w:ind w:left="20"/>
              <w:spacing w:after="0"/>
              <w:rPr>
                <w:sz w:val="20"/>
                <w:szCs w:val="20"/>
                <w:color w:val="auto"/>
              </w:rPr>
            </w:pPr>
            <w:r>
              <w:rPr>
                <w:rFonts w:ascii="Times New Roman" w:cs="Times New Roman" w:eastAsia="Times New Roman" w:hAnsi="Times New Roman"/>
                <w:sz w:val="13"/>
                <w:szCs w:val="13"/>
                <w:color w:val="auto"/>
                <w:w w:val="97"/>
              </w:rPr>
              <w:t>Cumulative net paid loss and ALAE from the table below</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(597,904)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reserves for loss and ALAE before 2015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15,344</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8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w w:val="99"/>
              </w:rPr>
              <w:t>Total net reserves for loss and ALAE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86,689</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0" w:type="dxa"/>
            <w:vAlign w:val="bottom"/>
            <w:gridSpan w:val="46"/>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Reserves for Losses and Loss Adjustment Expenses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Cumulative Paid Losses and ALAE, Net of Reinsurance ($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Accident</w:t>
            </w:r>
          </w:p>
        </w:tc>
        <w:tc>
          <w:tcPr>
            <w:tcW w:w="180" w:type="dxa"/>
            <w:vAlign w:val="bottom"/>
          </w:tcPr>
          <w:p>
            <w:pPr>
              <w:spacing w:after="0"/>
              <w:rPr>
                <w:sz w:val="13"/>
                <w:szCs w:val="13"/>
                <w:color w:val="auto"/>
              </w:rPr>
            </w:pPr>
          </w:p>
        </w:tc>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83,290</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97,462</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68,480</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79,860</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65,847</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120,831</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72,923</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9,211</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597,904</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reconciliation of the net incurred and paid loss development tables to the balance sheet reserves for losses and loss adjustment expenses at December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reserves for losses and ALAE: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Short-tail/Monoline Specialty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367,226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235,191</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Multi-line Solutions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631,065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485,099</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Exited Lines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112,607</w:t>
            </w:r>
          </w:p>
        </w:tc>
      </w:tr>
      <w:tr>
        <w:trPr>
          <w:trHeight w:val="22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Reserves for losses and ALAE, net of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832,897</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claims: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Short-tail/Monoline Specialty Lines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199,044</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Multi-line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252,146</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Exited Lines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2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reinsurance recoverable on unpaid claims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670,846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455,484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LAE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at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1,782,383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1,314,501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
        </w:trPr>
        <w:tc>
          <w:tcPr>
            <w:tcW w:w="8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historical average annual payout of incurred losses and allocated loss adjustment expenses (claims duration) for short-duration contracts, based on the disaggregated information in the paid loss development tables, net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Average Annual Percentage Payout of Incurred Claims by Age, Net of Reinsurance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color w:val="auto"/>
              </w:rPr>
              <w:t>Years</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r>
      <w:tr>
        <w:trPr>
          <w:trHeight w:val="223"/>
        </w:trPr>
        <w:tc>
          <w:tcPr>
            <w:tcW w:w="2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r>
      <w:tr>
        <w:trPr>
          <w:trHeight w:val="178"/>
        </w:trPr>
        <w:tc>
          <w:tcPr>
            <w:tcW w:w="20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Short-Tail/Monoline</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4"/>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Lines</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37.7 %</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Multi-line Solutions</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22.0 %</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2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Exited Lines</w:t>
            </w:r>
          </w:p>
        </w:tc>
        <w:tc>
          <w:tcPr>
            <w:tcW w:w="8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17.1 %</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15.</w:t>
      </w:r>
      <w:r>
        <w:rPr>
          <w:sz w:val="20"/>
          <w:szCs w:val="20"/>
          <w:color w:val="auto"/>
        </w:rPr>
        <w:tab/>
      </w:r>
      <w:r>
        <w:rPr>
          <w:rFonts w:ascii="Times New Roman" w:cs="Times New Roman" w:eastAsia="Times New Roman" w:hAnsi="Times New Roman"/>
          <w:sz w:val="17"/>
          <w:szCs w:val="17"/>
          <w:b w:val="1"/>
          <w:bCs w:val="1"/>
          <w:u w:val="single" w:color="auto"/>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disaggregated revenues from contracts with customers for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SUA commission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SUA fee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commission and fee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opening and closing balances of contract assets from commission and fee income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5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Contract Assets</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54"/>
        </w:trPr>
        <w:tc>
          <w:tcPr>
            <w:tcW w:w="9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bl>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16.</w:t>
      </w:r>
      <w:r>
        <w:rPr>
          <w:sz w:val="20"/>
          <w:szCs w:val="20"/>
          <w:color w:val="auto"/>
        </w:rPr>
        <w:tab/>
      </w:r>
      <w:r>
        <w:rPr>
          <w:rFonts w:ascii="Times New Roman" w:cs="Times New Roman" w:eastAsia="Times New Roman" w:hAnsi="Times New Roman"/>
          <w:sz w:val="17"/>
          <w:szCs w:val="17"/>
          <w:b w:val="1"/>
          <w:bCs w:val="1"/>
          <w:u w:val="single" w:color="auto"/>
          <w:color w:val="auto"/>
        </w:rPr>
        <w:t>Underwriting, Acquisition and Insurance Expenses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underwriting, acquisition and insurance expenses for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65,695</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161,782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116,476</w:t>
            </w:r>
          </w:p>
        </w:tc>
      </w:tr>
      <w:tr>
        <w:trPr>
          <w:trHeight w:val="248"/>
        </w:trPr>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underwriting, acquisition and insurance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311,757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17.</w:t>
        <w:tab/>
        <w:t>Reinsurance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effects of reinsurance on written and earned premiums and losses and loss adjustment expenses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tcBorders>
              <w:top w:val="single" w:sz="8" w:color="auto"/>
              <w:bottom w:val="single" w:sz="8" w:color="auto"/>
            </w:tcBorders>
          </w:tcPr>
          <w:p>
            <w:pPr>
              <w:spacing w:after="0"/>
              <w:rPr>
                <w:sz w:val="21"/>
                <w:szCs w:val="2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Written</w:t>
            </w:r>
          </w:p>
        </w:tc>
        <w:tc>
          <w:tcPr>
            <w:tcW w:w="26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Earned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w:t>
            </w:r>
          </w:p>
        </w:tc>
        <w:tc>
          <w:tcPr>
            <w:tcW w:w="26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Written</w:t>
            </w:r>
          </w:p>
        </w:tc>
        <w:tc>
          <w:tcPr>
            <w:tcW w:w="26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1,458,637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1,375,917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951,121</w:t>
            </w: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284,595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282,662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113,610</w:t>
            </w: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(619,654)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(601,857)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(448,737)</w:t>
            </w: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1,123,578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1,056,722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829,143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675,543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615,994</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534,295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311,257</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Reinsurance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reinsurance recoverables and ceded unearned premium as of December 31,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unpaid losses and LAE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670,846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455,484</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paid losses and LAE</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166,663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122,287</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portfolio transfer</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857,876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596,334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Ceded unearned premium</w:t>
            </w: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203,901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186,121</w:t>
            </w:r>
          </w:p>
        </w:tc>
      </w:tr>
      <w:tr>
        <w:trPr>
          <w:trHeight w:val="20"/>
        </w:trPr>
        <w:tc>
          <w:tcPr>
            <w:tcW w:w="7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
        </w:trPr>
        <w:tc>
          <w:tcPr>
            <w:tcW w:w="7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December 31, 2024, the market value of these accounts was approximately $196.9 million. The trust amount will be adjusted periodically, by mutual agreement, based on claim payments and loss reserve recoverables.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2020, the Company entered into an LPT retroactive reinsurance agreement (“LPT”) with R&amp;Q. At December 31, 2024 and 2023 the reinsurance recoverable from R&amp;Q was $22.7 million and $20.9 million, respectively. The LPT was commuted effective January 31, 2025 and the Company received the reinsurance recoverable balance in full.</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ceded reinsurance contracts that transfer only significant timing risk and do not transfer sufficient underwriting risk are accounted for using the deposit method of accounting. The Company’s deposit asset at December 31, 2024 and December 31, 2023 was $25.9 million and $29.9 million, respectively, and was included in other assets on the consolidated balance sheets.</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18.</w:t>
      </w:r>
      <w:r>
        <w:rPr>
          <w:sz w:val="20"/>
          <w:szCs w:val="20"/>
          <w:color w:val="auto"/>
        </w:rPr>
        <w:tab/>
      </w:r>
      <w:r>
        <w:rPr>
          <w:rFonts w:ascii="Times New Roman" w:cs="Times New Roman" w:eastAsia="Times New Roman" w:hAnsi="Times New Roman"/>
          <w:sz w:val="17"/>
          <w:szCs w:val="17"/>
          <w:b w:val="1"/>
          <w:bCs w:val="1"/>
          <w:u w:val="single" w:color="auto"/>
          <w:color w:val="auto"/>
        </w:rPr>
        <w:t>Stock Based Compensation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23, 2022, the Compensation Committee of the Company’s Board of Directors (“Compensation Committee”) approved the Company’s 2022 Long-Term Incentive Plan (the “2022 Plan”), which became effective on January 12, 2023 and replaced the Company’s prior Long Term Incentive Plan (the “2020 Plan”). The 2022 Plan provides for the granting of restricted stock, restricted stock units, performance stock units, stock options as well as cash-based performance awards, to select employees and non-employee directors of the Company. The 2022 Plan stated that 3,200,656 shares of common stock were available for issuance.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2024, the Compensation Committee approved a program to permit the Company’s Board of Directors to defer receipt of their annual restricted stock units awards to the fifth anniversary of the grant date, the tenth anniversary of the grant date, or the date of separation of service from the Company. This program will become available for the Directors who opt into the provisions for their 2025 grant.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Stock Based Compensation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equity awards, target payout ranges and authorized target restricted stock and stock units for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 Payout Range</w:t>
            </w:r>
          </w:p>
        </w:tc>
        <w:tc>
          <w:tcPr>
            <w:tcW w:w="2040" w:type="dxa"/>
            <w:vAlign w:val="bottom"/>
            <w:tcBorders>
              <w:top w:val="single" w:sz="8" w:color="auto"/>
            </w:tcBorders>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Requisite</w:t>
            </w:r>
          </w:p>
        </w:tc>
        <w:tc>
          <w:tcPr>
            <w:tcW w:w="1960" w:type="dxa"/>
            <w:vAlign w:val="bottom"/>
            <w:tcBorders>
              <w:top w:val="single" w:sz="8" w:color="auto"/>
            </w:tcBorders>
          </w:tcPr>
          <w:p>
            <w:pPr>
              <w:jc w:val="right"/>
              <w:ind w:right="650"/>
              <w:spacing w:after="0" w:line="189" w:lineRule="exact"/>
              <w:rPr>
                <w:sz w:val="20"/>
                <w:szCs w:val="20"/>
                <w:color w:val="auto"/>
              </w:rPr>
            </w:pPr>
            <w:r>
              <w:rPr>
                <w:rFonts w:ascii="Times New Roman" w:cs="Times New Roman" w:eastAsia="Times New Roman" w:hAnsi="Times New Roman"/>
                <w:sz w:val="18"/>
                <w:szCs w:val="18"/>
                <w:b w:val="1"/>
                <w:bCs w:val="1"/>
                <w:color w:val="auto"/>
              </w:rPr>
              <w:t>Target</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Service Period</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 and Stock Units</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condition awards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0%–150%</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32,058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condition awards</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0%–150%</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76,881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condition awards</w:t>
            </w:r>
          </w:p>
        </w:tc>
        <w:tc>
          <w:tcPr>
            <w:tcW w:w="20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N/A</w:t>
            </w:r>
          </w:p>
        </w:tc>
        <w:tc>
          <w:tcPr>
            <w:tcW w:w="20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1–4 years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124,025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232,964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condition awards</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0%–150%</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awards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0%–150%</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condition awards</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1–4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968,778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0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20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3–4 years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759,990</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condition awards</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0%–150%</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awards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0%–150%</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condition awards</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1–3 years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144,137</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198,842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grant date fair value of the options under the 2022 Plan was determined using the Black-Scholes model where the term was the contractual term of 10 years less the weighted average service period. The volatility was determined based on the historical volatility of comparable publicly traded insurance companies. The stock options granted to employees during the year ended December 31, 2023 were valued at approximately $4.4 million based on the grant date fair value.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sets forth option activity for the years ended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Borders>
              <w:top w:val="single" w:sz="8" w:color="auto"/>
            </w:tcBorders>
          </w:tcPr>
          <w:p>
            <w:pPr>
              <w:spacing w:after="0"/>
              <w:rPr>
                <w:sz w:val="16"/>
                <w:szCs w:val="16"/>
                <w:color w:val="auto"/>
              </w:rPr>
            </w:pPr>
          </w:p>
        </w:tc>
        <w:tc>
          <w:tcPr>
            <w:tcW w:w="4380" w:type="dxa"/>
            <w:vAlign w:val="bottom"/>
            <w:tcBorders>
              <w:top w:val="single" w:sz="8" w:color="auto"/>
            </w:tcBorders>
            <w:gridSpan w:val="2"/>
          </w:tcPr>
          <w:p>
            <w:pPr>
              <w:jc w:val="center"/>
              <w:ind w:left="25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6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tcPr>
          <w:p>
            <w:pPr>
              <w:spacing w:after="0"/>
              <w:rPr>
                <w:sz w:val="21"/>
                <w:szCs w:val="21"/>
                <w:color w:val="auto"/>
              </w:rPr>
            </w:pPr>
          </w:p>
        </w:tc>
        <w:tc>
          <w:tcPr>
            <w:tcW w:w="29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29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759,990</w:t>
            </w: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2024</w:t>
            </w:r>
          </w:p>
        </w:tc>
        <w:tc>
          <w:tcPr>
            <w:tcW w:w="2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759,990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4380" w:type="dxa"/>
            <w:vAlign w:val="bottom"/>
            <w:gridSpan w:val="2"/>
          </w:tcPr>
          <w:p>
            <w:pPr>
              <w:jc w:val="center"/>
              <w:ind w:left="2510"/>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38"/>
        </w:trPr>
        <w:tc>
          <w:tcPr>
            <w:tcW w:w="530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29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759,990</w:t>
            </w:r>
          </w:p>
        </w:tc>
        <w:tc>
          <w:tcPr>
            <w:tcW w:w="0" w:type="dxa"/>
            <w:vAlign w:val="bottom"/>
          </w:tcPr>
          <w:p>
            <w:pPr>
              <w:spacing w:after="0"/>
              <w:rPr>
                <w:sz w:val="1"/>
                <w:szCs w:val="1"/>
                <w:color w:val="auto"/>
              </w:rPr>
            </w:pPr>
          </w:p>
        </w:tc>
      </w:tr>
      <w:tr>
        <w:trPr>
          <w:trHeight w:val="221"/>
        </w:trPr>
        <w:tc>
          <w:tcPr>
            <w:tcW w:w="53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29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759,990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intrinsic value of each option is determined based on the difference between the fair value of the underlying share and the exercise price of the underlying option. The aggregate intrinsic value of options outstanding at December 31, 2024 and 2023 was $27.0 million and $14.3 million, respectively. The weighted-average remaining contractual life of the options outstanding at December 31, 2024 was 8.0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Stock Based Compensation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 and restricted stock units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restricted stock and restricted stock units under the 2022 Plan for awards granted at the time of the Company’s IPO were granted at the IPO price of $15.00 per share. The fair value of subsequent grants were equal to the closing stock price on the date the restricted stock units were granted. The expense for these equity-based incentives is based on their fair value at the date of grant and amortized over their vesting period.</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restricted stock and restricted stock units granted to employees and the Board of Directors during the years ended December 31, 2024, 2023 and 2022 were valued at approximately $8.5 million, $17.7 million and $2.6 million respectively, based on the grant date fair value.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the Company’s restricted stock and restricted stock units activity for the years ended December 31, 2024,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Grant-Date</w:t>
            </w:r>
          </w:p>
        </w:tc>
        <w:tc>
          <w:tcPr>
            <w:tcW w:w="1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Stock and Stock Units</w:t>
            </w:r>
          </w:p>
        </w:tc>
        <w:tc>
          <w:tcPr>
            <w:tcW w:w="0" w:type="dxa"/>
            <w:vAlign w:val="bottom"/>
          </w:tcPr>
          <w:p>
            <w:pPr>
              <w:spacing w:after="0"/>
              <w:rPr>
                <w:sz w:val="1"/>
                <w:szCs w:val="1"/>
                <w:color w:val="auto"/>
              </w:rPr>
            </w:pPr>
          </w:p>
        </w:tc>
      </w:tr>
      <w:tr>
        <w:trPr>
          <w:trHeight w:val="238"/>
        </w:trPr>
        <w:tc>
          <w:tcPr>
            <w:tcW w:w="7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1,445,449</w:t>
            </w:r>
          </w:p>
        </w:tc>
        <w:tc>
          <w:tcPr>
            <w:tcW w:w="0" w:type="dxa"/>
            <w:vAlign w:val="bottom"/>
          </w:tcPr>
          <w:p>
            <w:pPr>
              <w:spacing w:after="0"/>
              <w:rPr>
                <w:sz w:val="1"/>
                <w:szCs w:val="1"/>
                <w:color w:val="auto"/>
              </w:rPr>
            </w:pPr>
          </w:p>
        </w:tc>
      </w:tr>
      <w:tr>
        <w:trPr>
          <w:trHeight w:val="229"/>
        </w:trPr>
        <w:tc>
          <w:tcPr>
            <w:tcW w:w="7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31.72</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268,631</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(285,957)</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18.27</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(102,640)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1,325,483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419,896</w:t>
            </w: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1,101,856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1,445,449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375,643</w:t>
            </w: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198,842</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(144,042)</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419,896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hanging="154"/>
        <w:spacing w:after="0" w:line="226" w:lineRule="auto"/>
        <w:tabs>
          <w:tab w:leader="none" w:pos="180" w:val="left"/>
        </w:tabs>
        <w:numPr>
          <w:ilvl w:val="0"/>
          <w:numId w:val="5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Increases above the 100% target level are reflected as granted in the period after which performance-based stock unit goals are achieved.</w:t>
      </w:r>
    </w:p>
    <w:p>
      <w:pPr>
        <w:spacing w:after="0" w:line="30" w:lineRule="exact"/>
        <w:rPr>
          <w:rFonts w:ascii="Times New Roman" w:cs="Times New Roman" w:eastAsia="Times New Roman" w:hAnsi="Times New Roman"/>
          <w:sz w:val="19"/>
          <w:szCs w:val="19"/>
          <w:i w:val="1"/>
          <w:iCs w:val="1"/>
          <w:color w:val="auto"/>
          <w:vertAlign w:val="superscript"/>
        </w:rPr>
      </w:pPr>
    </w:p>
    <w:p>
      <w:pPr>
        <w:ind w:left="160" w:hanging="134"/>
        <w:spacing w:after="0" w:line="211" w:lineRule="auto"/>
        <w:tabs>
          <w:tab w:leader="none" w:pos="160" w:val="left"/>
        </w:tabs>
        <w:numPr>
          <w:ilvl w:val="0"/>
          <w:numId w:val="59"/>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Decreases below the 100% target level are reflected as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were granted 19,453, 23,482 and 15,196 shares of restricted stock and restricted stock units during the years ended December 31, 2024, 2023 and 2022, respectively, with a service period of one year. The total fair value of shares vested for employees and members of the Board of Directors at December 31, 2024, 2023 and 2022 was $3.8 million, $0.5 million and $2.2 million, respectively.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cost related to non-vested, stock-based compensation awards was $13.9 million and the weighted average period over which that cost is expected to be recognized is 1.4 years. For the years ended December 31, 2024, 2023 and 2022 the Company recognized $9.4 million, $8.5 million and $2.3 million, respectively, of stock-based compensation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Stock Based Compensation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23, 2022, the Compensation Committee approved the Company’s 2022 Employee Stock Purchase Plan (the “ESPP”), which became effective on May 15, 2023. Under the ESPP, all employees of the Company may choose, at two different specified time intervals each year, to have a percentage of their annual base earnings withheld to purchase the Company’s common stock. The purchase price of the common stock is 85% of the lower of its beginning-of-interval or end-of-interval market price. The company has reserved 376,548 common shares under this plan.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grant date fair value of options under the ESPP was determined using the Black-Scholes model where the term was the length of time between the grant date and the date the options are exercisable of 6 months. The volatility was determined based on the historical volatility of comparable publicly traded insurance companies.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a total of 95,266 shares had been purchased under this plan. The Company recognized $0.5 million and $0.2 million of expense during the years ended December 31, 2024 and 2023, respectively. As of December 31, 2024, the fair value of unrecognized expense was $0.3 million.</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19.</w:t>
      </w:r>
      <w:r>
        <w:rPr>
          <w:sz w:val="20"/>
          <w:szCs w:val="20"/>
          <w:color w:val="auto"/>
        </w:rPr>
        <w:tab/>
      </w:r>
      <w:r>
        <w:rPr>
          <w:rFonts w:ascii="Times New Roman" w:cs="Times New Roman" w:eastAsia="Times New Roman" w:hAnsi="Times New Roman"/>
          <w:sz w:val="17"/>
          <w:szCs w:val="17"/>
          <w:b w:val="1"/>
          <w:bCs w:val="1"/>
          <w:u w:val="single" w:color="auto"/>
          <w:color w:val="auto"/>
        </w:rPr>
        <w:t>Earnings Per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compilation of basic and diluted net earnings per share for the years ended December 31, 2024,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share and per share amounts)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70"/>
        </w:trPr>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Undistributed income allocated to participating securities</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0" w:type="dxa"/>
            <w:vAlign w:val="bottom"/>
          </w:tcPr>
          <w:p>
            <w:pPr>
              <w:spacing w:after="0"/>
              <w:rPr>
                <w:sz w:val="1"/>
                <w:szCs w:val="1"/>
                <w:color w:val="auto"/>
              </w:rPr>
            </w:pPr>
          </w:p>
        </w:tc>
      </w:tr>
      <w:tr>
        <w:trPr>
          <w:trHeight w:val="225"/>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stockholders (numerator for basic earnings per</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0" w:type="dxa"/>
            <w:vAlign w:val="bottom"/>
          </w:tcPr>
          <w:p>
            <w:pPr>
              <w:spacing w:after="0"/>
              <w:rPr>
                <w:sz w:val="1"/>
                <w:szCs w:val="1"/>
                <w:color w:val="auto"/>
              </w:rPr>
            </w:pPr>
          </w:p>
        </w:tc>
      </w:tr>
      <w:tr>
        <w:trPr>
          <w:trHeight w:val="270"/>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 back: Undistributed income allocated to participating securities</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0" w:type="dxa"/>
            <w:vAlign w:val="bottom"/>
          </w:tcPr>
          <w:p>
            <w:pPr>
              <w:spacing w:after="0"/>
              <w:rPr>
                <w:sz w:val="1"/>
                <w:szCs w:val="1"/>
                <w:color w:val="auto"/>
              </w:rPr>
            </w:pPr>
          </w:p>
        </w:tc>
      </w:tr>
      <w:tr>
        <w:trPr>
          <w:trHeight w:val="22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(numerator for diluted earnings per share under the two-class method)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40,056,475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36,031,907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16,568,393</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preferred shares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15,245,533</w:t>
            </w:r>
          </w:p>
        </w:tc>
        <w:tc>
          <w:tcPr>
            <w:tcW w:w="0" w:type="dxa"/>
            <w:vAlign w:val="bottom"/>
          </w:tcPr>
          <w:p>
            <w:pPr>
              <w:spacing w:after="0"/>
              <w:rPr>
                <w:sz w:val="1"/>
                <w:szCs w:val="1"/>
                <w:color w:val="auto"/>
              </w:rPr>
            </w:pPr>
          </w:p>
        </w:tc>
      </w:tr>
      <w:tr>
        <w:trPr>
          <w:trHeight w:val="270"/>
        </w:trPr>
        <w:tc>
          <w:tcPr>
            <w:tcW w:w="6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Dilutive effect of stock notes</w:t>
            </w:r>
          </w:p>
        </w:tc>
        <w:tc>
          <w:tcPr>
            <w:tcW w:w="34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519,080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stock units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917,510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320,188</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403,475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 weighted-average common share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41,377,460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38,317,534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32,653,194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2.97</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54"/>
        </w:trPr>
        <w:tc>
          <w:tcPr>
            <w:tcW w:w="6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420" w:hanging="412"/>
        <w:spacing w:after="0"/>
        <w:tabs>
          <w:tab w:leader="none" w:pos="4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anti-dilutive instruments that were excluded from the calculation of diluted weighted-average common share equivalents during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Notes</w:t>
            </w:r>
          </w:p>
        </w:tc>
        <w:tc>
          <w:tcPr>
            <w:tcW w:w="9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60,576</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20,346</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common share equivalents of contingently issuable instruments that were excluded from basic earnings per share in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4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0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920,864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r>
      <w:tr>
        <w:trPr>
          <w:trHeight w:val="23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shares, if converted</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1,059,602</w:t>
            </w:r>
          </w:p>
        </w:tc>
      </w:tr>
      <w:tr>
        <w:trPr>
          <w:trHeight w:val="221"/>
        </w:trPr>
        <w:tc>
          <w:tcPr>
            <w:tcW w:w="656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920,864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1,082,521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20.</w:t>
      </w:r>
      <w:r>
        <w:rPr>
          <w:sz w:val="20"/>
          <w:szCs w:val="20"/>
          <w:color w:val="auto"/>
        </w:rPr>
        <w:tab/>
      </w:r>
      <w:r>
        <w:rPr>
          <w:rFonts w:ascii="Times New Roman" w:cs="Times New Roman" w:eastAsia="Times New Roman" w:hAnsi="Times New Roman"/>
          <w:sz w:val="17"/>
          <w:szCs w:val="17"/>
          <w:b w:val="1"/>
          <w:bCs w:val="1"/>
          <w:u w:val="single" w:color="auto"/>
          <w:color w:val="auto"/>
        </w:rPr>
        <w:t>Employee Benefit Plan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sponsors the 401(k) Plan (the “Plan”). The Plan, available to substantially all its employees, is subject to provisions of the Employee Retirement Income Security Act of 1974. The Company matches employee contributions on a discretionary basis. During the years ended December 31, 2024, 2023 and 2022, the Company contributed $3.2 million,$2.9 million, and $2.4 million in matching contributions to the Plan, respectively.</w:t>
      </w:r>
    </w:p>
    <w:p>
      <w:pPr>
        <w:spacing w:after="0" w:line="64" w:lineRule="exact"/>
        <w:rPr>
          <w:sz w:val="20"/>
          <w:szCs w:val="20"/>
          <w:color w:val="auto"/>
        </w:rPr>
      </w:pPr>
    </w:p>
    <w:p>
      <w:pPr>
        <w:ind w:left="420" w:hanging="412"/>
        <w:spacing w:after="0"/>
        <w:tabs>
          <w:tab w:leader="none" w:pos="420" w:val="left"/>
        </w:tabs>
        <w:numPr>
          <w:ilvl w:val="0"/>
          <w:numId w:val="6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17" w:lineRule="exact"/>
        <w:rPr>
          <w:rFonts w:ascii="Times New Roman" w:cs="Times New Roman" w:eastAsia="Times New Roman" w:hAnsi="Times New Roman"/>
          <w:sz w:val="18"/>
          <w:szCs w:val="18"/>
          <w:b w:val="1"/>
          <w:bCs w:val="1"/>
          <w:u w:val="single" w:color="auto"/>
          <w:color w:val="auto"/>
        </w:rPr>
      </w:pPr>
    </w:p>
    <w:p>
      <w:pPr>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RISCOM</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RISCOM provides the Company with wholesale brokerage services. RISCOM and the Company also have a managing general agency agreement. The Company holds a 20% ownership interest in RISCOM.</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earned premium and gross commission expense related to these agreements for the years ended December 31, 2024, 2023 and 2022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91,051</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23,472</w:t>
            </w:r>
          </w:p>
        </w:tc>
      </w:tr>
      <w:tr>
        <w:trPr>
          <w:trHeight w:val="45"/>
        </w:trPr>
        <w:tc>
          <w:tcPr>
            <w:tcW w:w="6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Premiums receivable as of December 31, 2024 and 2023 were $12.6 million and $10.6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Advisory and professional services fees and expense reimbursements paid to various affiliated stockholders and directors for the years ended December 31, 2024, 2023 and 2022 were $0.6 million, $3.6 million and $3.4 million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5, 6 and 10 for investments involving affiliated companies and additional related party transactions.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11 for related party transactions related to the Company’s common and preferred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8280" w:firstLine="8"/>
        <w:spacing w:after="0" w:line="378" w:lineRule="auto"/>
        <w:tabs>
          <w:tab w:leader="none" w:pos="405" w:val="left"/>
        </w:tabs>
        <w:numPr>
          <w:ilvl w:val="0"/>
          <w:numId w:val="6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Commitments and Contingencies Litigation</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sale of business assets and subsidiaries, the Company has provided indemnifications to certain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23.</w:t>
      </w:r>
      <w:r>
        <w:rPr>
          <w:sz w:val="20"/>
          <w:szCs w:val="20"/>
          <w:color w:val="auto"/>
        </w:rPr>
        <w:tab/>
      </w:r>
      <w:r>
        <w:rPr>
          <w:rFonts w:ascii="Times New Roman" w:cs="Times New Roman" w:eastAsia="Times New Roman" w:hAnsi="Times New Roman"/>
          <w:sz w:val="17"/>
          <w:szCs w:val="17"/>
          <w:b w:val="1"/>
          <w:bCs w:val="1"/>
          <w:u w:val="single" w:color="auto"/>
          <w:color w:val="auto"/>
        </w:rPr>
        <w:t>Statutory Accounting Principles and Regulatory Matters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statutory net income was $108.2 million, $73.1 million and $50.5 million for the years ended December 31, 2024, 2023 and 2022, respectively. The Company’s statutory capital and surplus was $710.6 million and $602.9 million as of December 31, 2024 and 2023, respectively.</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December 31, 2024, the Company restacked its insurance company subsidiaries and GMIC became the lead insurance company which resulted in the following changes:</w:t>
      </w:r>
    </w:p>
    <w:p>
      <w:pPr>
        <w:spacing w:after="0" w:line="54"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HSIC became a wholly owned subsidiary of GMIC;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IIC became a wholly owned subsidiary of HSIC;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OSIC became a wholly owned subsidiary of IIC.</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Dividend payments to the Company from GMIC are restricted by Texas state law as to the amount that may be paid without the approval of regulatory authorities. The maximum amount of dividends which can be paid by GMIC without prior approval is subject to restrictions relating to policyholder surplus, net income, and dividends declared or distributed during the preceding 12 months. As of December 31, 2024, GMIC is not restricted to paying ordinary dividends. GMIC did not declare or pay any dividend during the year ended December 31, 2024 and HSIC did not declare or pay any dividends during the year ended December 31, 2023.</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casualty insurance companies are subject to certain Risk Based Capital (“RBC”) requirements as specified by the National Association of Insurance Commissioners (“NAIC”). Under those requirements, the amount of capital and surplus maintained by a property and casualty insurance company is to be determined based on the various risk factors related to it. As of December 31, 2024 GMIC’s statutory capital and surplus substantially exceeded the regulatory requirements and as of December 31 2023, HSIC’s statutory capital and surplus substantially exceeded the regulatory requirements.</w:t>
      </w:r>
    </w:p>
    <w:p>
      <w:pPr>
        <w:spacing w:after="0" w:line="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u w:val="single" w:color="auto"/>
          <w:color w:val="auto"/>
        </w:rPr>
        <w:t>24.</w:t>
      </w:r>
      <w:r>
        <w:rPr>
          <w:sz w:val="20"/>
          <w:szCs w:val="20"/>
          <w:color w:val="auto"/>
        </w:rPr>
        <w:tab/>
      </w:r>
      <w:r>
        <w:rPr>
          <w:rFonts w:ascii="Times New Roman" w:cs="Times New Roman" w:eastAsia="Times New Roman" w:hAnsi="Times New Roman"/>
          <w:sz w:val="17"/>
          <w:szCs w:val="17"/>
          <w:b w:val="1"/>
          <w:bCs w:val="1"/>
          <w:u w:val="single" w:color="auto"/>
          <w:color w:val="auto"/>
        </w:rPr>
        <w:t>Subsequent Events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31, 2025, Skyward Re commuted its existing Loss Portfolio Transfer and Adverse Development and Retrocession Agreement, dated April 1, 2020 with R&amp;Q pursuant to a Commutation Agreement and received $11.7 million in cash. At December 31, 2024, the Company (i) strengthened LPT loss reserves and increased the paid loss reinsurance recoverable by $25.3 million, (ii) increased the allowance for estimated uncollectible reinsurance by $13.6 million which was subsequently written-off during the year ended December 31, 2024, and (iii) recognized a deferred gain of $2.0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Securities Exchange Act of 1934, as amended, or the Exchange Act). Based on that evaluation, our principal executive officer and principal financial officer have concluded that as of December 31, 2024, the disclosure controls and procedures were not effective due to a material weakness in internal control over financial reporting, described below.</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identified material weakness described below, management does not believe that the material weakness had an adverse effect on our reported operating results or financial condition and management has determined that the financial statements and other information included in this report and other periodic filings present fairly in all material respects our financial condition, results of operations, and cash flows at and for the periods presented in accordance with U.S. GAAP.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w:t>
      </w:r>
    </w:p>
    <w:p>
      <w:pPr>
        <w:spacing w:after="0" w:line="72" w:lineRule="exact"/>
        <w:rPr>
          <w:sz w:val="20"/>
          <w:szCs w:val="20"/>
          <w:color w:val="auto"/>
        </w:rPr>
      </w:pPr>
    </w:p>
    <w:p>
      <w:pPr>
        <w:ind w:left="820" w:hanging="488"/>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has assessed the effectiveness of our internal control over financial reporting as of December 31, 2024, using the criteria set forth by the Committee of Sponsoring Organizations of the Treadway Commission (COSO) in Internal Control—Integrated Framework (2013). As a result of this assessment, management concluded that, as of December 31, 2024, its internal control over financial reporting was not effective because management identified a material weakness in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management concluded that a material weakness existed as of December 31, 2024 related to the ineffective implementation of information technology general controls (“ITGCs”) in the area of user access for systems that support the Company’s financial reporting processes. Further, the Company’s related process-level IT dependent manual and automated controls that rely upon the affected ITGCs, or information coming from IT systems with affected ITGCs, were also deemed ineffective.</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material weakness did not result in any material misstatements to the financial statements in this Form 10-K, and we have not identified any changes required to our previously issued financial statements.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completed substantive procedures for the year ended December 31, 2024. Based on these procedures, management believes that our consolidated financial statements included in this Form 10-K have been prepared in accordance with U.S. GAAP. Our CEO and CFO have certified that, based on their knowledge, the financial statements, and other financial information included in this Form 10-K, fairly present in all material respects our financial condition, results of operations and cash flows as of, and for, the periods presented in this Form 10-K. Ernst &amp; Young LLP has issued an unqualified opinion on our financial statements, which is included in Item 8 of this Form 10-K. In addition, Ernst &amp; Young LLP has issued a report on our internal control over financial reporting as of December 31, 2024, and its report appears in 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Material Weakness Remediation Activities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Management is implementing measures designed to remediate the control deficiencies contributing to the material weakness described above. The remediation actions for the material weakness related to the design of ITGCs in the area of user access over certain information technology include: (1) enhancing our IT compliance oversight function and expanding our team members with experience designing and implementing ITGCs; (2) developing and implementing a training program addressing ITGCs and policies, including educating control owners about the principles and requirements of each control;</w:t>
      </w:r>
    </w:p>
    <w:p>
      <w:pPr>
        <w:spacing w:after="0" w:line="3" w:lineRule="exact"/>
        <w:rPr>
          <w:sz w:val="20"/>
          <w:szCs w:val="20"/>
          <w:color w:val="auto"/>
        </w:rPr>
      </w:pPr>
    </w:p>
    <w:p>
      <w:pPr>
        <w:jc w:val="both"/>
        <w:ind w:firstLine="8"/>
        <w:spacing w:after="0" w:line="255" w:lineRule="auto"/>
        <w:tabs>
          <w:tab w:leader="none" w:pos="31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documentation underlying ITGCs to promote knowledge transfer upon IT personnel and function changes; (4) implementing an IT management review and testing plan to monitor ITGCs; and (5) enhanced quarterly reporting on the remediation measures to the Audit Committee of our board of directors.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changes relating to the material weakness identified above, there has been no change in our internal control over financial reporting identified in connection with the evaluation required by Rule 13a-15(d) and 15d-15(d) of the Exchange Act that occurred during the year ended December 31, 2024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 Not applicable.</w:t>
      </w:r>
    </w:p>
    <w:p>
      <w:pPr>
        <w:spacing w:after="0" w:line="1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10 of Form 10-K will be included in our 2025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11 of Form 10-K will be included in our 2025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12 of Form 10-K will be included in our 2025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13 of Form 10-K will be included in our 2025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independent registered public accounting firm is Ernst &amp; Young LLP, Houston, Texas. Auditor Firm ID: 42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14 of Form 10-K will be included in our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LISTING OF FINANCIAL STATEMENTS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consolidated financials statements of the Company are filed as part of this Form 10-K and are included in Item 8:</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 for the three years in the periods ended December 31, 2024, 2023 and 2022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three years in the period ended December 31, 2024, 2023 and 2022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the three years in the period ended December 31, 2024,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Schedule Number</w:t>
            </w:r>
          </w:p>
        </w:tc>
        <w:tc>
          <w:tcPr>
            <w:tcW w:w="9000" w:type="dxa"/>
            <w:vAlign w:val="bottom"/>
            <w:tcBorders>
              <w:top w:val="single" w:sz="8" w:color="auto"/>
            </w:tcBorders>
            <w:gridSpan w:val="2"/>
          </w:tcPr>
          <w:p>
            <w:pPr>
              <w:ind w:left="3800"/>
              <w:spacing w:after="0"/>
              <w:rPr>
                <w:sz w:val="20"/>
                <w:szCs w:val="20"/>
                <w:color w:val="auto"/>
              </w:rPr>
            </w:pPr>
            <w:r>
              <w:rPr>
                <w:rFonts w:ascii="Times New Roman" w:cs="Times New Roman" w:eastAsia="Times New Roman" w:hAnsi="Times New Roman"/>
                <w:sz w:val="14"/>
                <w:szCs w:val="14"/>
                <w:b w:val="1"/>
                <w:bCs w:val="1"/>
                <w:color w:val="auto"/>
              </w:rPr>
              <w:t>Schedule Description</w:t>
            </w:r>
          </w:p>
        </w:tc>
        <w:tc>
          <w:tcPr>
            <w:tcW w:w="9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4"/>
        </w:trPr>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100" w:type="dxa"/>
            <w:vAlign w:val="bottom"/>
          </w:tcPr>
          <w:p>
            <w:pPr>
              <w:spacing w:after="0"/>
              <w:rPr>
                <w:sz w:val="19"/>
                <w:szCs w:val="19"/>
                <w:color w:val="auto"/>
              </w:rPr>
            </w:pPr>
          </w:p>
        </w:tc>
        <w:tc>
          <w:tcPr>
            <w:tcW w:w="8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Summary of Investments — Other Than in Related Parties at December 31, 2024</w:t>
            </w:r>
          </w:p>
        </w:tc>
        <w:tc>
          <w:tcPr>
            <w:tcW w:w="100" w:type="dxa"/>
            <w:vAlign w:val="bottom"/>
          </w:tcPr>
          <w:p>
            <w:pPr>
              <w:spacing w:after="0"/>
              <w:rPr>
                <w:sz w:val="19"/>
                <w:szCs w:val="19"/>
                <w:color w:val="auto"/>
              </w:rPr>
            </w:pPr>
          </w:p>
        </w:tc>
        <w:tc>
          <w:tcPr>
            <w:tcW w:w="9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II.</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Information of Registrant (Parent Company) for the years ended December 31, 2024, 2023 and 2022</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4"/>
              </w:rPr>
              <w:t>IV.</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Supplementary Reinsurance Information for the years ended December 31, 2024, 2023, and 2022</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V.</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and Qualifying Accounts for the years ended December 31, 2024, 2023, and 2022</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109</w:t>
            </w:r>
          </w:p>
        </w:tc>
      </w:tr>
      <w:tr>
        <w:trPr>
          <w:trHeight w:val="180"/>
        </w:trPr>
        <w:tc>
          <w:tcPr>
            <w:tcW w:w="13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VI.</w:t>
            </w:r>
          </w:p>
        </w:tc>
        <w:tc>
          <w:tcPr>
            <w:tcW w:w="90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Supplementary Information Concerning Property — Casualty Insurance Operations for the years ended December 31,</w:t>
            </w:r>
          </w:p>
        </w:tc>
        <w:tc>
          <w:tcPr>
            <w:tcW w:w="900" w:type="dxa"/>
            <w:vAlign w:val="bottom"/>
          </w:tcPr>
          <w:p>
            <w:pPr>
              <w:spacing w:after="0"/>
              <w:rPr>
                <w:sz w:val="15"/>
                <w:szCs w:val="15"/>
                <w:color w:val="auto"/>
              </w:rPr>
            </w:pPr>
          </w:p>
        </w:tc>
      </w:tr>
      <w:tr>
        <w:trPr>
          <w:trHeight w:val="243"/>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2023, and 2022</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LISTING OF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40" w:type="dxa"/>
            <w:vAlign w:val="bottom"/>
            <w:tcBorders>
              <w:top w:val="single" w:sz="8" w:color="auto"/>
            </w:tcBorders>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tcBorders>
              <w:top w:val="single" w:sz="8" w:color="auto"/>
            </w:tcBorders>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6"/>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4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9900" w:type="dxa"/>
            <w:vAlign w:val="bottom"/>
            <w:tcBorders>
              <w:top w:val="single" w:sz="8" w:color="auto"/>
            </w:tcBorders>
          </w:tcPr>
          <w:p>
            <w:pPr>
              <w:spacing w:after="0" w:line="176" w:lineRule="exact"/>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8-K filed with the Commission on January 18,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51">
              <w:r>
                <w:rPr>
                  <w:rFonts w:ascii="Times New Roman" w:cs="Times New Roman" w:eastAsia="Times New Roman" w:hAnsi="Times New Roman"/>
                  <w:sz w:val="18"/>
                  <w:szCs w:val="18"/>
                  <w:color w:val="auto"/>
                </w:rPr>
                <w:t>Amended and Restated Bylaws (incorporated by reference to Exhibit 3.2 to the Company's Current Report on Form 8-K filed with the</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1">
              <w:r>
                <w:rPr>
                  <w:rFonts w:ascii="Times New Roman" w:cs="Times New Roman" w:eastAsia="Times New Roman" w:hAnsi="Times New Roman"/>
                  <w:sz w:val="18"/>
                  <w:szCs w:val="18"/>
                  <w:color w:val="auto"/>
                </w:rPr>
                <w:t>Commission on January 18,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52">
              <w:r>
                <w:rPr>
                  <w:rFonts w:ascii="Times New Roman" w:cs="Times New Roman" w:eastAsia="Times New Roman" w:hAnsi="Times New Roman"/>
                  <w:sz w:val="18"/>
                  <w:szCs w:val="18"/>
                  <w:color w:val="auto"/>
                </w:rPr>
                <w:t>Amended and Restated Stockholders’ Agreement, dated March 12, 2014, by and among the Company and the stockholders listed therein</w:t>
              </w:r>
            </w:hyperlink>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Pr>
          <w:p>
            <w:pPr>
              <w:spacing w:after="0" w:line="176" w:lineRule="exact"/>
              <w:rPr>
                <w:rFonts w:ascii="Times New Roman" w:cs="Times New Roman" w:eastAsia="Times New Roman" w:hAnsi="Times New Roman"/>
                <w:sz w:val="18"/>
                <w:szCs w:val="18"/>
                <w:color w:val="auto"/>
              </w:rPr>
            </w:pPr>
            <w:hyperlink r:id="rId152">
              <w:r>
                <w:rPr>
                  <w:rFonts w:ascii="Times New Roman" w:cs="Times New Roman" w:eastAsia="Times New Roman" w:hAnsi="Times New Roman"/>
                  <w:sz w:val="18"/>
                  <w:szCs w:val="18"/>
                  <w:color w:val="auto"/>
                </w:rPr>
                <w:t>(incorporated by reference to Exhibit 4.1 to the Company's Registration Statement on Form S-1, filed with the SEC on November 14,</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2">
              <w:r>
                <w:rPr>
                  <w:rFonts w:ascii="Times New Roman" w:cs="Times New Roman" w:eastAsia="Times New Roman" w:hAnsi="Times New Roman"/>
                  <w:sz w:val="18"/>
                  <w:szCs w:val="18"/>
                  <w:color w:val="auto"/>
                </w:rPr>
                <w:t>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53">
              <w:r>
                <w:rPr>
                  <w:rFonts w:ascii="Times New Roman" w:cs="Times New Roman" w:eastAsia="Times New Roman" w:hAnsi="Times New Roman"/>
                  <w:sz w:val="18"/>
                  <w:szCs w:val="18"/>
                  <w:color w:val="auto"/>
                </w:rPr>
                <w:t>Description of Capital Stock (incorporated by reference to Exhibit 4.2 to the Company’s Annual Report on Form 10-K, filed with the</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3">
              <w:r>
                <w:rPr>
                  <w:rFonts w:ascii="Times New Roman" w:cs="Times New Roman" w:eastAsia="Times New Roman" w:hAnsi="Times New Roman"/>
                  <w:sz w:val="18"/>
                  <w:szCs w:val="18"/>
                  <w:color w:val="auto"/>
                </w:rPr>
                <w:t>SEC on March 28,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Share Purchase and Award Agreement and form of agreements thereunder in use before 2016 (incorporated by reference to Exhibit 10.1</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to the Company's Registration Statement on Form S-1, 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2016 Equity Incentive Program and form of award agreements thereunder (incorporated by reference to Exhibit 10.2 to the Company's</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Registration Statement on Form S-1, 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2020 Long Term Incentive Plan and form of award agreements thereunder (incorporated by reference to Exhibit 10.3 to the Company's</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Registration Statement on Form S-1, 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Skyward Specialty Insurance Group, Inc. 2022 Long-Term Incentive Plan (incorporated by reference to Exhibit 10.4 to the Company's</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Registration Statement on Form S-1, 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Skyward Specialty Insurance Group, Inc. 2022 Employee Stock Purchase Plan (incorporated by reference to Exhibit 10.5 to the</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Company's Registration Statement on Form S-1, 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Form of Restricted Stock Units Agreement and form of notice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reference to Exhibit 99.6 to the Company's Registration Statement on Form S-8, filed with the SEC on January 12, 2023).</w:t>
              </w:r>
            </w:hyperlink>
          </w:p>
        </w:tc>
        <w:tc>
          <w:tcPr>
            <w:tcW w:w="0" w:type="dxa"/>
            <w:vAlign w:val="bottom"/>
          </w:tcPr>
          <w:p>
            <w:pPr>
              <w:spacing w:after="0"/>
              <w:rPr>
                <w:sz w:val="1"/>
                <w:szCs w:val="1"/>
                <w:color w:val="auto"/>
              </w:rPr>
            </w:pPr>
          </w:p>
        </w:tc>
      </w:tr>
      <w:tr>
        <w:trPr>
          <w:trHeight w:val="900"/>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99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40" w:type="dxa"/>
            <w:vAlign w:val="bottom"/>
            <w:tcBorders>
              <w:top w:val="single" w:sz="8" w:color="auto"/>
            </w:tcBorders>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tcBorders>
              <w:top w:val="single" w:sz="8" w:color="auto"/>
            </w:tcBorders>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9900" w:type="dxa"/>
            <w:vAlign w:val="bottom"/>
            <w:tcBorders>
              <w:top w:val="single" w:sz="8" w:color="auto"/>
            </w:tcBorders>
          </w:tcPr>
          <w:p>
            <w:pPr>
              <w:spacing w:after="0" w:line="174" w:lineRule="exact"/>
              <w:rPr>
                <w:rFonts w:ascii="Times New Roman" w:cs="Times New Roman" w:eastAsia="Times New Roman" w:hAnsi="Times New Roman"/>
                <w:sz w:val="18"/>
                <w:szCs w:val="18"/>
                <w:color w:val="auto"/>
              </w:rPr>
            </w:pPr>
            <w:hyperlink r:id="rId162">
              <w:r>
                <w:rPr>
                  <w:rFonts w:ascii="Times New Roman" w:cs="Times New Roman" w:eastAsia="Times New Roman" w:hAnsi="Times New Roman"/>
                  <w:sz w:val="18"/>
                  <w:szCs w:val="18"/>
                  <w:color w:val="auto"/>
                </w:rPr>
                <w:t>Form of Restricted Stock Agreement under the Company’s 2022 Long-Term Incentive Plan (incorporated by reference to Exhibit 99.7 to</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2">
              <w:r>
                <w:rPr>
                  <w:rFonts w:ascii="Times New Roman" w:cs="Times New Roman" w:eastAsia="Times New Roman" w:hAnsi="Times New Roman"/>
                  <w:sz w:val="18"/>
                  <w:szCs w:val="18"/>
                  <w:color w:val="auto"/>
                </w:rPr>
                <w:t>the Company's Registration Statement on Form S-8, filed with the SEC on January 12,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Form of Nonstatutory Stock Option Agreement and form of notice under the Company's 2022 Long-Term Incentive Plan (incorporated</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by reference to Exhibit 99.8 to the Company's Registration Statement on Form S-8, filed with the SEC on January 12,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Form of Incentive Stock Option Agreement and form of notice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reference to Exhibit 99.9 to the Company's Registration Statement on Form S-8, filed with the SEC on January 12,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Form of Performance-Based Restricted Stock Units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reference to Exhibit 10.10 to the Company’s Annual Report on Form 10-K, filed with the SEC on March 28,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Performance-Based Restricted Stock Units Agreement under the Company’s 2022 Long-Term Incentive Plan (incorporated by reference</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to Exhibit 10.11 to the Company’s Annual Report on Form 10-K, filed with the SEC on March 28,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Performance Unit Agreement under the Company’s 2022 Long-Term Incentive Plan (incorporated by reference to Exhibit 10.12 to the</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Company’s Annual Report on Form 10-K, filed with the SEC on March 28, 2023).</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Amended Form of Performance Share (GBVPS)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reference to Exhibit 10.13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Amended Form of Performance Share (Executives)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reference to Exhibit 10.14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0">
              <w:r>
                <w:rPr>
                  <w:rFonts w:ascii="Times New Roman" w:cs="Times New Roman" w:eastAsia="Times New Roman" w:hAnsi="Times New Roman"/>
                  <w:sz w:val="18"/>
                  <w:szCs w:val="18"/>
                  <w:color w:val="auto"/>
                </w:rPr>
                <w:t>Amended Form of Performance Share (Others)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0">
              <w:r>
                <w:rPr>
                  <w:rFonts w:ascii="Times New Roman" w:cs="Times New Roman" w:eastAsia="Times New Roman" w:hAnsi="Times New Roman"/>
                  <w:sz w:val="18"/>
                  <w:szCs w:val="18"/>
                  <w:color w:val="auto"/>
                </w:rPr>
                <w:t>reference to Exhibit 10.15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Amended Form of Performance Cash Units Agreement under the Company’s Long-Term Incentive Plan. (incorporated by reference to</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Exhibit 10.16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Amended Form of the Restricted Stock Unit (Executives) Agreement under the Company’s 2022 Long-Term Incentive Plan</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(incorporated by reference to Exhibit 10.17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3">
              <w:r>
                <w:rPr>
                  <w:rFonts w:ascii="Times New Roman" w:cs="Times New Roman" w:eastAsia="Times New Roman" w:hAnsi="Times New Roman"/>
                  <w:sz w:val="18"/>
                  <w:szCs w:val="18"/>
                  <w:color w:val="auto"/>
                </w:rPr>
                <w:t>Amended Form of Restricted Stock Unit (Others) Agreement under the Company’s 2022 Long-Term Incentive Plan (incorporated by</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3">
              <w:r>
                <w:rPr>
                  <w:rFonts w:ascii="Times New Roman" w:cs="Times New Roman" w:eastAsia="Times New Roman" w:hAnsi="Times New Roman"/>
                  <w:sz w:val="18"/>
                  <w:szCs w:val="18"/>
                  <w:color w:val="auto"/>
                </w:rPr>
                <w:t>reference to Exhibit 10.18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Amended Form of Long-Term Performance Cash Plan and Award Letter under the Company’s 2022 Long-Term Incentive Plan</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(incorporated by reference to Exhibit 10.19 to the Company’s Annual Report on Form 10-K, filed with the SEC on April 1, 2024).</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Form of Indemnification Agreement (incorporated by reference to Exhibit 10.6 to the Company's Registration Statement on Form S-1,</w:t>
              </w:r>
            </w:hyperlink>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filed with the SEC on November 14, 2022).</w:t>
              </w:r>
            </w:hyperlink>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Employment Agreement, dated May 22, 2020, by and between the Registrant and Andrew Robinson, with Amendment No. 1 dated</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January 1, 2022 (incorporated by reference to Exhibit 10.7 to the Company's Registration Statement on Form S-1, filed with the SEC on</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November 14, 2022).</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5"/>
                <w:szCs w:val="15"/>
                <w:color w:val="auto"/>
              </w:rPr>
            </w:pPr>
          </w:p>
        </w:tc>
        <w:tc>
          <w:tcPr>
            <w:tcW w:w="99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Form of Non-Employee Director Deferred Restricted Stock Unit Agreement and Form of Notice Under the Company’s 2022 Long-Term</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10.23</w:t>
            </w: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Commutation and Release Agreement by and among R&amp;Q Re (Bermuda) Ltd., Skyward Re, Houston Specialty Insurance Company,</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Imperium Insurance Company, and Great Midwest Insurance Company, dated January 31, 2025 (incorporated by reference to Exhibit</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10.1 to the Company's Current Report on Form 8-K filed with the Commission on February 5, 2025).</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Investment Management Agreement by and among Arena Investors, LP, Houston Specialty Insurance Company, Imperium Insurance</w:t>
              </w:r>
            </w:hyperlink>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204"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Company, and Great Midwest Insurance Company, dated November 6, 2015, with a Supplemental Acknowledgement dated January 13,</w:t>
              </w:r>
            </w:hyperlink>
          </w:p>
        </w:tc>
        <w:tc>
          <w:tcPr>
            <w:tcW w:w="0" w:type="dxa"/>
            <w:vAlign w:val="bottom"/>
          </w:tcPr>
          <w:p>
            <w:pPr>
              <w:spacing w:after="0"/>
              <w:rPr>
                <w:sz w:val="1"/>
                <w:szCs w:val="1"/>
                <w:color w:val="auto"/>
              </w:rPr>
            </w:pPr>
          </w:p>
        </w:tc>
      </w:tr>
    </w:tbl>
    <w:p>
      <w:pPr>
        <w:ind w:left="1340" w:right="120"/>
        <w:spacing w:after="0" w:line="218" w:lineRule="auto"/>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2016, a Supplemental Acknowledgement dated May 17, 2021, Supplemental Acknowledgement B dated May 17, 2021, an Amendment</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color w:val="auto"/>
          </w:rPr>
          <w:t>Agreement effective March 15, 2022, and a Supplemental Acknowledgement dated March 23, 2022 (incorporated by reference to</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color w:val="auto"/>
          </w:rPr>
          <w:t>Exhibit 10.15 to the Company's Registration Statement on Form S-1, filed with the SEC on November 14, 2022).</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40" w:type="dxa"/>
            <w:vAlign w:val="bottom"/>
            <w:tcBorders>
              <w:top w:val="single" w:sz="8" w:color="auto"/>
            </w:tcBorders>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tcBorders>
              <w:top w:val="single" w:sz="8" w:color="auto"/>
            </w:tcBorders>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10.25</w:t>
            </w:r>
          </w:p>
        </w:tc>
        <w:tc>
          <w:tcPr>
            <w:tcW w:w="100" w:type="dxa"/>
            <w:vAlign w:val="bottom"/>
          </w:tcPr>
          <w:p>
            <w:pPr>
              <w:spacing w:after="0"/>
              <w:rPr>
                <w:sz w:val="15"/>
                <w:szCs w:val="15"/>
                <w:color w:val="auto"/>
              </w:rPr>
            </w:pPr>
          </w:p>
        </w:tc>
        <w:tc>
          <w:tcPr>
            <w:tcW w:w="9900" w:type="dxa"/>
            <w:vAlign w:val="bottom"/>
            <w:tcBorders>
              <w:top w:val="single" w:sz="8" w:color="auto"/>
            </w:tcBorders>
          </w:tcPr>
          <w:p>
            <w:pPr>
              <w:spacing w:after="0" w:line="174"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Second Amendment Agreement effective as of December 8, 2023, to that certain Investment Management Agreement dated November</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6, 2015, by and among Arena Investors, LP, Houston Specialty Insurance Company, Imperium Insurance Company, and Great Midwest</w:t>
              </w:r>
            </w:hyperlink>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Insurance Company (incorporated by reference to Exhibit 10.26 to the Company’s Annual Report on Form 10-K, filed with the SEC on</w:t>
              </w:r>
            </w:hyperlink>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April 1, 2024).</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Credit Agreement, dated March 29, 2023, by and among Skyward Specialty Insurance Group, Inc., the lenders from time to time party</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thereto and Truist Bank, as administrative agent (incorporated by reference to Exhibit 10.1 to the Company's Current Report on Form 8-</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K filed with the Commission on April 3, 2023).</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10.27</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First Amendment dated as of February 26, 2024, to that certain Credit Agreement, dated March 29, 2023, by and among Skyward</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Specialty Inc., the lenders from time to time party thereto and Truist Bank, as administrative agent (incorporated by reference to Exhibit</w:t>
              </w:r>
            </w:hyperlink>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10.28 to the Company’s Annual Report on Form 10-K, filed with the SEC on April 1, 2024).</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10.28</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Guaranty Agreement, dated March 29, 2023, by and among Skyward Service Company, Skyward Underwriters Agency, Inc., the loan</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parties identified on the signature pages thereto and Truist Bank. (incorporated by reference to Exhibit 10.2 to the Company's Current</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Report on Form 8-K filed with the Commission on April 3, 2023).</w:t>
              </w:r>
            </w:hyperlink>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10.29</w:t>
            </w:r>
          </w:p>
        </w:tc>
        <w:tc>
          <w:tcPr>
            <w:tcW w:w="100" w:type="dxa"/>
            <w:vAlign w:val="bottom"/>
          </w:tcPr>
          <w:p>
            <w:pPr>
              <w:spacing w:after="0"/>
              <w:rPr>
                <w:sz w:val="15"/>
                <w:szCs w:val="15"/>
                <w:color w:val="auto"/>
              </w:rPr>
            </w:pPr>
          </w:p>
        </w:tc>
        <w:tc>
          <w:tcPr>
            <w:tcW w:w="9900" w:type="dxa"/>
            <w:vAlign w:val="bottom"/>
          </w:tcPr>
          <w:p>
            <w:pPr>
              <w:spacing w:after="0" w:line="181" w:lineRule="exact"/>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Advances and Security Agreement, dated August 1, 2024, by and between Houston Specialty Insurance Company, a wholly owned</w:t>
              </w:r>
            </w:hyperlink>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84" w:lineRule="exact"/>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insurance company subsidiary of the Company and the Federal Home Loan Bank of Dallas (incorporated by reference to Exhibit 10.1 to</w:t>
              </w:r>
            </w:hyperlink>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the Company’s Current Report on Form 8-K filed with the Commission on September 6, 2024).</w:t>
              </w:r>
            </w:hyperlink>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Form of Severance Agreement between the Company and executive officers (other than the CEO)</w:t>
            </w: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2 to Employment Agreement between the Registrant and Andrew Robinson dated March 1, 2025.</w:t>
            </w: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Skyward Specialty Insurance Securities Trading Policy</w:t>
            </w: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 of the Company</w:t>
            </w: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5"/>
                <w:szCs w:val="15"/>
                <w:color w:val="auto"/>
              </w:rPr>
            </w:pPr>
          </w:p>
        </w:tc>
        <w:tc>
          <w:tcPr>
            <w:tcW w:w="99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6"/>
                <w:szCs w:val="16"/>
                <w:color w:val="auto"/>
              </w:rPr>
            </w:pPr>
          </w:p>
        </w:tc>
        <w:tc>
          <w:tcPr>
            <w:tcW w:w="99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Certification of Principal Financial and Accounting Officer pursuant to Rule 13a 14(a) or Rule 15d 14(a) of the Securities Exchange Act</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of 1934, as adopted pursuant to Section 302 of the Sarbanes-Oxley Act of 2002.</w:t>
            </w:r>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6"/>
                <w:szCs w:val="16"/>
                <w:color w:val="auto"/>
              </w:rPr>
            </w:pPr>
          </w:p>
        </w:tc>
        <w:tc>
          <w:tcPr>
            <w:tcW w:w="99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340" w:right="160" w:hanging="808"/>
        <w:spacing w:after="0" w:line="237" w:lineRule="auto"/>
        <w:tabs>
          <w:tab w:leader="none" w:pos="1340" w:val="left"/>
        </w:tabs>
        <w:numPr>
          <w:ilvl w:val="0"/>
          <w:numId w:val="66"/>
        </w:numPr>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Policy for Recovery of Erroneously Awarded Incentive Compensation (“Clawback Policy”) (incorporated by reference to Exhibit 97 to</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color w:val="auto"/>
          </w:rPr>
          <w:t>the Company’s Annual Report on Form 10-K, filed with the SEC on April 1, 2024).</w:t>
        </w:r>
      </w:hyperlink>
    </w:p>
    <w:tbl>
      <w:tblPr>
        <w:tblLayout w:type="fixed"/>
        <w:tblInd w:w="280" w:type="dxa"/>
        <w:tblCellMar>
          <w:top w:w="0" w:type="dxa"/>
          <w:left w:w="0" w:type="dxa"/>
          <w:bottom w:w="0" w:type="dxa"/>
          <w:right w:w="0" w:type="dxa"/>
        </w:tblCellMar>
      </w:tblPr>
      <w:tr>
        <w:trPr>
          <w:trHeight w:val="190"/>
        </w:trPr>
        <w:tc>
          <w:tcPr>
            <w:tcW w:w="880" w:type="dxa"/>
            <w:vAlign w:val="bottom"/>
          </w:tcPr>
          <w:p>
            <w:pPr>
              <w:jc w:val="center"/>
              <w:ind w:right="110"/>
              <w:spacing w:after="0" w:line="190" w:lineRule="exact"/>
              <w:rPr>
                <w:sz w:val="20"/>
                <w:szCs w:val="20"/>
                <w:color w:val="auto"/>
              </w:rPr>
            </w:pPr>
            <w:r>
              <w:rPr>
                <w:rFonts w:ascii="Times New Roman" w:cs="Times New Roman" w:eastAsia="Times New Roman" w:hAnsi="Times New Roman"/>
                <w:sz w:val="18"/>
                <w:szCs w:val="18"/>
                <w:color w:val="auto"/>
                <w:w w:val="99"/>
              </w:rPr>
              <w:t>101.INS</w:t>
            </w:r>
          </w:p>
        </w:tc>
        <w:tc>
          <w:tcPr>
            <w:tcW w:w="10040" w:type="dxa"/>
            <w:vAlign w:val="bottom"/>
          </w:tcPr>
          <w:p>
            <w:pPr>
              <w:ind w:left="180"/>
              <w:spacing w:after="0" w:line="190" w:lineRule="exact"/>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88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8"/>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40" w:hanging="853"/>
        <w:spacing w:after="0"/>
        <w:tabs>
          <w:tab w:leader="none" w:pos="13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(embedded within the Inline XBRL document)</w:t>
      </w:r>
    </w:p>
    <w:p>
      <w:pPr>
        <w:spacing w:after="0" w:line="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SUMMARY OF INVESTMENTS — OTHER THAN IN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Fair Value (if</w:t>
            </w:r>
          </w:p>
        </w:tc>
        <w:tc>
          <w:tcPr>
            <w:tcW w:w="18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 on</w:t>
            </w:r>
          </w:p>
        </w:tc>
      </w:t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applicable)</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Balance Sheet</w:t>
            </w:r>
          </w:p>
        </w:tc>
      </w:tr>
      <w:tr>
        <w:trPr>
          <w:trHeight w:val="23"/>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26,486</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425,628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425,628</w:t>
            </w: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84,716</w:t>
            </w: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393,833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393,833</w:t>
            </w: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69,364</w:t>
            </w:r>
          </w:p>
        </w:tc>
      </w:tr>
      <w:tr>
        <w:trPr>
          <w:trHeight w:val="230"/>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291,578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292,191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292,191</w:t>
            </w:r>
          </w:p>
        </w:tc>
      </w:tr>
      <w:tr>
        <w:trPr>
          <w:trHeight w:val="223"/>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1,320,266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1,292,218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1,292,218</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 to maturity:</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39,153</w:t>
            </w:r>
          </w:p>
        </w:tc>
      </w:tr>
      <w:tr>
        <w:trPr>
          <w:trHeight w:val="223"/>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fixed maturity securities, held to maturity</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39,153</w:t>
            </w: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64,251</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r>
      <w:tr>
        <w:trPr>
          <w:trHeight w:val="229"/>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40,839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40,839</w:t>
            </w:r>
          </w:p>
        </w:tc>
      </w:tr>
      <w:tr>
        <w:trPr>
          <w:trHeight w:val="223"/>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w:t>
            </w:r>
          </w:p>
        </w:tc>
        <w:tc>
          <w:tcPr>
            <w:tcW w:w="2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106,254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106,254</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33,182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33,182</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274,926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274,929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274,929</w:t>
            </w:r>
          </w:p>
        </w:tc>
      </w:tr>
      <w:tr>
        <w:trPr>
          <w:trHeight w:val="248"/>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1,777,615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1,771,790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1,772,226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79"/>
        </w:trPr>
        <w:tc>
          <w:tcPr>
            <w:tcW w:w="4580" w:type="dxa"/>
            <w:vAlign w:val="bottom"/>
          </w:tcPr>
          <w:p>
            <w:pPr>
              <w:spacing w:after="0"/>
              <w:rPr>
                <w:sz w:val="24"/>
                <w:szCs w:val="24"/>
                <w:color w:val="auto"/>
              </w:rPr>
            </w:pPr>
          </w:p>
        </w:tc>
        <w:tc>
          <w:tcPr>
            <w:tcW w:w="20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4580" w:type="dxa"/>
            <w:vAlign w:val="bottom"/>
            <w:tcBorders>
              <w:bottom w:val="single" w:sz="8" w:color="9A9A9A"/>
            </w:tcBorders>
          </w:tcPr>
          <w:p>
            <w:pPr>
              <w:spacing w:after="0"/>
              <w:rPr>
                <w:sz w:val="19"/>
                <w:szCs w:val="19"/>
                <w:color w:val="auto"/>
              </w:rPr>
            </w:pPr>
          </w:p>
        </w:tc>
        <w:tc>
          <w:tcPr>
            <w:tcW w:w="206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40" w:right="2620"/>
        <w:spacing w:after="0" w:line="393" w:lineRule="auto"/>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 SCHEDULE II — FINANCIAL INFORMATION OF REGISTRANT BALANCE SHEETS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853,670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743,025</w:t>
            </w:r>
          </w:p>
        </w:tc>
      </w:tr>
      <w:tr>
        <w:trPr>
          <w:trHeight w:val="230"/>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10,593</w:t>
            </w:r>
          </w:p>
        </w:tc>
      </w:tr>
      <w:tr>
        <w:trPr>
          <w:trHeight w:val="223"/>
        </w:trPr>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867,670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753,618</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r>
      <w:tr>
        <w:trPr>
          <w:trHeight w:val="223"/>
        </w:trPr>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916,645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791,090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29"/>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78,690</w:t>
            </w:r>
          </w:p>
        </w:tc>
      </w:tr>
      <w:tr>
        <w:trPr>
          <w:trHeight w:val="223"/>
        </w:trPr>
        <w:tc>
          <w:tcPr>
            <w:tcW w:w="8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122,646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130,059</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793,999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661,031</w:t>
            </w:r>
          </w:p>
        </w:tc>
      </w:tr>
      <w:tr>
        <w:trPr>
          <w:trHeight w:val="248"/>
        </w:trPr>
        <w:tc>
          <w:tcPr>
            <w:tcW w:w="8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916,645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791,090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40" w:right="2620"/>
        <w:spacing w:after="0" w:line="393" w:lineRule="auto"/>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 SCHEDULE II — STATEMENTS OF OPERATIONS (PARENT COMPANY)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top w:val="single" w:sz="8" w:color="auto"/>
              <w:bottom w:val="single" w:sz="8" w:color="auto"/>
            </w:tcBorders>
          </w:tcPr>
          <w:p>
            <w:pPr>
              <w:spacing w:after="0"/>
              <w:rPr>
                <w:sz w:val="21"/>
                <w:szCs w:val="2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before equity in earnings of subsidiaries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2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177,571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42,114</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39,396</w:t>
            </w:r>
          </w:p>
        </w:tc>
      </w:tr>
      <w:tr>
        <w:trPr>
          <w:trHeight w:val="46"/>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660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SCHEDULE II — STATEMENTS OF CASH FLOWS (PARENT COMPANY)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118,828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(121,563)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(42,672)</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contributions to subsidiaries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from investment in subsidiaries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short-term investments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stock notes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long term borrowings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long term borrowings and trust preferred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equity offerings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130,947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38"/>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federal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
        </w:trPr>
        <w:tc>
          <w:tcPr>
            <w:tcW w:w="6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 — FINANCIAL INFORMATION OF REGISTRANT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30, 2024, Skyward Specialty entered into an Intercompany Loan Promissory Note (“the Promissory Note”) with Houston Specialty Insurance Company (“HSIC”). Under the terms of the Promissory Note, Skyward Specialty borrowed $57.0 million from HSIC. Under the terms of the Promissory Note, interest is payable monthly at a fixed annual interest rate of 4.00%, with the principal due at the maturity date. There are no prepayment penalties and no collateral was given as security for the payment of the Promissory Note.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Skyward Specialty provided funds for a new subsidiary, Skyward Specialty No. 1 Limited Company, a UK company authorized as a Lloyd’s corporate member to invest in Lloyd’s syndicates.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Disclosed, But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Included in notes payable is the Promissory Note described above between Skyward Specialty and HSIC. Skyward Specialty determined its fair value using the income approach utilizing inputs that are observable. The Promissory Note has been placed in Level 2 of the fair value hierarchy. As of December 31, 2024, the carrying value and fair value of the Promissory Note were $57.0 million and $56.3 million,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IV — REINSURANCE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r>
      <w:tr>
        <w:trPr>
          <w:trHeight w:val="223"/>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tcBorders>
              <w:bottom w:val="single" w:sz="8" w:color="auto"/>
            </w:tcBorders>
          </w:tcPr>
          <w:p>
            <w:pPr>
              <w:spacing w:after="0"/>
              <w:rPr>
                <w:sz w:val="19"/>
                <w:szCs w:val="19"/>
                <w:color w:val="auto"/>
              </w:rPr>
            </w:pPr>
          </w:p>
        </w:tc>
      </w:tr>
      <w:tr>
        <w:trPr>
          <w:trHeight w:val="214"/>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Accident &amp;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Property &amp;</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Accident &amp;</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Property &amp;</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Accident &amp;</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Property &amp;</w:t>
            </w:r>
          </w:p>
        </w:tc>
      </w:tr>
      <w:tr>
        <w:trPr>
          <w:trHeight w:val="242"/>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Health</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Casualty</w:t>
            </w:r>
          </w:p>
        </w:tc>
        <w:tc>
          <w:tcPr>
            <w:tcW w:w="1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Health</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Casualty</w:t>
            </w:r>
          </w:p>
        </w:tc>
        <w:tc>
          <w:tcPr>
            <w:tcW w:w="1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Health</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Casualty</w:t>
            </w:r>
          </w:p>
        </w:tc>
      </w:tr>
      <w:tr>
        <w:trPr>
          <w:trHeight w:val="23"/>
        </w:trPr>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173,073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1,285,564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1,089,478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881,862</w:t>
            </w: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to other companies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(86,503)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(533,151)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(470,047)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(398,118)</w:t>
            </w: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from other companies</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284,595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218,649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131,282</w:t>
            </w:r>
          </w:p>
        </w:tc>
      </w:tr>
      <w:tr>
        <w:trPr>
          <w:trHeight w:val="223"/>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amount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86,570</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1,037,008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72,611</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838,080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60,517</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615,026</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3"/>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amount assumed to net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w w:val="98"/>
              </w:rPr>
              <w:t>—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0"/>
        </w:trPr>
        <w:tc>
          <w:tcPr>
            <w:tcW w:w="2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V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Valuation</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Allowance for</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Allowance for</w:t>
            </w:r>
          </w:p>
        </w:tc>
      </w:t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Allowance</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Uncollectible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Uncollectible</w:t>
            </w:r>
          </w:p>
        </w:tc>
      </w:t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For Deferred</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Reinsurance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Premiums</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Tax Assets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Recoverable</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Receivable</w:t>
            </w:r>
          </w:p>
        </w:tc>
      </w:tr>
      <w:tr>
        <w:trPr>
          <w:trHeight w:val="23"/>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effect of adoption of ASU 2016-13 at January 1, 2023</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3,235</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written off</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line="378" w:lineRule="auto"/>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 SCHEDULE VI — SUPPLEMENTAL INFORMATION CONCERNING PROPERTY-CASUALTY INSURANCE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As of and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68,938</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1,782,383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1,141,757</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442,509</w:t>
            </w:r>
          </w:p>
        </w:tc>
      </w:tr>
      <w:tr>
        <w:trPr>
          <w:trHeight w:val="230"/>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earned premium</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1,056,722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615,994</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r>
      <w:tr>
        <w:trPr>
          <w:trHeight w:val="229"/>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Losses and loss adjustment expenses (current year)</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393,939</w:t>
            </w: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Losses and loss adjustment expenses (prior years)</w:t>
            </w:r>
            <w:r>
              <w:rPr>
                <w:rFonts w:ascii="Times New Roman" w:cs="Times New Roman" w:eastAsia="Times New Roman" w:hAnsi="Times New Roman"/>
                <w:sz w:val="23"/>
                <w:szCs w:val="23"/>
                <w:color w:val="auto"/>
                <w:vertAlign w:val="superscript"/>
              </w:rPr>
              <w:t>(1)(2)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r>
      <w:tr>
        <w:trPr>
          <w:trHeight w:val="229"/>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Amortization of policy acquisition costs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65,695</w:t>
            </w: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Paid claims and claim adjustment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300,764</w:t>
            </w:r>
          </w:p>
        </w:tc>
      </w:tr>
      <w:tr>
        <w:trPr>
          <w:trHeight w:val="229"/>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premiums written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1,123,578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675,543</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157,645</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29,849</w:t>
            </w:r>
          </w:p>
        </w:tc>
      </w:tr>
    </w:tbl>
    <w:p>
      <w:pPr>
        <w:ind w:left="160" w:hanging="134"/>
        <w:spacing w:after="0"/>
        <w:tabs>
          <w:tab w:leader="none" w:pos="160" w:val="left"/>
        </w:tabs>
        <w:numPr>
          <w:ilvl w:val="0"/>
          <w:numId w:val="6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Amount is presented net of reinsurance</w:t>
      </w:r>
    </w:p>
    <w:p>
      <w:pPr>
        <w:spacing w:after="0" w:line="23" w:lineRule="exact"/>
        <w:rPr>
          <w:rFonts w:ascii="Times New Roman" w:cs="Times New Roman" w:eastAsia="Times New Roman" w:hAnsi="Times New Roman"/>
          <w:sz w:val="9"/>
          <w:szCs w:val="9"/>
          <w:i w:val="1"/>
          <w:iCs w:val="1"/>
          <w:color w:val="auto"/>
        </w:rPr>
      </w:pPr>
    </w:p>
    <w:p>
      <w:pPr>
        <w:ind w:left="180" w:hanging="154"/>
        <w:spacing w:after="0"/>
        <w:tabs>
          <w:tab w:leader="none" w:pos="180" w:val="left"/>
        </w:tabs>
        <w:numPr>
          <w:ilvl w:val="0"/>
          <w:numId w:val="6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Amount does not include gain on retroactive reinsurance which is included in losses and loss adjustment expenses presented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Skyward Specialty Insurance Group, Inc.</w:t>
      </w:r>
    </w:p>
    <w:p>
      <w:pPr>
        <w:spacing w:after="0" w:line="320"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Dated: March 3, 2025</w:t>
      </w:r>
      <w:r>
        <w:rPr>
          <w:sz w:val="20"/>
          <w:szCs w:val="20"/>
          <w:color w:val="auto"/>
        </w:rPr>
        <w:tab/>
      </w:r>
      <w:r>
        <w:rPr>
          <w:rFonts w:ascii="Times New Roman" w:cs="Times New Roman" w:eastAsia="Times New Roman" w:hAnsi="Times New Roman"/>
          <w:sz w:val="18"/>
          <w:szCs w:val="18"/>
          <w:color w:val="auto"/>
        </w:rPr>
        <w:t>/s/ Andrew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40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Andrew Robinson</w:t>
      </w:r>
    </w:p>
    <w:p>
      <w:pPr>
        <w:spacing w:after="0" w:line="2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2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Borders>
              <w:top w:val="single" w:sz="8" w:color="auto"/>
            </w:tcBorders>
          </w:tcPr>
          <w:p>
            <w:pPr>
              <w:spacing w:after="0"/>
              <w:rPr>
                <w:sz w:val="15"/>
                <w:szCs w:val="15"/>
                <w:color w:val="auto"/>
              </w:rPr>
            </w:pPr>
          </w:p>
        </w:tc>
        <w:tc>
          <w:tcPr>
            <w:tcW w:w="4280" w:type="dxa"/>
            <w:vAlign w:val="bottom"/>
            <w:tcBorders>
              <w:top w:val="single" w:sz="8" w:color="auto"/>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Borders>
              <w:top w:val="single" w:sz="8" w:color="auto"/>
            </w:tcBorders>
          </w:tcPr>
          <w:p>
            <w:pPr>
              <w:spacing w:after="0"/>
              <w:rPr>
                <w:sz w:val="15"/>
                <w:szCs w:val="15"/>
                <w:color w:val="auto"/>
              </w:rPr>
            </w:pPr>
          </w:p>
        </w:tc>
        <w:tc>
          <w:tcPr>
            <w:tcW w:w="3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8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Andrew Robinson</w:t>
            </w:r>
          </w:p>
        </w:tc>
        <w:tc>
          <w:tcPr>
            <w:tcW w:w="10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Robinson</w:t>
            </w:r>
          </w:p>
        </w:tc>
        <w:tc>
          <w:tcPr>
            <w:tcW w:w="100" w:type="dxa"/>
            <w:vAlign w:val="bottom"/>
            <w:vMerge w:val="continue"/>
          </w:tcPr>
          <w:p>
            <w:pPr>
              <w:spacing w:after="0"/>
              <w:rPr>
                <w:sz w:val="19"/>
                <w:szCs w:val="19"/>
                <w:color w:val="auto"/>
              </w:rPr>
            </w:pPr>
          </w:p>
        </w:tc>
        <w:tc>
          <w:tcPr>
            <w:tcW w:w="4380" w:type="dxa"/>
            <w:vAlign w:val="bottom"/>
            <w:gridSpan w:val="2"/>
            <w:vMerge w:val="continue"/>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Mark Haushill</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Haushill</w:t>
            </w:r>
          </w:p>
        </w:tc>
        <w:tc>
          <w:tcPr>
            <w:tcW w:w="100" w:type="dxa"/>
            <w:vAlign w:val="bottom"/>
            <w:vMerge w:val="continue"/>
          </w:tcPr>
          <w:p>
            <w:pPr>
              <w:spacing w:after="0"/>
              <w:rPr>
                <w:sz w:val="19"/>
                <w:szCs w:val="19"/>
                <w:color w:val="auto"/>
              </w:rPr>
            </w:pPr>
          </w:p>
        </w:tc>
        <w:tc>
          <w:tcPr>
            <w:tcW w:w="4380" w:type="dxa"/>
            <w:vAlign w:val="bottom"/>
            <w:gridSpan w:val="2"/>
            <w:vMerge w:val="continue"/>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Gena Ashe</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Gena Ashe</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Robert Creager</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Creager</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Marcia Dall</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Marcia Dall</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James Hays</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Hays</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Anthony J. Kuczinski</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Anthony J. Kuczinski</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Morrissey</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Morrissey</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Katharine Terry</w:t>
            </w:r>
          </w:p>
        </w:tc>
        <w:tc>
          <w:tcPr>
            <w:tcW w:w="10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Katharine Terry</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3"/>
        </w:trPr>
        <w:tc>
          <w:tcPr>
            <w:tcW w:w="3380" w:type="dxa"/>
            <w:vAlign w:val="bottom"/>
          </w:tcPr>
          <w:p>
            <w:pPr>
              <w:spacing w:after="0"/>
              <w:rPr>
                <w:sz w:val="24"/>
                <w:szCs w:val="24"/>
                <w:color w:val="auto"/>
              </w:rPr>
            </w:pPr>
          </w:p>
        </w:tc>
        <w:tc>
          <w:tcPr>
            <w:tcW w:w="43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SKYWARD SPECIALTY INSURANCE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DEFERRED RESTRICTED STOCK UNITS NOTICE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SKYWARD SPECIALTY INSURANCE GROUP,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LONG-TERM INCENTIVE PLAN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Grantee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-11430</wp:posOffset>
            </wp:positionV>
            <wp:extent cx="8229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Notice evidences the award of deferred restricted stock units (each, an “</w:t>
      </w:r>
      <w:r>
        <w:rPr>
          <w:rFonts w:ascii="Times New Roman" w:cs="Times New Roman" w:eastAsia="Times New Roman" w:hAnsi="Times New Roman"/>
          <w:sz w:val="22"/>
          <w:szCs w:val="22"/>
          <w:b w:val="1"/>
          <w:bCs w:val="1"/>
          <w:i w:val="1"/>
          <w:iCs w:val="1"/>
          <w:color w:val="auto"/>
        </w:rPr>
        <w:t>DSU</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DSUs</w:t>
      </w:r>
      <w:r>
        <w:rPr>
          <w:rFonts w:ascii="Times New Roman" w:cs="Times New Roman" w:eastAsia="Times New Roman" w:hAnsi="Times New Roman"/>
          <w:sz w:val="22"/>
          <w:szCs w:val="22"/>
          <w:color w:val="auto"/>
        </w:rPr>
        <w:t>”) of Skyward Specialty Insurance Group,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that have been granted to you pursuant to the Skyward Specialty Insurance Group, Inc. 2022 Long-Term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conditioned upon your agreement to the terms of the attached Deferred Restricted Stock Units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This Notice constitutes part of and is subject to the terms and provisions of the Agreement and the Plan, which are incorporated by reference herein. Each DSU is equivalent in value to one share of the Company’s Common Stock and represents the Company’s commitment to issue one share of the Company’s Common Stock at a future settlement date, subject to the terms of the Agreement and the Plan. The DSUs are credited to a separate account maintained for you on the books and records of the Company (the “</w:t>
      </w:r>
      <w:r>
        <w:rPr>
          <w:rFonts w:ascii="Times New Roman" w:cs="Times New Roman" w:eastAsia="Times New Roman" w:hAnsi="Times New Roman"/>
          <w:sz w:val="22"/>
          <w:szCs w:val="22"/>
          <w:b w:val="1"/>
          <w:bCs w:val="1"/>
          <w:i w:val="1"/>
          <w:iCs w:val="1"/>
          <w:color w:val="auto"/>
        </w:rPr>
        <w:t>Account</w:t>
      </w:r>
      <w:r>
        <w:rPr>
          <w:rFonts w:ascii="Times New Roman" w:cs="Times New Roman" w:eastAsia="Times New Roman" w:hAnsi="Times New Roman"/>
          <w:sz w:val="22"/>
          <w:szCs w:val="22"/>
          <w:color w:val="auto"/>
        </w:rPr>
        <w:t>”). All amounts credited to the Account will continue for all purposes to be part of the general assets of the Company.</w:t>
      </w:r>
    </w:p>
    <w:p>
      <w:pPr>
        <w:spacing w:after="0" w:line="186" w:lineRule="exact"/>
        <w:rPr>
          <w:sz w:val="20"/>
          <w:szCs w:val="20"/>
          <w:color w:val="auto"/>
        </w:rPr>
      </w:pPr>
    </w:p>
    <w:p>
      <w:pPr>
        <w:spacing w:after="0"/>
        <w:tabs>
          <w:tab w:leader="none" w:pos="1480" w:val="left"/>
          <w:tab w:leader="none" w:pos="2200" w:val="left"/>
        </w:tabs>
        <w:rPr>
          <w:sz w:val="20"/>
          <w:szCs w:val="20"/>
          <w:color w:val="auto"/>
        </w:rPr>
      </w:pP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-13970</wp:posOffset>
            </wp:positionV>
            <wp:extent cx="4572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2"/>
          <w:szCs w:val="22"/>
          <w:u w:val="single" w:color="auto"/>
          <w:color w:val="auto"/>
        </w:rPr>
        <w:t>Number of DSUs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XXXXX</w:t>
      </w:r>
    </w:p>
    <w:p>
      <w:pPr>
        <w:spacing w:after="0" w:line="220" w:lineRule="exact"/>
        <w:rPr>
          <w:sz w:val="20"/>
          <w:szCs w:val="20"/>
          <w:color w:val="auto"/>
        </w:rPr>
      </w:pPr>
    </w:p>
    <w:p>
      <w:pPr>
        <w:spacing w:after="0"/>
        <w:tabs>
          <w:tab w:leader="none" w:pos="1640" w:val="left"/>
          <w:tab w:leader="none" w:pos="2360" w:val="left"/>
        </w:tabs>
        <w:rPr>
          <w:sz w:val="20"/>
          <w:szCs w:val="20"/>
          <w:color w:val="auto"/>
        </w:rPr>
      </w:pP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4572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1"/>
          <w:szCs w:val="21"/>
          <w:color w:val="auto"/>
        </w:rPr>
        <w:t>All of the DSUs are nonvested and forfeitable as of the Grant Date. So long as your Service (as defined in the Agreement) is continuous from the Grant Date through the applicable Vesting Date, 100% of the DSUs will become vested on the Vesting Date.</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In the event your Service is terminated due to your death or Total and Permanent Disability, 100% of the DSUs that had not yet become vested will become vested. Additionally, subject to your continued Service through the date of a Change in Control that occurs prior to the Vesting Date, 100% of the DSUs will become vested immediately prior to and contingent upon the Change in Control.</w:t>
      </w:r>
    </w:p>
    <w:p>
      <w:pPr>
        <w:spacing w:after="0" w:line="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Deferred Settlement Date: Issuance of shares in settlement of any DSUs that vest will be deferred until the applicable settlement date as specified in the Agreement.</w:t>
      </w:r>
    </w:p>
    <w:p>
      <w:pPr>
        <w:sectPr>
          <w:pgSz w:w="11900" w:h="16838" w:orient="portrait"/>
          <w:cols w:equalWidth="0" w:num="1">
            <w:col w:w="11240"/>
          </w:cols>
          <w:pgMar w:left="320" w:top="114" w:right="339" w:bottom="1440" w:gutter="0" w:footer="0" w:header="0"/>
        </w:sectPr>
      </w:pPr>
    </w:p>
    <w:bookmarkStart w:id="118" w:name="page119"/>
    <w:bookmarkEnd w:id="118"/>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SKYWARD SPECIALTY INSURANCE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16459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[printed Officer’s name]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493" w:lineRule="exact"/>
        <w:rPr>
          <w:sz w:val="20"/>
          <w:szCs w:val="20"/>
          <w:color w:val="auto"/>
        </w:rPr>
      </w:pPr>
    </w:p>
    <w:p>
      <w:pPr>
        <w:sectPr>
          <w:pgSz w:w="11900" w:h="16838" w:orient="portrait"/>
          <w:cols w:equalWidth="0" w:num="2">
            <w:col w:w="2840" w:space="720"/>
            <w:col w:w="7680"/>
          </w:cols>
          <w:pgMar w:left="320" w:top="1440" w:right="339" w:bottom="1440" w:gutter="0" w:footer="0" w:header="0"/>
          <w:type w:val="continuous"/>
        </w:sectPr>
      </w:pPr>
    </w:p>
    <w:p>
      <w:pPr>
        <w:spacing w:after="0" w:line="2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 acknowledge that I have carefully read the Agreement and the Prospectus for the Plan. I agree to be bound by all of the provisions set forth in those documents. I also consent to electronic delivery of all notices or other information with respect to the DSUs or the Company.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605155</wp:posOffset>
            </wp:positionV>
            <wp:extent cx="16459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22"/>
          <w:szCs w:val="22"/>
          <w:color w:val="auto"/>
        </w:rPr>
        <w:t>[Printed Name]</w:t>
      </w:r>
      <w:r>
        <w:rPr>
          <w:sz w:val="20"/>
          <w:szCs w:val="20"/>
          <w:color w:val="auto"/>
        </w:rPr>
        <w:tab/>
      </w:r>
      <w:r>
        <w:rPr>
          <w:rFonts w:ascii="Times New Roman" w:cs="Times New Roman" w:eastAsia="Times New Roman" w:hAnsi="Times New Roman"/>
          <w:sz w:val="21"/>
          <w:szCs w:val="21"/>
          <w:color w:val="auto"/>
        </w:rPr>
        <w:t>Date</w:t>
      </w:r>
    </w:p>
    <w:p>
      <w:pPr>
        <w:sectPr>
          <w:pgSz w:w="11900" w:h="16838" w:orient="portrait"/>
          <w:cols w:equalWidth="0" w:num="1">
            <w:col w:w="11240"/>
          </w:cols>
          <w:pgMar w:left="320" w:top="1440" w:right="339" w:bottom="1440" w:gutter="0" w:footer="0" w:header="0"/>
          <w:type w:val="continuous"/>
        </w:sectPr>
      </w:pPr>
    </w:p>
    <w:bookmarkStart w:id="119" w:name="page120"/>
    <w:bookmarkEnd w:id="119"/>
    <w:p>
      <w:pPr>
        <w:spacing w:after="0" w:line="1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SKYWARD SPECIALTY INSURANCE GROUP, INC.</w:t>
      </w:r>
    </w:p>
    <w:p>
      <w:pPr>
        <w:spacing w:after="0" w:line="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DEFERRED RESTRICTED STOCK UNITS AGREEMENT</w:t>
      </w:r>
    </w:p>
    <w:p>
      <w:pPr>
        <w:spacing w:after="0" w:line="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SKYWARD SPECIALTY INSURANCE GROUP,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LONG-TERM INCENTIVE PLAN</w:t>
      </w:r>
    </w:p>
    <w:p>
      <w:pPr>
        <w:spacing w:after="0" w:line="128" w:lineRule="exact"/>
        <w:rPr>
          <w:sz w:val="20"/>
          <w:szCs w:val="20"/>
          <w:color w:val="auto"/>
        </w:rPr>
      </w:pPr>
    </w:p>
    <w:p>
      <w:pPr>
        <w:ind w:firstLine="656"/>
        <w:spacing w:after="0" w:line="236"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Terminology</w:t>
      </w:r>
      <w:r>
        <w:rPr>
          <w:rFonts w:ascii="Times New Roman" w:cs="Times New Roman" w:eastAsia="Times New Roman" w:hAnsi="Times New Roman"/>
          <w:sz w:val="22"/>
          <w:szCs w:val="22"/>
          <w:color w:val="auto"/>
        </w:rPr>
        <w:t>. Unless otherwise provided in this Agreement, capitalized terms used herein are defined in the Glossary at the end of this Agreement.</w:t>
      </w:r>
    </w:p>
    <w:p>
      <w:pPr>
        <w:spacing w:after="0" w:line="123"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All of the DSUs are nonvested and forfeitable as of the Grant Date. So long as your Service is continuous from the Grant Date through the applicable date upon which vesting is scheduled to occur, the DSUs will become vested and nonforfeitable in accordance with the vesting schedule set forth in the Notice. Except for the circumstances, if any, described in the Notice, none of the DSUs will become vested and nonforfeitable after your Service ceases.</w:t>
      </w:r>
    </w:p>
    <w:p>
      <w:pPr>
        <w:spacing w:after="0" w:line="111"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Termination of Employment or Service</w:t>
      </w:r>
      <w:r>
        <w:rPr>
          <w:rFonts w:ascii="Times New Roman" w:cs="Times New Roman" w:eastAsia="Times New Roman" w:hAnsi="Times New Roman"/>
          <w:sz w:val="22"/>
          <w:szCs w:val="22"/>
          <w:color w:val="auto"/>
        </w:rPr>
        <w:t>. Except as otherwise provided in the Notice, if your Service with the Company ceases for any reason, all DSUs that are not then vested and nonforfeitable will be forfeited to the Company immediately and automatically upon such cessation without payment of any consideration therefore and you will have no further right, title or interest in or to such DSUs or the underlying shares of Common Stock.</w:t>
      </w:r>
    </w:p>
    <w:p>
      <w:pPr>
        <w:spacing w:after="0" w:line="111"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 Neither this Agreement nor any of the DSUs may be assigned, transferred, pledged, hypothecated or disposed of in any way, whether by operation of law or otherwise, and the DSUs shall not be subject to execution, attachment or similar process. All rights with respect to this Agreement and the DSUs shall be exercisable during your lifetime only by you or your guardian or legal representative. Notwithstanding the foregoing, the DSUs may be transferred upon your death by last will and testament or under the laws of descent and distribution.</w:t>
      </w:r>
    </w:p>
    <w:p>
      <w:pPr>
        <w:spacing w:after="0" w:line="125" w:lineRule="exact"/>
        <w:rPr>
          <w:rFonts w:ascii="Times New Roman" w:cs="Times New Roman" w:eastAsia="Times New Roman" w:hAnsi="Times New Roman"/>
          <w:sz w:val="18"/>
          <w:szCs w:val="18"/>
          <w:color w:val="auto"/>
        </w:rPr>
      </w:pPr>
    </w:p>
    <w:p>
      <w:pPr>
        <w:jc w:val="both"/>
        <w:ind w:firstLine="656"/>
        <w:spacing w:after="0" w:line="211"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Dividend Equivalent Payments.</w:t>
      </w:r>
      <w:r>
        <w:rPr>
          <w:rFonts w:ascii="Times New Roman" w:cs="Times New Roman" w:eastAsia="Times New Roman" w:hAnsi="Times New Roman"/>
          <w:sz w:val="22"/>
          <w:szCs w:val="22"/>
          <w:color w:val="auto"/>
        </w:rPr>
        <w:t xml:space="preserve"> If, prior to the settlement date, the Company declares a dividend on the shares of Common Stock, then, on the payment date of the dividend, the Grantee's Account shall be credited with dividend equivalents in an amount equal to the dividends that would have been paid to the Grantee if one share of Common Stock had been issued on the Grant Date for each DSU granted to the Grantee as set forth in this Agreement. Dividend equivalents, when credited, shall be withheld by the Company for the Grantee's Account and shall be subject to the same vesting and forfeiture restrictions as the DSUs to which they are attributable and shall be paid on the same date that the DSUs to which they are attributable are settled and paid in accordance with Section 6 hereof. If your vested DSUs have been settled after the record date but prior to the dividend payment date, any DSUs that would be credited pursuant to the preceding sentence shall be settled on or as soon as practicable after the dividend payment date.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Settlement of DSUs</w:t>
      </w:r>
      <w:r>
        <w:rPr>
          <w:rFonts w:ascii="Times New Roman" w:cs="Times New Roman" w:eastAsia="Times New Roman" w:hAnsi="Times New Roman"/>
          <w:sz w:val="22"/>
          <w:szCs w:val="22"/>
          <w:color w:val="auto"/>
        </w:rPr>
        <w:t>.</w:t>
      </w:r>
    </w:p>
    <w:p>
      <w:pPr>
        <w:spacing w:after="0" w:line="13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Manner of Settlement</w:t>
      </w:r>
      <w:r>
        <w:rPr>
          <w:rFonts w:ascii="Times New Roman" w:cs="Times New Roman" w:eastAsia="Times New Roman" w:hAnsi="Times New Roman"/>
          <w:sz w:val="21"/>
          <w:szCs w:val="21"/>
          <w:color w:val="auto"/>
        </w:rPr>
        <w:t>. You are not required to make any monetary payment (other than applicable tax withholding, if required) as a condition to settlement of the DSUs. The Company will issue to you, in settlement of your DSUs and subject to the provisions of Section 7 below, the number of whole shares of Common Stock that equals the number of whole DSUs that become vested, (and any dividend equivalents) and such vested DSUs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04" w:lineRule="exact"/>
        <w:rPr>
          <w:sz w:val="20"/>
          <w:szCs w:val="20"/>
          <w:color w:val="auto"/>
        </w:rPr>
      </w:pPr>
    </w:p>
    <w:p>
      <w:pPr>
        <w:jc w:val="both"/>
        <w:ind w:left="-656" w:firstLine="1304"/>
        <w:spacing w:after="0" w:line="205" w:lineRule="auto"/>
        <w:tabs>
          <w:tab w:leader="none" w:pos="128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Settlement Date and Timing of Vested DSU Settlement</w:t>
      </w:r>
      <w:r>
        <w:rPr>
          <w:rFonts w:ascii="Times New Roman" w:cs="Times New Roman" w:eastAsia="Times New Roman" w:hAnsi="Times New Roman"/>
          <w:sz w:val="22"/>
          <w:szCs w:val="22"/>
          <w:color w:val="auto"/>
        </w:rPr>
        <w:t>. Subject to the provisions of Section 16 of this Agreement, your then vested DSUs will be settled by the Company, via the issuance of Common Stock as described herein, on a date selected by the Company that is upon or as soon as practicable following, but in no event later than sixty (60) days after, the applicable “Deferral Date” specified in your Election for Deferred Restricted Stock Units applicable to your DSUs (the “</w:t>
      </w:r>
      <w:r>
        <w:rPr>
          <w:rFonts w:ascii="Times New Roman" w:cs="Times New Roman" w:eastAsia="Times New Roman" w:hAnsi="Times New Roman"/>
          <w:sz w:val="22"/>
          <w:szCs w:val="22"/>
          <w:b w:val="1"/>
          <w:bCs w:val="1"/>
          <w:i w:val="1"/>
          <w:iCs w:val="1"/>
          <w:color w:val="auto"/>
        </w:rPr>
        <w:t>Settlement Date</w:t>
      </w:r>
      <w:r>
        <w:rPr>
          <w:rFonts w:ascii="Times New Roman" w:cs="Times New Roman" w:eastAsia="Times New Roman" w:hAnsi="Times New Roman"/>
          <w:sz w:val="22"/>
          <w:szCs w:val="22"/>
          <w:color w:val="auto"/>
        </w:rPr>
        <w:t>”); provided, however, that the Settlement Date for your vested DSUs will instead occur immediately prior to or within sixty (60) days after any earlier Change in Control, to the extent such Change in Control occurs after the Grant Date and also constitutes a “change in ownership or effective control of the Company, or in the ownership of a substantial portion of the assets of the Company” in each case within the meaning of Section 409A of the Code. Notwithstanding the foregoing, if the Settlement Date occurs in connection with your death and it is impracticable for the shares to be issued by the Company to the applicable beneficiary within the sixty (60) day period following your death, issuance of the shares may be delayed by the Company to a date not later than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calendar year following the year of your death as permitted by Section 409A of the Code.</w:t>
      </w:r>
    </w:p>
    <w:p>
      <w:pPr>
        <w:spacing w:after="0" w:line="115" w:lineRule="exact"/>
        <w:rPr>
          <w:rFonts w:ascii="Times New Roman" w:cs="Times New Roman" w:eastAsia="Times New Roman" w:hAnsi="Times New Roman"/>
          <w:sz w:val="18"/>
          <w:szCs w:val="18"/>
          <w:color w:val="auto"/>
        </w:rPr>
      </w:pPr>
    </w:p>
    <w:p>
      <w:pPr>
        <w:jc w:val="both"/>
        <w:ind w:left="-656" w:firstLine="656"/>
        <w:spacing w:after="0" w:line="211"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You acknowledge that, regardless of any action taken by the Company, the ultimate liability for all tax-related items related to your participation in the Plan and legally applicable to you or deemed by the Company in its discretion to be an appropriate charge to you even if legally applicable to the Company (“</w:t>
      </w:r>
      <w:r>
        <w:rPr>
          <w:rFonts w:ascii="Times New Roman" w:cs="Times New Roman" w:eastAsia="Times New Roman" w:hAnsi="Times New Roman"/>
          <w:sz w:val="22"/>
          <w:szCs w:val="22"/>
          <w:b w:val="1"/>
          <w:bCs w:val="1"/>
          <w:i w:val="1"/>
          <w:iCs w:val="1"/>
          <w:color w:val="auto"/>
        </w:rPr>
        <w:t>Tax-Related Items</w:t>
      </w:r>
      <w:r>
        <w:rPr>
          <w:rFonts w:ascii="Times New Roman" w:cs="Times New Roman" w:eastAsia="Times New Roman" w:hAnsi="Times New Roman"/>
          <w:sz w:val="22"/>
          <w:szCs w:val="22"/>
          <w:color w:val="auto"/>
        </w:rPr>
        <w:t>”) is and remains your responsibility and may exceed the amount, if any, actually withheld by the Company. You further acknowledge that the Company (i) makes no representations or undertakings regarding the treatment of any Tax-Related Items in connection with any aspect of the DSUs, including, but not limited to, the grant or vesting of the DSUs or any related dividend equivalents, the subsequent sale of shares of Common Stock acquired upon vesting, and the receipt of any dividends; and (ii) does not commit to and is under no obligation to structure the terms of the grant or any aspect of the DSUs to reduce or eliminate your liability for Tax-Related Items or achieve any particular tax result.</w:t>
      </w:r>
    </w:p>
    <w:p>
      <w:pPr>
        <w:spacing w:after="0" w:line="11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Adjustments for Corporate Transactions and Other Events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18"/>
          <w:szCs w:val="18"/>
          <w:color w:val="auto"/>
        </w:rPr>
      </w:pPr>
    </w:p>
    <w:p>
      <w:pPr>
        <w:jc w:val="both"/>
        <w:ind w:left="-656" w:firstLine="1304"/>
        <w:spacing w:after="0" w:line="217" w:lineRule="auto"/>
        <w:tabs>
          <w:tab w:leader="none" w:pos="128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Stock Dividend, Stock Split and Reverse Stock Split</w:t>
      </w:r>
      <w:r>
        <w:rPr>
          <w:rFonts w:ascii="Times New Roman" w:cs="Times New Roman" w:eastAsia="Times New Roman" w:hAnsi="Times New Roman"/>
          <w:sz w:val="22"/>
          <w:szCs w:val="22"/>
          <w:color w:val="auto"/>
        </w:rPr>
        <w:t>. Upon a stock dividend of, or stock split or reverse stock split affecting, the Common Stock, the number of outstanding DSUs shall, without further action of the Administrator, be adjusted to reflect such event; provided, however, that any fractional DSUs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11" w:lineRule="exact"/>
        <w:rPr>
          <w:rFonts w:ascii="Times New Roman" w:cs="Times New Roman" w:eastAsia="Times New Roman" w:hAnsi="Times New Roman"/>
          <w:sz w:val="18"/>
          <w:szCs w:val="18"/>
          <w:color w:val="auto"/>
        </w:rPr>
      </w:pPr>
    </w:p>
    <w:p>
      <w:pPr>
        <w:jc w:val="both"/>
        <w:ind w:left="-656" w:firstLine="1304"/>
        <w:spacing w:after="0" w:line="212" w:lineRule="auto"/>
        <w:tabs>
          <w:tab w:leader="none" w:pos="128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Merger, Consolidation and Other Events</w:t>
      </w:r>
      <w:r>
        <w:rPr>
          <w:rFonts w:ascii="Times New Roman" w:cs="Times New Roman" w:eastAsia="Times New Roman" w:hAnsi="Times New Roman"/>
          <w:sz w:val="22"/>
          <w:szCs w:val="22"/>
          <w:color w:val="auto"/>
        </w:rPr>
        <w:t>. If the Company shall be the surviving or resulting corporation in any merger or consolidation and the Common Stock shall be converted into other securities, the DSUs shall pertain to and apply to the securities to which a holder of the number of shares of Common Stock subject to the DSUs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DSUs would have been entitled, in the same manner and to the same extent as the DSUs.</w:t>
      </w:r>
    </w:p>
    <w:p>
      <w:pPr>
        <w:spacing w:after="0" w:line="115" w:lineRule="exact"/>
        <w:rPr>
          <w:rFonts w:ascii="Times New Roman" w:cs="Times New Roman" w:eastAsia="Times New Roman" w:hAnsi="Times New Roman"/>
          <w:sz w:val="18"/>
          <w:szCs w:val="18"/>
          <w:color w:val="auto"/>
        </w:rPr>
      </w:pPr>
    </w:p>
    <w:p>
      <w:pPr>
        <w:jc w:val="both"/>
        <w:ind w:left="-656" w:firstLine="656"/>
        <w:spacing w:after="0" w:line="236" w:lineRule="auto"/>
        <w:tabs>
          <w:tab w:leader="none" w:pos="6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Non-Guarantee of Service Relationship</w:t>
      </w:r>
      <w:r>
        <w:rPr>
          <w:rFonts w:ascii="Times New Roman" w:cs="Times New Roman" w:eastAsia="Times New Roman" w:hAnsi="Times New Roman"/>
          <w:sz w:val="21"/>
          <w:szCs w:val="21"/>
          <w:color w:val="auto"/>
        </w:rPr>
        <w:t>. Nothing in the Plan or this Agreement shall alter your at-will service relationship with the Company, nor be construed as a contract of employment or service relationship between the Company and you, or as a contractual right of you to continue in the employ of, or in a service relationship with, the Company for any period</w:t>
      </w:r>
    </w:p>
    <w:p>
      <w:pPr>
        <w:sectPr>
          <w:pgSz w:w="11900" w:h="16838" w:orient="portrait"/>
          <w:cols w:equalWidth="0" w:num="1">
            <w:col w:w="10584"/>
          </w:cols>
          <w:pgMar w:left="976" w:top="1440" w:right="339" w:bottom="1440" w:gutter="0" w:footer="0" w:header="0"/>
        </w:sectPr>
      </w:pPr>
    </w:p>
    <w:bookmarkStart w:id="121" w:name="page122"/>
    <w:bookmarkEnd w:id="121"/>
    <w:p>
      <w:pPr>
        <w:spacing w:after="0" w:line="104"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of time, or as a limitation of the right of the Company to discharge you at any time with or without cause or notice and whether or not such discharge results in the forfeiture of any nonvested and forfeitable DSUs or any other adverse effect on your interests under the Plan.</w:t>
      </w:r>
    </w:p>
    <w:p>
      <w:pPr>
        <w:spacing w:after="0" w:line="112" w:lineRule="exact"/>
        <w:rPr>
          <w:sz w:val="20"/>
          <w:szCs w:val="20"/>
          <w:color w:val="auto"/>
        </w:rPr>
      </w:pPr>
    </w:p>
    <w:p>
      <w:pPr>
        <w:ind w:firstLine="656"/>
        <w:spacing w:after="0" w:line="236" w:lineRule="auto"/>
        <w:tabs>
          <w:tab w:leader="none" w:pos="129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You shall not have any of the rights of a stockholder with respect to any shares of Common Stock that may be issued in settlement of the DSUs until such shares of Common Stock have been issued to you.</w:t>
      </w:r>
    </w:p>
    <w:p>
      <w:pPr>
        <w:spacing w:after="0" w:line="109" w:lineRule="exact"/>
        <w:rPr>
          <w:rFonts w:ascii="Times New Roman" w:cs="Times New Roman" w:eastAsia="Times New Roman" w:hAnsi="Times New Roman"/>
          <w:sz w:val="18"/>
          <w:szCs w:val="18"/>
          <w:color w:val="auto"/>
        </w:rPr>
      </w:pPr>
    </w:p>
    <w:p>
      <w:pPr>
        <w:jc w:val="both"/>
        <w:ind w:firstLine="656"/>
        <w:spacing w:after="0" w:line="215" w:lineRule="auto"/>
        <w:tabs>
          <w:tab w:leader="none" w:pos="12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The Company’s Rights</w:t>
      </w:r>
      <w:r>
        <w:rPr>
          <w:rFonts w:ascii="Times New Roman" w:cs="Times New Roman" w:eastAsia="Times New Roman" w:hAnsi="Times New Roman"/>
          <w:sz w:val="22"/>
          <w:szCs w:val="22"/>
          <w:color w:val="auto"/>
        </w:rPr>
        <w:t>. The existence of the DSUs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25" w:lineRule="exact"/>
        <w:rPr>
          <w:rFonts w:ascii="Times New Roman" w:cs="Times New Roman" w:eastAsia="Times New Roman" w:hAnsi="Times New Roman"/>
          <w:sz w:val="18"/>
          <w:szCs w:val="18"/>
          <w:color w:val="auto"/>
        </w:rPr>
      </w:pPr>
    </w:p>
    <w:p>
      <w:pPr>
        <w:jc w:val="both"/>
        <w:ind w:firstLine="656"/>
        <w:spacing w:after="0" w:line="211" w:lineRule="auto"/>
        <w:tabs>
          <w:tab w:leader="none" w:pos="129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Restrictions on Issuance of Shares</w:t>
      </w:r>
      <w:r>
        <w:rPr>
          <w:rFonts w:ascii="Times New Roman" w:cs="Times New Roman" w:eastAsia="Times New Roman" w:hAnsi="Times New Roman"/>
          <w:sz w:val="22"/>
          <w:szCs w:val="22"/>
          <w:color w:val="auto"/>
        </w:rPr>
        <w:t>. The issuance of shares of Common Stock upon settlement of the DSUs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laws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DSUs shall relieve the Company of any liability in respect of the failure to issue such shares as to which such requisite authority shall not have been obtained. As a condition to the settlement of the DSUs,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11" w:lineRule="exact"/>
        <w:rPr>
          <w:rFonts w:ascii="Times New Roman" w:cs="Times New Roman" w:eastAsia="Times New Roman" w:hAnsi="Times New Roman"/>
          <w:sz w:val="18"/>
          <w:szCs w:val="18"/>
          <w:color w:val="auto"/>
        </w:rPr>
      </w:pPr>
    </w:p>
    <w:p>
      <w:pPr>
        <w:jc w:val="both"/>
        <w:ind w:firstLine="656"/>
        <w:spacing w:after="0" w:line="210" w:lineRule="auto"/>
        <w:tabs>
          <w:tab w:leader="none" w:pos="129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DSUs by electronic means or to request your consent to participate in the Plan or accept this award of DSUs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16"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relevant Notice and the Plan, contain the entire agreement between the parties with respect to the DSUs granted hereunder. Any oral or written agreements, representations, warranties, written inducements, or other communications made prior to the execution of this Agreement with respect to the DSUs granted hereunder shall be void and ineffective for all purposes.</w:t>
      </w:r>
    </w:p>
    <w:p>
      <w:pPr>
        <w:spacing w:after="0" w:line="125" w:lineRule="exact"/>
        <w:rPr>
          <w:rFonts w:ascii="Times New Roman" w:cs="Times New Roman" w:eastAsia="Times New Roman" w:hAnsi="Times New Roman"/>
          <w:sz w:val="18"/>
          <w:szCs w:val="18"/>
          <w:color w:val="auto"/>
        </w:rPr>
      </w:pPr>
    </w:p>
    <w:p>
      <w:pPr>
        <w:ind w:firstLine="656"/>
        <w:spacing w:after="0" w:line="236" w:lineRule="auto"/>
        <w:tabs>
          <w:tab w:leader="none" w:pos="129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This Agreement may be amended from time to time by the Administrator in its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Agreement may not be modified in a</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0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manner that would have a materially adverse effect on the DSUs as determined in the discretion of the Administrator, except as provided in the Plan or in a written document signed by each of the parties hereto.</w:t>
      </w:r>
    </w:p>
    <w:p>
      <w:pPr>
        <w:spacing w:after="0" w:line="110" w:lineRule="exact"/>
        <w:rPr>
          <w:sz w:val="20"/>
          <w:szCs w:val="20"/>
          <w:color w:val="auto"/>
        </w:rPr>
      </w:pPr>
    </w:p>
    <w:p>
      <w:pPr>
        <w:jc w:val="both"/>
        <w:ind w:firstLine="656"/>
        <w:spacing w:after="0" w:line="208" w:lineRule="auto"/>
        <w:tabs>
          <w:tab w:leader="none" w:pos="12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409A Savings Clause</w:t>
      </w:r>
      <w:r>
        <w:rPr>
          <w:rFonts w:ascii="Times New Roman" w:cs="Times New Roman" w:eastAsia="Times New Roman" w:hAnsi="Times New Roman"/>
          <w:sz w:val="22"/>
          <w:szCs w:val="22"/>
          <w:color w:val="auto"/>
        </w:rPr>
        <w:t>. This Agreement is intended to comply with the requirements of Section 409A of the Code and shall be construed and administered in accordance with such intent. Notwithstanding any other provision of this Agreement, payments provided under this Agreement may only be made upon an event and in a manner that complies with Section 409A of the Code payment timing requirements for deferred compensation. The Company reserves the right, to the extent the Company deems necessary or advisable in its sole discretion, to unilaterally amend or modify this Agreement as may be necessary to ensure that all payments provided for under this Agreement are made in a manner that complies with Section 409A of the Code However, the Company makes no representations that the payments and benefits provided under this Agreement comply with Code Section 409A and in no event shall the Company be liable for all or any portion of any taxes, penalties, interest or other expenses that may be incurred by you on account of non-compliance with Code Section 409A. Notwithstanding anything set forth in Section 6 of this Agreement, if you are a “Specified Employee” (within the meaning set forth Section 409A(a)(2)(B)(i) of the Code) as of the date of your separation from service (within the meaning of Treasury Regulation Section 1.409A-1(h)), then the issuance of any shares in respect of any vested DSUs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w:t>
      </w:r>
    </w:p>
    <w:p>
      <w:pPr>
        <w:spacing w:after="0" w:line="123"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Obligation to Minimize Taxes</w:t>
      </w:r>
      <w:r>
        <w:rPr>
          <w:rFonts w:ascii="Times New Roman" w:cs="Times New Roman" w:eastAsia="Times New Roman" w:hAnsi="Times New Roman"/>
          <w:sz w:val="22"/>
          <w:szCs w:val="22"/>
          <w:color w:val="auto"/>
        </w:rPr>
        <w:t>. The Company has no duty or obligation to minimize the tax consequences to you of this award of DSUs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25"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Conformity with Plan</w:t>
      </w:r>
      <w:r>
        <w:rPr>
          <w:rFonts w:ascii="Times New Roman" w:cs="Times New Roman" w:eastAsia="Times New Roman" w:hAnsi="Times New Roman"/>
          <w:sz w:val="22"/>
          <w:szCs w:val="22"/>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11" w:lineRule="exact"/>
        <w:rPr>
          <w:rFonts w:ascii="Times New Roman" w:cs="Times New Roman" w:eastAsia="Times New Roman" w:hAnsi="Times New Roman"/>
          <w:sz w:val="18"/>
          <w:szCs w:val="18"/>
          <w:color w:val="auto"/>
        </w:rPr>
      </w:pPr>
    </w:p>
    <w:p>
      <w:pPr>
        <w:jc w:val="both"/>
        <w:ind w:firstLine="656"/>
        <w:spacing w:after="0" w:line="225" w:lineRule="auto"/>
        <w:tabs>
          <w:tab w:leader="none" w:pos="12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Funding</w:t>
      </w:r>
      <w:r>
        <w:rPr>
          <w:rFonts w:ascii="Times New Roman" w:cs="Times New Roman" w:eastAsia="Times New Roman" w:hAnsi="Times New Roman"/>
          <w:sz w:val="22"/>
          <w:szCs w:val="22"/>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DSUs.</w:t>
      </w:r>
    </w:p>
    <w:p>
      <w:pPr>
        <w:spacing w:after="0" w:line="111"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Effect on Other Employee Benefit Plans</w:t>
      </w:r>
      <w:r>
        <w:rPr>
          <w:rFonts w:ascii="Times New Roman" w:cs="Times New Roman" w:eastAsia="Times New Roman" w:hAnsi="Times New Roman"/>
          <w:sz w:val="22"/>
          <w:szCs w:val="22"/>
          <w:color w:val="auto"/>
        </w:rPr>
        <w:t>. The value of the DSUs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25"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0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12" w:lineRule="exact"/>
        <w:rPr>
          <w:sz w:val="20"/>
          <w:szCs w:val="20"/>
          <w:color w:val="auto"/>
        </w:rPr>
      </w:pPr>
    </w:p>
    <w:p>
      <w:pPr>
        <w:jc w:val="both"/>
        <w:ind w:firstLine="656"/>
        <w:spacing w:after="0" w:line="211" w:lineRule="auto"/>
        <w:tabs>
          <w:tab w:leader="none" w:pos="129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Resolution of Disputes</w:t>
      </w:r>
      <w:r>
        <w:rPr>
          <w:rFonts w:ascii="Times New Roman" w:cs="Times New Roman" w:eastAsia="Times New Roman" w:hAnsi="Times New Roman"/>
          <w:sz w:val="22"/>
          <w:szCs w:val="22"/>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17" w:lineRule="exact"/>
        <w:rPr>
          <w:rFonts w:ascii="Times New Roman" w:cs="Times New Roman" w:eastAsia="Times New Roman" w:hAnsi="Times New Roman"/>
          <w:sz w:val="18"/>
          <w:szCs w:val="18"/>
          <w:color w:val="auto"/>
        </w:rPr>
      </w:pPr>
    </w:p>
    <w:p>
      <w:pPr>
        <w:ind w:firstLine="656"/>
        <w:spacing w:after="0" w:line="236" w:lineRule="auto"/>
        <w:tabs>
          <w:tab w:leader="none" w:pos="129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reference purposes only and shall not affect the meaning or interpretation of this Agreement.</w:t>
      </w:r>
    </w:p>
    <w:p>
      <w:pPr>
        <w:spacing w:after="0" w:line="123" w:lineRule="exact"/>
        <w:rPr>
          <w:rFonts w:ascii="Times New Roman" w:cs="Times New Roman" w:eastAsia="Times New Roman" w:hAnsi="Times New Roman"/>
          <w:sz w:val="18"/>
          <w:szCs w:val="18"/>
          <w:color w:val="auto"/>
        </w:rPr>
      </w:pPr>
    </w:p>
    <w:p>
      <w:pPr>
        <w:jc w:val="both"/>
        <w:ind w:firstLine="656"/>
        <w:spacing w:after="0" w:line="213" w:lineRule="auto"/>
        <w:tabs>
          <w:tab w:leader="none" w:pos="129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Electronic Delivery of Documents</w:t>
      </w:r>
      <w:r>
        <w:rPr>
          <w:rFonts w:ascii="Times New Roman" w:cs="Times New Roman" w:eastAsia="Times New Roman" w:hAnsi="Times New Roman"/>
          <w:sz w:val="22"/>
          <w:szCs w:val="22"/>
          <w:color w:val="auto"/>
        </w:rPr>
        <w:t>. By your signing the Notice, you (i) consent to the electronic delivery of this Agreement, all information with respect to the Plan and the DSUs,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15" w:lineRule="exact"/>
        <w:rPr>
          <w:rFonts w:ascii="Times New Roman" w:cs="Times New Roman" w:eastAsia="Times New Roman" w:hAnsi="Times New Roman"/>
          <w:sz w:val="18"/>
          <w:szCs w:val="18"/>
          <w:color w:val="auto"/>
        </w:rPr>
      </w:pPr>
    </w:p>
    <w:p>
      <w:pPr>
        <w:jc w:val="both"/>
        <w:ind w:firstLine="656"/>
        <w:spacing w:after="0" w:line="209" w:lineRule="auto"/>
        <w:tabs>
          <w:tab w:leader="none" w:pos="129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Future Entitlement</w:t>
      </w:r>
      <w:r>
        <w:rPr>
          <w:rFonts w:ascii="Times New Roman" w:cs="Times New Roman" w:eastAsia="Times New Roman" w:hAnsi="Times New Roman"/>
          <w:sz w:val="22"/>
          <w:szCs w:val="22"/>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19" w:lineRule="exact"/>
        <w:rPr>
          <w:rFonts w:ascii="Times New Roman" w:cs="Times New Roman" w:eastAsia="Times New Roman" w:hAnsi="Times New Roman"/>
          <w:sz w:val="18"/>
          <w:szCs w:val="18"/>
          <w:color w:val="auto"/>
        </w:rPr>
      </w:pPr>
    </w:p>
    <w:p>
      <w:pPr>
        <w:jc w:val="both"/>
        <w:ind w:right="20" w:firstLine="656"/>
        <w:spacing w:after="0" w:line="225" w:lineRule="auto"/>
        <w:tabs>
          <w:tab w:leader="none" w:pos="129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For purposes of the implementation, administration and management of the restricted stock units or the effectuation of any acquisition, equity or debt financing, joint venture, merger, reorganization, consolidation, recapitalization,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5203190</wp:posOffset>
            </wp:positionH>
            <wp:positionV relativeFrom="paragraph">
              <wp:posOffset>-2997200</wp:posOffset>
            </wp:positionV>
            <wp:extent cx="431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0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combination, liquidation, dissolution, share exchange, sale of stock, sale of material assets or other similar corporate transaction involving the Company (a “</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xml:space="preserve"> ”),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Glossary begins on next page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GLOSSARY</w:t>
      </w:r>
    </w:p>
    <w:p>
      <w:pPr>
        <w:spacing w:after="0" w:line="123" w:lineRule="exact"/>
        <w:rPr>
          <w:sz w:val="20"/>
          <w:szCs w:val="20"/>
          <w:color w:val="auto"/>
        </w:rPr>
      </w:pPr>
    </w:p>
    <w:p>
      <w:pPr>
        <w:ind w:firstLine="1304"/>
        <w:spacing w:after="0" w:line="239" w:lineRule="auto"/>
        <w:tabs>
          <w:tab w:leader="none" w:pos="194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 means the Board of Directors of Skyward Specialty Insurance Group, Inc. or such committee or committees appointed by the Board to administer the Plan.</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shall have the meaning set forth in the Plan.</w:t>
      </w:r>
    </w:p>
    <w:p>
      <w:pPr>
        <w:spacing w:after="0" w:line="138" w:lineRule="exact"/>
        <w:rPr>
          <w:rFonts w:ascii="Times New Roman" w:cs="Times New Roman" w:eastAsia="Times New Roman" w:hAnsi="Times New Roman"/>
          <w:sz w:val="18"/>
          <w:szCs w:val="18"/>
          <w:color w:val="auto"/>
        </w:rPr>
      </w:pPr>
    </w:p>
    <w:p>
      <w:pPr>
        <w:ind w:right="20" w:firstLine="1304"/>
        <w:spacing w:after="0" w:line="239" w:lineRule="auto"/>
        <w:tabs>
          <w:tab w:leader="none" w:pos="194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means this document, as amended from time to time, together with the Plan which is incorporated herein by reference.</w:t>
      </w:r>
    </w:p>
    <w:p>
      <w:pPr>
        <w:spacing w:after="0" w:line="10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the meaning set forth in the Plan.</w:t>
      </w:r>
    </w:p>
    <w:p>
      <w:pPr>
        <w:spacing w:after="0" w:line="152" w:lineRule="exact"/>
        <w:rPr>
          <w:rFonts w:ascii="Times New Roman" w:cs="Times New Roman" w:eastAsia="Times New Roman" w:hAnsi="Times New Roman"/>
          <w:sz w:val="18"/>
          <w:szCs w:val="18"/>
          <w:color w:val="auto"/>
        </w:rPr>
      </w:pPr>
    </w:p>
    <w:p>
      <w:pPr>
        <w:ind w:right="20" w:firstLine="1304"/>
        <w:spacing w:after="0" w:line="239" w:lineRule="auto"/>
        <w:tabs>
          <w:tab w:leader="none" w:pos="194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and the Treasury regulations and other guidance promulgated thereunder.</w:t>
      </w:r>
    </w:p>
    <w:p>
      <w:pPr>
        <w:spacing w:after="0" w:line="10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means the common stock, US$0.01 par value per share, of Skyward Specialty Insurance</w:t>
      </w:r>
    </w:p>
    <w:p>
      <w:pPr>
        <w:spacing w:after="0" w:line="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rPr>
        <w:t>Group, Inc.</w:t>
      </w:r>
    </w:p>
    <w:p>
      <w:pPr>
        <w:spacing w:after="0" w:line="108" w:lineRule="exact"/>
        <w:rPr>
          <w:rFonts w:ascii="Times New Roman" w:cs="Times New Roman" w:eastAsia="Times New Roman" w:hAnsi="Times New Roman"/>
          <w:sz w:val="17"/>
          <w:szCs w:val="17"/>
          <w:color w:val="auto"/>
        </w:rPr>
      </w:pPr>
    </w:p>
    <w:p>
      <w:pPr>
        <w:jc w:val="both"/>
        <w:ind w:firstLine="1304"/>
        <w:spacing w:after="0" w:line="227" w:lineRule="auto"/>
        <w:tabs>
          <w:tab w:leader="none" w:pos="19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11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has the meaning set forth in the Plan.</w:t>
      </w:r>
    </w:p>
    <w:p>
      <w:pPr>
        <w:spacing w:after="0" w:line="13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Grant Date</w:t>
      </w:r>
      <w:r>
        <w:rPr>
          <w:rFonts w:ascii="Times New Roman" w:cs="Times New Roman" w:eastAsia="Times New Roman" w:hAnsi="Times New Roman"/>
          <w:sz w:val="22"/>
          <w:szCs w:val="22"/>
          <w:color w:val="auto"/>
        </w:rPr>
        <w:t>” means the effective date of a grant of DSUs made to you as set forth in the relevant Notice.</w:t>
      </w:r>
    </w:p>
    <w:p>
      <w:pPr>
        <w:spacing w:after="0" w:line="138" w:lineRule="exact"/>
        <w:rPr>
          <w:rFonts w:ascii="Times New Roman" w:cs="Times New Roman" w:eastAsia="Times New Roman" w:hAnsi="Times New Roman"/>
          <w:sz w:val="18"/>
          <w:szCs w:val="18"/>
          <w:color w:val="auto"/>
        </w:rPr>
      </w:pPr>
    </w:p>
    <w:p>
      <w:pPr>
        <w:ind w:right="20" w:firstLine="1304"/>
        <w:spacing w:after="0" w:line="239" w:lineRule="auto"/>
        <w:tabs>
          <w:tab w:leader="none" w:pos="19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means the statement, letter or other written notification provided to you by the Company setting forth the terms of a grant of DSUs made to you.</w:t>
      </w:r>
    </w:p>
    <w:p>
      <w:pPr>
        <w:spacing w:after="0" w:line="11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the Skyward Specialty Insurance Group, Inc. 2022 Long-Term Incentive Plan, as amended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from time to time.</w:t>
      </w:r>
    </w:p>
    <w:p>
      <w:pPr>
        <w:spacing w:after="0" w:line="108" w:lineRule="exact"/>
        <w:rPr>
          <w:rFonts w:ascii="Times New Roman" w:cs="Times New Roman" w:eastAsia="Times New Roman" w:hAnsi="Times New Roman"/>
          <w:sz w:val="18"/>
          <w:szCs w:val="18"/>
          <w:color w:val="auto"/>
        </w:rPr>
      </w:pPr>
    </w:p>
    <w:p>
      <w:pPr>
        <w:ind w:firstLine="1304"/>
        <w:spacing w:after="0" w:line="239" w:lineRule="auto"/>
        <w:tabs>
          <w:tab w:leader="none" w:pos="19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DSU</w:t>
      </w:r>
      <w:r>
        <w:rPr>
          <w:rFonts w:ascii="Times New Roman" w:cs="Times New Roman" w:eastAsia="Times New Roman" w:hAnsi="Times New Roman"/>
          <w:sz w:val="22"/>
          <w:szCs w:val="22"/>
          <w:color w:val="auto"/>
        </w:rPr>
        <w:t>” means the Company’s commitment to issue one share of Common Stock at a future date, subject to the terms of the Agreement and the Plan.</w:t>
      </w:r>
    </w:p>
    <w:p>
      <w:pPr>
        <w:spacing w:after="0" w:line="103" w:lineRule="exact"/>
        <w:rPr>
          <w:rFonts w:ascii="Times New Roman" w:cs="Times New Roman" w:eastAsia="Times New Roman" w:hAnsi="Times New Roman"/>
          <w:sz w:val="18"/>
          <w:szCs w:val="18"/>
          <w:color w:val="auto"/>
        </w:rPr>
      </w:pPr>
    </w:p>
    <w:p>
      <w:pPr>
        <w:jc w:val="both"/>
        <w:ind w:firstLine="1304"/>
        <w:spacing w:after="0" w:line="218" w:lineRule="auto"/>
        <w:tabs>
          <w:tab w:leader="none" w:pos="193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Service</w:t>
      </w:r>
      <w:r>
        <w:rPr>
          <w:rFonts w:ascii="Times New Roman" w:cs="Times New Roman" w:eastAsia="Times New Roman" w:hAnsi="Times New Roman"/>
          <w:sz w:val="22"/>
          <w:szCs w:val="22"/>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120" w:lineRule="exact"/>
        <w:rPr>
          <w:rFonts w:ascii="Times New Roman" w:cs="Times New Roman" w:eastAsia="Times New Roman" w:hAnsi="Times New Roman"/>
          <w:sz w:val="18"/>
          <w:szCs w:val="18"/>
          <w:color w:val="auto"/>
        </w:rPr>
      </w:pPr>
    </w:p>
    <w:p>
      <w:pPr>
        <w:jc w:val="both"/>
        <w:ind w:firstLine="1304"/>
        <w:spacing w:after="0" w:line="218" w:lineRule="auto"/>
        <w:tabs>
          <w:tab w:leader="none" w:pos="19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You</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Your</w:t>
      </w:r>
      <w:r>
        <w:rPr>
          <w:rFonts w:ascii="Times New Roman" w:cs="Times New Roman" w:eastAsia="Times New Roman" w:hAnsi="Times New Roman"/>
          <w:sz w:val="22"/>
          <w:szCs w:val="22"/>
          <w:color w:val="auto"/>
        </w:rPr>
        <w:t>” means the recipient of the DSUs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DSUs may be transferred by will or by the laws of descent and distribution, the words “you” and “your” shall be deemed to include such person.</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27"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2"/>
          <w:szCs w:val="22"/>
          <w:b w:val="1"/>
          <w:bCs w:val="1"/>
          <w:color w:val="auto"/>
        </w:rPr>
        <w:t>SKYWARD SPECIALTY INSURANCE GROUP, INC. ELECTION FOR DEFERRED RESTRICTED STOCK UNITS BY NONEMPLOYEE DIRECTOR</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([_____] Annual Award Election)</w:t>
      </w: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Election to Receive Deferred Restricted Stock Units</w:t>
      </w: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For the Plan Year referenced below, I hereby elect to receive an award of deferred restricted stock units (“</w:t>
      </w:r>
      <w:r>
        <w:rPr>
          <w:rFonts w:ascii="Times New Roman" w:cs="Times New Roman" w:eastAsia="Times New Roman" w:hAnsi="Times New Roman"/>
          <w:sz w:val="22"/>
          <w:szCs w:val="22"/>
          <w:b w:val="1"/>
          <w:bCs w:val="1"/>
          <w:i w:val="1"/>
          <w:iCs w:val="1"/>
          <w:color w:val="auto"/>
        </w:rPr>
        <w:t>Deferred RSUs</w:t>
      </w:r>
      <w:r>
        <w:rPr>
          <w:rFonts w:ascii="Times New Roman" w:cs="Times New Roman" w:eastAsia="Times New Roman" w:hAnsi="Times New Roman"/>
          <w:sz w:val="22"/>
          <w:szCs w:val="22"/>
          <w:color w:val="auto"/>
        </w:rPr>
        <w:t xml:space="preserve">”) in lieu of any regular (non-deferred) award of restricted stock units or other form of equity award that would otherwise be granted to me as compensation for my services as a nonemployee member of the Board of Directors of Skyward Specialty Insurance Group, Inc.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during the applicable period specified below.</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By making this election (the “</w:t>
      </w:r>
      <w:r>
        <w:rPr>
          <w:rFonts w:ascii="Times New Roman" w:cs="Times New Roman" w:eastAsia="Times New Roman" w:hAnsi="Times New Roman"/>
          <w:sz w:val="22"/>
          <w:szCs w:val="22"/>
          <w:b w:val="1"/>
          <w:bCs w:val="1"/>
          <w:i w:val="1"/>
          <w:iCs w:val="1"/>
          <w:color w:val="auto"/>
        </w:rPr>
        <w:t>Election</w:t>
      </w:r>
      <w:r>
        <w:rPr>
          <w:rFonts w:ascii="Times New Roman" w:cs="Times New Roman" w:eastAsia="Times New Roman" w:hAnsi="Times New Roman"/>
          <w:sz w:val="22"/>
          <w:szCs w:val="22"/>
          <w:color w:val="auto"/>
        </w:rPr>
        <w:t xml:space="preserve">”) I acknowledge that the Deferred RSUs will be granted to me subject to the terms and conditions of the Company’s 2022 Long-Term Incentive Plan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the terms set forth in this Election and the terms of the Deferred Restricted Stock Units Notice and Deferred Restricted Stock Units Agreement which were provided to me along with the form for making the Election.</w:t>
      </w:r>
    </w:p>
    <w:p>
      <w:pPr>
        <w:spacing w:after="0" w:line="197"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Election Applicable to [_____] Plan Year Awards</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This Election applies to any annual equity award that will be granted by the Company to me as part of the compensation for my services as a nonemployee member of the Board of Directors of the Company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Annual Award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during the period commencing January 1, [____] and ending December 31, [____] (the </w:t>
      </w:r>
      <w:r>
        <w:rPr>
          <w:rFonts w:ascii="Times New Roman" w:cs="Times New Roman" w:eastAsia="Times New Roman" w:hAnsi="Times New Roman"/>
          <w:sz w:val="22"/>
          <w:szCs w:val="22"/>
          <w:i w:val="1"/>
          <w:iCs w:val="1"/>
          <w:color w:val="auto"/>
        </w:rPr>
        <w:t>“[____]</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Plan Year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acknowledge that this Election is only applicable with respect to any Annual Award granted to me during the [____] Plan Year,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it will terminate at the end of the [____] Plan Year. I understand that I will be required to timely submit a new election for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subsequent calendar year for which I wish to elect to receive an award of Deferred RSUs.</w:t>
      </w:r>
    </w:p>
    <w:p>
      <w:pPr>
        <w:spacing w:after="0" w:line="219"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Deferred Settlement Election and Acknowledgement</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 acknowledge that the Deferred RSUs that I am electing to receive will include a “deferred settlement” feature. As further specified in the Deferred Restricted Stock Units Agreement, I will not receive settlement of any Deferred RSUs that vest until the earliest to occur of the following dates as specified in accordance with my election below (the “</w:t>
      </w:r>
      <w:r>
        <w:rPr>
          <w:rFonts w:ascii="Times New Roman" w:cs="Times New Roman" w:eastAsia="Times New Roman" w:hAnsi="Times New Roman"/>
          <w:sz w:val="22"/>
          <w:szCs w:val="22"/>
          <w:b w:val="1"/>
          <w:bCs w:val="1"/>
          <w:i w:val="1"/>
          <w:iCs w:val="1"/>
          <w:color w:val="auto"/>
        </w:rPr>
        <w:t>Deferral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u w:val="single" w:color="auto"/>
          <w:color w:val="auto"/>
        </w:rPr>
        <w:t>Instruction</w:t>
      </w:r>
      <w:r>
        <w:rPr>
          <w:rFonts w:ascii="Times New Roman" w:cs="Times New Roman" w:eastAsia="Times New Roman" w:hAnsi="Times New Roman"/>
          <w:sz w:val="22"/>
          <w:szCs w:val="22"/>
          <w:color w:val="auto"/>
        </w:rPr>
        <w:t>: Check only one box below:</w:t>
      </w:r>
    </w:p>
    <w:p>
      <w:pPr>
        <w:spacing w:after="0" w:line="269" w:lineRule="exact"/>
        <w:rPr>
          <w:sz w:val="20"/>
          <w:szCs w:val="20"/>
          <w:color w:val="auto"/>
        </w:rPr>
      </w:pPr>
    </w:p>
    <w:p>
      <w:pPr>
        <w:ind w:left="880" w:hanging="224"/>
        <w:spacing w:after="0"/>
        <w:tabs>
          <w:tab w:leader="none" w:pos="880" w:val="left"/>
        </w:tabs>
        <w:numPr>
          <w:ilvl w:val="0"/>
          <w:numId w:val="80"/>
        </w:numPr>
        <w:rPr>
          <w:rFonts w:ascii="Arial" w:cs="Arial" w:eastAsia="Arial" w:hAnsi="Arial"/>
          <w:sz w:val="25"/>
          <w:szCs w:val="25"/>
          <w:color w:val="auto"/>
        </w:rPr>
      </w:pPr>
      <w:r>
        <w:rPr>
          <w:rFonts w:ascii="Times New Roman" w:cs="Times New Roman" w:eastAsia="Times New Roman" w:hAnsi="Times New Roman"/>
          <w:sz w:val="22"/>
          <w:szCs w:val="22"/>
          <w:color w:val="auto"/>
        </w:rPr>
        <w:t>the fifth anniversary of the grant date of the Deferred RSUs</w:t>
      </w:r>
    </w:p>
    <w:p>
      <w:pPr>
        <w:spacing w:after="0" w:line="266" w:lineRule="exact"/>
        <w:rPr>
          <w:rFonts w:ascii="Arial" w:cs="Arial" w:eastAsia="Arial" w:hAnsi="Arial"/>
          <w:sz w:val="25"/>
          <w:szCs w:val="25"/>
          <w:color w:val="auto"/>
        </w:rPr>
      </w:pPr>
    </w:p>
    <w:p>
      <w:pPr>
        <w:ind w:left="880" w:hanging="224"/>
        <w:spacing w:after="0"/>
        <w:tabs>
          <w:tab w:leader="none" w:pos="880" w:val="left"/>
        </w:tabs>
        <w:numPr>
          <w:ilvl w:val="0"/>
          <w:numId w:val="80"/>
        </w:numPr>
        <w:rPr>
          <w:rFonts w:ascii="Arial" w:cs="Arial" w:eastAsia="Arial" w:hAnsi="Arial"/>
          <w:sz w:val="25"/>
          <w:szCs w:val="25"/>
          <w:color w:val="auto"/>
        </w:rPr>
      </w:pPr>
      <w:r>
        <w:rPr>
          <w:rFonts w:ascii="Times New Roman" w:cs="Times New Roman" w:eastAsia="Times New Roman" w:hAnsi="Times New Roman"/>
          <w:sz w:val="22"/>
          <w:szCs w:val="22"/>
          <w:color w:val="auto"/>
        </w:rPr>
        <w:t>the tenth anniversary of the grant date of the Deferred RSUs</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58" w:lineRule="exact"/>
        <w:rPr>
          <w:sz w:val="20"/>
          <w:szCs w:val="20"/>
          <w:color w:val="auto"/>
        </w:rPr>
      </w:pPr>
    </w:p>
    <w:p>
      <w:pPr>
        <w:ind w:left="980" w:hanging="324"/>
        <w:spacing w:after="0" w:line="251" w:lineRule="auto"/>
        <w:tabs>
          <w:tab w:leader="none" w:pos="889" w:val="left"/>
        </w:tabs>
        <w:numPr>
          <w:ilvl w:val="0"/>
          <w:numId w:val="81"/>
        </w:numPr>
        <w:rPr>
          <w:rFonts w:ascii="Arial" w:cs="Arial" w:eastAsia="Arial" w:hAnsi="Arial"/>
          <w:sz w:val="25"/>
          <w:szCs w:val="25"/>
          <w:color w:val="auto"/>
        </w:rPr>
      </w:pPr>
      <w:r>
        <w:rPr>
          <w:rFonts w:ascii="Times New Roman" w:cs="Times New Roman" w:eastAsia="Times New Roman" w:hAnsi="Times New Roman"/>
          <w:sz w:val="22"/>
          <w:szCs w:val="22"/>
          <w:color w:val="auto"/>
        </w:rPr>
        <w:t>the date of my separation of service from the Company for any reason (within the meaning of Section 409A of the Internal Revenue Code)</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 acknowledge that as further specified in the Deferred Restricted Stock Units Agreement, I will receive settlement of my Deferred RSUs on such date selected by the Company that is upon or as soon as administratively practical following the Deferral Date, and in all cases within sixty (60) days after the Deferral Date.</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Notwithstanding my deferral election above, I acknowledge that I will earlier receive settlement of my Deferred RSUs if there is an earlier Change in Control (as such term is defined in the Plan) which transaction also constitutes “a change in the ownership or effective control of the Company, or in the ownership of a substantial portion of the assets of the Company” in each case within the meaning of Section 409A of the Internal Revenue Code (“</w:t>
      </w:r>
      <w:r>
        <w:rPr>
          <w:rFonts w:ascii="Times New Roman" w:cs="Times New Roman" w:eastAsia="Times New Roman" w:hAnsi="Times New Roman"/>
          <w:sz w:val="22"/>
          <w:szCs w:val="22"/>
          <w:b w:val="1"/>
          <w:bCs w:val="1"/>
          <w:i w:val="1"/>
          <w:iCs w:val="1"/>
          <w:color w:val="auto"/>
        </w:rPr>
        <w:t>409A Change in Control</w:t>
      </w:r>
      <w:r>
        <w:rPr>
          <w:rFonts w:ascii="Times New Roman" w:cs="Times New Roman" w:eastAsia="Times New Roman" w:hAnsi="Times New Roman"/>
          <w:sz w:val="22"/>
          <w:szCs w:val="22"/>
          <w:color w:val="auto"/>
        </w:rPr>
        <w:t>”). In the event of a 409A Change in Control prior to the Deferral Date, I acknowledge that I will receive settlement of my Deferred RSUs immediately prior to or within sixty (60) days after the 409A Change in Control.</w:t>
      </w:r>
    </w:p>
    <w:p>
      <w:pPr>
        <w:spacing w:after="0" w:line="204" w:lineRule="exact"/>
        <w:rPr>
          <w:sz w:val="20"/>
          <w:szCs w:val="20"/>
          <w:color w:val="auto"/>
        </w:rPr>
      </w:pPr>
    </w:p>
    <w:p>
      <w:pPr>
        <w:jc w:val="both"/>
        <w:ind w:firstLine="8"/>
        <w:spacing w:after="0" w:line="259" w:lineRule="auto"/>
        <w:tabs>
          <w:tab w:leader="none" w:pos="64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Submission of Election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acknowledge that to be effective, I must submit this Election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[_____________],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People &amp; Administrative Officer </w:t>
      </w:r>
      <w:r>
        <w:rPr>
          <w:rFonts w:ascii="Times New Roman" w:cs="Times New Roman" w:eastAsia="Times New Roman" w:hAnsi="Times New Roman"/>
          <w:sz w:val="22"/>
          <w:szCs w:val="22"/>
          <w:color w:val="auto"/>
        </w:rPr>
        <w:t>at the contact address listed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no later than 5:00 P.M. Central Time on [___________]</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Election Deadline</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[__________], Chief People &amp; Administrative Officer</w:t>
      </w:r>
    </w:p>
    <w:p>
      <w:pPr>
        <w:spacing w:after="0" w:line="2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4" w:lineRule="exact"/>
        <w:rPr>
          <w:sz w:val="20"/>
          <w:szCs w:val="20"/>
          <w:color w:val="auto"/>
        </w:rPr>
      </w:pPr>
    </w:p>
    <w:p>
      <w:pPr>
        <w:ind w:left="4180" w:hanging="314"/>
        <w:spacing w:after="0"/>
        <w:tabs>
          <w:tab w:leader="none" w:pos="418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 General Counsel</w:t>
      </w:r>
    </w:p>
    <w:p>
      <w:pPr>
        <w:ind w:left="4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[_________________________]</w:t>
      </w:r>
    </w:p>
    <w:p>
      <w:pPr>
        <w:spacing w:after="0" w:line="200" w:lineRule="exact"/>
        <w:rPr>
          <w:rFonts w:ascii="Times New Roman" w:cs="Times New Roman" w:eastAsia="Times New Roman" w:hAnsi="Times New Roman"/>
          <w:sz w:val="22"/>
          <w:szCs w:val="22"/>
          <w:color w:val="auto"/>
        </w:rPr>
      </w:pPr>
    </w:p>
    <w:p>
      <w:pPr>
        <w:spacing w:after="0" w:line="281" w:lineRule="exact"/>
        <w:rPr>
          <w:rFonts w:ascii="Times New Roman" w:cs="Times New Roman" w:eastAsia="Times New Roman" w:hAnsi="Times New Roman"/>
          <w:sz w:val="22"/>
          <w:szCs w:val="22"/>
          <w:color w:val="auto"/>
        </w:rPr>
      </w:pPr>
    </w:p>
    <w:p>
      <w:pPr>
        <w:ind w:firstLine="8"/>
        <w:spacing w:after="0" w:line="275" w:lineRule="auto"/>
        <w:tabs>
          <w:tab w:leader="none" w:pos="6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Irrevocability of Election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acknowledge and agree that after expiration of the Election Deadline, this Election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irrevocable; I am not permitted to revoke or change this Election after the Election Deadline.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-13970</wp:posOffset>
            </wp:positionV>
            <wp:extent cx="8229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-13970</wp:posOffset>
            </wp:positionV>
            <wp:extent cx="6858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-13970</wp:posOffset>
            </wp:positionV>
            <wp:extent cx="8229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Severance Agreement</w:t>
      </w:r>
    </w:p>
    <w:p>
      <w:pPr>
        <w:spacing w:after="0" w:line="31"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For [_________] (“Employee”)</w:t>
      </w:r>
    </w:p>
    <w:p>
      <w:pPr>
        <w:spacing w:after="0" w:line="2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If Skyward Service Company (the “Company”) terminates Employee’s employment without cause or Employee terminates his/her employment for “Good Reason,” the Company will pay the Employee an amount equal to twelve (12) months of Employee’s base salary, following the termination date, payable in roughly equal installments in accordance with the Company’s normal payroll practices, the first installment of which shall be paid upon the execution of a release and waiver by the Employee, the timing of such payment to be adjusted as necessary to conform with 409A requirements. The Company will also provide Employee with health insurance benefits during for twelve (12) months following the termination date through the payment of Employee’s then applicable COBRA premiums (the payments in this paragraph collective the “Severance Payments”). For purposes of this Agreement, “</w:t>
      </w:r>
      <w:r>
        <w:rPr>
          <w:rFonts w:ascii="Arial" w:cs="Arial" w:eastAsia="Arial" w:hAnsi="Arial"/>
          <w:sz w:val="20"/>
          <w:szCs w:val="20"/>
          <w:u w:val="single" w:color="auto"/>
          <w:color w:val="auto"/>
        </w:rPr>
        <w:t>Good Reason</w:t>
      </w:r>
      <w:r>
        <w:rPr>
          <w:rFonts w:ascii="Arial" w:cs="Arial" w:eastAsia="Arial" w:hAnsi="Arial"/>
          <w:sz w:val="20"/>
          <w:szCs w:val="20"/>
          <w:color w:val="auto"/>
        </w:rPr>
        <w:t>” shall mean:</w:t>
      </w:r>
    </w:p>
    <w:p>
      <w:pPr>
        <w:spacing w:after="0" w:line="174" w:lineRule="exact"/>
        <w:rPr>
          <w:sz w:val="20"/>
          <w:szCs w:val="20"/>
          <w:color w:val="auto"/>
        </w:rPr>
      </w:pPr>
    </w:p>
    <w:p>
      <w:pPr>
        <w:ind w:left="640" w:hanging="308"/>
        <w:spacing w:after="0"/>
        <w:tabs>
          <w:tab w:leader="none" w:pos="640" w:val="left"/>
        </w:tabs>
        <w:numPr>
          <w:ilvl w:val="0"/>
          <w:numId w:val="85"/>
        </w:numPr>
        <w:rPr>
          <w:rFonts w:ascii="Calibri" w:cs="Calibri" w:eastAsia="Calibri" w:hAnsi="Calibri"/>
          <w:sz w:val="21"/>
          <w:szCs w:val="21"/>
          <w:color w:val="auto"/>
        </w:rPr>
      </w:pPr>
      <w:r>
        <w:rPr>
          <w:rFonts w:ascii="Arial" w:cs="Arial" w:eastAsia="Arial" w:hAnsi="Arial"/>
          <w:sz w:val="19"/>
          <w:szCs w:val="19"/>
          <w:color w:val="auto"/>
        </w:rPr>
        <w:t>a material diminution by the Company of Employee’s duties and responsibilities (except, in each case, in connection with</w:t>
      </w:r>
    </w:p>
    <w:p>
      <w:pPr>
        <w:spacing w:after="0" w:line="14" w:lineRule="exact"/>
        <w:rPr>
          <w:sz w:val="20"/>
          <w:szCs w:val="20"/>
          <w:color w:val="auto"/>
        </w:rPr>
      </w:pPr>
    </w:p>
    <w:p>
      <w:pPr>
        <w:ind w:left="340"/>
        <w:spacing w:after="0" w:line="271" w:lineRule="auto"/>
        <w:rPr>
          <w:sz w:val="20"/>
          <w:szCs w:val="20"/>
          <w:color w:val="auto"/>
        </w:rPr>
      </w:pPr>
      <w:r>
        <w:rPr>
          <w:rFonts w:ascii="Arial" w:cs="Arial" w:eastAsia="Arial" w:hAnsi="Arial"/>
          <w:sz w:val="20"/>
          <w:szCs w:val="20"/>
          <w:color w:val="auto"/>
        </w:rPr>
        <w:t>the termination of Employee’s employment due to Employee’s disability or death or temporarily as a result of the Employee’s illness or other absence);</w:t>
      </w:r>
    </w:p>
    <w:p>
      <w:pPr>
        <w:spacing w:after="0" w:line="189" w:lineRule="exact"/>
        <w:rPr>
          <w:sz w:val="20"/>
          <w:szCs w:val="20"/>
          <w:color w:val="auto"/>
        </w:rPr>
      </w:pPr>
    </w:p>
    <w:p>
      <w:pPr>
        <w:ind w:left="640" w:hanging="308"/>
        <w:spacing w:after="0"/>
        <w:tabs>
          <w:tab w:leader="none" w:pos="640" w:val="left"/>
        </w:tabs>
        <w:numPr>
          <w:ilvl w:val="0"/>
          <w:numId w:val="86"/>
        </w:numPr>
        <w:rPr>
          <w:rFonts w:ascii="Calibri" w:cs="Calibri" w:eastAsia="Calibri" w:hAnsi="Calibri"/>
          <w:sz w:val="22"/>
          <w:szCs w:val="22"/>
          <w:color w:val="auto"/>
        </w:rPr>
      </w:pPr>
      <w:r>
        <w:rPr>
          <w:rFonts w:ascii="Arial" w:cs="Arial" w:eastAsia="Arial" w:hAnsi="Arial"/>
          <w:sz w:val="20"/>
          <w:szCs w:val="20"/>
          <w:color w:val="auto"/>
        </w:rPr>
        <w:t>a reduction in Employee’s Base Salary of more than 10% without Employee’s consent; or</w:t>
      </w:r>
    </w:p>
    <w:p>
      <w:pPr>
        <w:spacing w:after="0" w:line="238" w:lineRule="exact"/>
        <w:rPr>
          <w:rFonts w:ascii="Calibri" w:cs="Calibri" w:eastAsia="Calibri" w:hAnsi="Calibri"/>
          <w:sz w:val="22"/>
          <w:szCs w:val="22"/>
          <w:color w:val="auto"/>
        </w:rPr>
      </w:pPr>
    </w:p>
    <w:p>
      <w:pPr>
        <w:ind w:left="340" w:right="20" w:hanging="8"/>
        <w:spacing w:after="0" w:line="259" w:lineRule="auto"/>
        <w:tabs>
          <w:tab w:leader="none" w:pos="657" w:val="left"/>
        </w:tabs>
        <w:numPr>
          <w:ilvl w:val="0"/>
          <w:numId w:val="86"/>
        </w:numPr>
        <w:rPr>
          <w:rFonts w:ascii="Calibri" w:cs="Calibri" w:eastAsia="Calibri" w:hAnsi="Calibri"/>
          <w:sz w:val="22"/>
          <w:szCs w:val="22"/>
          <w:color w:val="auto"/>
        </w:rPr>
      </w:pPr>
      <w:r>
        <w:rPr>
          <w:rFonts w:ascii="Arial" w:cs="Arial" w:eastAsia="Arial" w:hAnsi="Arial"/>
          <w:sz w:val="20"/>
          <w:szCs w:val="20"/>
          <w:color w:val="auto"/>
        </w:rPr>
        <w:t>assignment by the Company of duties and responsibilities inconsistent with Employee’s position without Employee’s consent.</w:t>
      </w:r>
    </w:p>
    <w:p>
      <w:pPr>
        <w:spacing w:after="0" w:line="3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The Severance Payments are conditional on Employee complying with any non-solicitation obligations owed to the Company under any Agreement, including under any incentive programs, (the “Restrictive Covenants”), as well as execution of a standard release and waiver. If Employee breaches any Restrictive Covenants, or if Employee challenges, or participates in any challenge of, the enforceability or the scope of any Restrictive Covenants in any regard, or if any Restrictive Covenant is held to be unenforceable, overbroad, or void as a matter of law for any reason, then Employee agrees to forfeit all of his/her rights to any Severance Payments that have not yet been paid and to return any portion of any Severance Payments previously paid under this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that Employee shall retain $1,000 of the Severance Payments in consideration for an effective and unrevoked waiver and release provided in accordance with this Agreement.</w:t>
      </w:r>
    </w:p>
    <w:p>
      <w:pPr>
        <w:sectPr>
          <w:pgSz w:w="11900" w:h="16838" w:orient="portrait"/>
          <w:cols w:equalWidth="0" w:num="1">
            <w:col w:w="11240"/>
          </w:cols>
          <w:pgMar w:left="320" w:top="114" w:right="3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Employee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Skyward Services Company</w:t>
      </w:r>
    </w:p>
    <w:p>
      <w:pPr>
        <w:spacing w:after="0" w:line="200" w:lineRule="exact"/>
        <w:rPr>
          <w:sz w:val="20"/>
          <w:szCs w:val="20"/>
          <w:color w:val="auto"/>
        </w:rPr>
      </w:pPr>
    </w:p>
    <w:p>
      <w:pPr>
        <w:sectPr>
          <w:pgSz w:w="11900" w:h="16838" w:orient="portrait"/>
          <w:cols w:equalWidth="0" w:num="2">
            <w:col w:w="1480" w:space="720"/>
            <w:col w:w="9040"/>
          </w:cols>
          <w:pgMar w:left="320" w:top="114"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spacing w:after="0"/>
        <w:tabs>
          <w:tab w:leader="none" w:pos="5160" w:val="left"/>
        </w:tabs>
        <w:rPr>
          <w:sz w:val="20"/>
          <w:szCs w:val="20"/>
          <w:color w:val="auto"/>
        </w:rPr>
      </w:pPr>
      <w:r>
        <w:rPr>
          <w:rFonts w:ascii="Arial" w:cs="Arial" w:eastAsia="Arial" w:hAnsi="Arial"/>
          <w:sz w:val="19"/>
          <w:szCs w:val="19"/>
          <w:color w:val="auto"/>
        </w:rPr>
        <w:t>___________________________________________</w:t>
      </w:r>
      <w:r>
        <w:rPr>
          <w:sz w:val="20"/>
          <w:szCs w:val="20"/>
          <w:color w:val="auto"/>
        </w:rPr>
        <w:tab/>
      </w:r>
      <w:r>
        <w:rPr>
          <w:rFonts w:ascii="Arial" w:cs="Arial" w:eastAsia="Arial" w:hAnsi="Arial"/>
          <w:sz w:val="19"/>
          <w:szCs w:val="19"/>
          <w:color w:val="auto"/>
        </w:rPr>
        <w:t>______________________________________________</w:t>
      </w:r>
    </w:p>
    <w:p>
      <w:pPr>
        <w:spacing w:after="0" w:line="43"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______________, Chief People Officer Date</w:t>
      </w:r>
    </w:p>
    <w:p>
      <w:pPr>
        <w:sectPr>
          <w:pgSz w:w="11900" w:h="16838" w:orient="portrait"/>
          <w:cols w:equalWidth="0" w:num="1">
            <w:col w:w="11240"/>
          </w:cols>
          <w:pgMar w:left="320" w:top="114" w:right="339" w:bottom="1440" w:gutter="0" w:footer="0" w:header="0"/>
          <w:type w:val="continuous"/>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EMPLOYMENT AGREEMENT</w:t>
      </w:r>
    </w:p>
    <w:p>
      <w:pPr>
        <w:spacing w:after="0" w:line="39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SECOND AMENDMENT TO EMPLOYMENT AGREEMENT (“First Amendment”) is effective as of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March, 2025 by and among SKYWARD SPECIALTY INSURANCE GROUP, INC., SKYWARD SERVICE COMPANY, (together “Company’), and ANDREW ROBINSON, (“Executive”).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WITNESSETH:</w:t>
      </w:r>
    </w:p>
    <w:p>
      <w:pPr>
        <w:spacing w:after="0" w:line="247"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2"/>
          <w:szCs w:val="22"/>
          <w:color w:val="auto"/>
        </w:rPr>
        <w:t>WHEREAS, the Company and the Executive entered into that certain Employment Agreement effective May 22, 2020, subsequently amended effective January 1, 2022, (“Employment Agreement”), establishing terms and conditions of Executive’s employment with the Company; and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Executive desire to amend certain provisions of the Employment Agreement;</w:t>
      </w:r>
    </w:p>
    <w:p>
      <w:pPr>
        <w:spacing w:after="0" w:line="260" w:lineRule="exact"/>
        <w:rPr>
          <w:sz w:val="20"/>
          <w:szCs w:val="20"/>
          <w:color w:val="auto"/>
        </w:rPr>
      </w:pPr>
    </w:p>
    <w:p>
      <w:pPr>
        <w:ind w:right="84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valuable consideration, the receipt and sufficiency of which are hereby acknowledged, the parties agree as follows:</w:t>
      </w:r>
    </w:p>
    <w:p>
      <w:pPr>
        <w:spacing w:after="0" w:line="198" w:lineRule="exact"/>
        <w:rPr>
          <w:sz w:val="20"/>
          <w:szCs w:val="20"/>
          <w:color w:val="auto"/>
        </w:rPr>
      </w:pPr>
    </w:p>
    <w:p>
      <w:pPr>
        <w:ind w:left="980" w:hanging="324"/>
        <w:spacing w:after="0" w:line="271" w:lineRule="auto"/>
        <w:tabs>
          <w:tab w:leader="none" w:pos="9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4.1 is amended so that Executive’s Base Salary is $1,000,000 and will be reviewed annually by the Board, which can then adjust the Base Salary upward in its discretion.</w:t>
      </w:r>
    </w:p>
    <w:p>
      <w:pPr>
        <w:spacing w:after="0" w:line="184"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9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4.2 is amended so that Executive’s target Annual Bonus is at least 150% of his Base Salary and will be reviewed annually by the Board, which can then adjust the target Annual Bonus upward in its discretion.</w:t>
      </w:r>
    </w:p>
    <w:p>
      <w:pPr>
        <w:spacing w:after="0" w:line="184"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added to the end of Paragraph 5.2:</w:t>
      </w:r>
    </w:p>
    <w:p>
      <w:pPr>
        <w:spacing w:after="0" w:line="260" w:lineRule="exact"/>
        <w:rPr>
          <w:sz w:val="20"/>
          <w:szCs w:val="20"/>
          <w:color w:val="auto"/>
        </w:rPr>
      </w:pPr>
    </w:p>
    <w:p>
      <w:pPr>
        <w:ind w:left="980" w:right="40"/>
        <w:spacing w:after="0" w:line="271" w:lineRule="auto"/>
        <w:rPr>
          <w:sz w:val="20"/>
          <w:szCs w:val="20"/>
          <w:color w:val="auto"/>
        </w:rPr>
      </w:pPr>
      <w:r>
        <w:rPr>
          <w:rFonts w:ascii="Times New Roman" w:cs="Times New Roman" w:eastAsia="Times New Roman" w:hAnsi="Times New Roman"/>
          <w:sz w:val="22"/>
          <w:szCs w:val="22"/>
          <w:color w:val="auto"/>
        </w:rPr>
        <w:t>“The amounts in this paragraph are subject to annual review by the Board and can be adjusted upward by the Board in its discretion.”</w:t>
      </w:r>
    </w:p>
    <w:p>
      <w:pPr>
        <w:spacing w:after="0" w:line="185" w:lineRule="exact"/>
        <w:rPr>
          <w:sz w:val="20"/>
          <w:szCs w:val="20"/>
          <w:color w:val="auto"/>
        </w:rPr>
      </w:pPr>
    </w:p>
    <w:p>
      <w:pPr>
        <w:jc w:val="both"/>
        <w:ind w:firstLine="275"/>
        <w:spacing w:after="0" w:line="257" w:lineRule="auto"/>
        <w:rPr>
          <w:sz w:val="20"/>
          <w:szCs w:val="20"/>
          <w:color w:val="auto"/>
        </w:rPr>
      </w:pPr>
      <w:r>
        <w:rPr>
          <w:rFonts w:ascii="Times New Roman" w:cs="Times New Roman" w:eastAsia="Times New Roman" w:hAnsi="Times New Roman"/>
          <w:sz w:val="22"/>
          <w:szCs w:val="22"/>
          <w:color w:val="auto"/>
        </w:rPr>
        <w:t>Except as modified by this Second Amendment, the Employment Agreement remains unchanged and continues in full force and effect and, along with this Second Amendment, constitutes the entire contract and understanding between the parties hereto and supersedes all prior agreements, arrangements and understandings related to this matter.</w:t>
      </w:r>
    </w:p>
    <w:p>
      <w:pPr>
        <w:sectPr>
          <w:pgSz w:w="11900" w:h="16838" w:orient="portrait"/>
          <w:cols w:equalWidth="0" w:num="1">
            <w:col w:w="11240"/>
          </w:cols>
          <w:pgMar w:left="320" w:top="117" w:right="339" w:bottom="1440" w:gutter="0" w:footer="0" w:header="0"/>
        </w:sectPr>
      </w:pPr>
    </w:p>
    <w:bookmarkStart w:id="130" w:name="page131"/>
    <w:bookmarkEnd w:id="130"/>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parties have executed this Second Amendment, effective the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day of March,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1"/>
          <w:szCs w:val="21"/>
          <w:b w:val="1"/>
          <w:bCs w:val="1"/>
          <w:color w:val="auto"/>
        </w:rPr>
        <w:t>EXECUTIVE: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SKYWARD SPECIALTY INSURANCE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SKYWARD SERVICE COMPANY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/s/Thomas Schmitt</w:t>
            </w:r>
          </w:p>
        </w:tc>
        <w:tc>
          <w:tcPr>
            <w:tcW w:w="3340" w:type="dxa"/>
            <w:vAlign w:val="bottom"/>
            <w:gridSpan w:val="5"/>
          </w:tcPr>
          <w:p>
            <w:pPr>
              <w:jc w:val="center"/>
              <w:ind w:right="900"/>
              <w:spacing w:after="0"/>
              <w:rPr>
                <w:sz w:val="20"/>
                <w:szCs w:val="20"/>
                <w:color w:val="auto"/>
              </w:rPr>
            </w:pPr>
            <w:r>
              <w:rPr>
                <w:rFonts w:ascii="Times New Roman" w:cs="Times New Roman" w:eastAsia="Times New Roman" w:hAnsi="Times New Roman"/>
                <w:sz w:val="22"/>
                <w:szCs w:val="22"/>
                <w:color w:val="auto"/>
              </w:rPr>
              <w:t>By:   /s/Andrew Robinson</w:t>
            </w:r>
          </w:p>
        </w:tc>
      </w:tr>
      <w:tr>
        <w:trPr>
          <w:trHeight w:val="20"/>
        </w:trPr>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7"/>
        </w:trPr>
        <w:tc>
          <w:tcPr>
            <w:tcW w:w="2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Name: Thomas Schmitt</w:t>
            </w:r>
          </w:p>
        </w:tc>
        <w:tc>
          <w:tcPr>
            <w:tcW w:w="3340" w:type="dxa"/>
            <w:vAlign w:val="bottom"/>
            <w:gridSpan w:val="5"/>
          </w:tcPr>
          <w:p>
            <w:pPr>
              <w:jc w:val="center"/>
              <w:ind w:right="940"/>
              <w:spacing w:after="0"/>
              <w:rPr>
                <w:sz w:val="20"/>
                <w:szCs w:val="20"/>
                <w:color w:val="auto"/>
              </w:rPr>
            </w:pPr>
            <w:r>
              <w:rPr>
                <w:rFonts w:ascii="Times New Roman" w:cs="Times New Roman" w:eastAsia="Times New Roman" w:hAnsi="Times New Roman"/>
                <w:sz w:val="22"/>
                <w:szCs w:val="22"/>
                <w:color w:val="auto"/>
                <w:w w:val="97"/>
              </w:rPr>
              <w:t>Name: Andrew Robinson</w:t>
            </w:r>
          </w:p>
        </w:tc>
      </w:tr>
      <w:tr>
        <w:trPr>
          <w:trHeight w:val="256"/>
        </w:trPr>
        <w:tc>
          <w:tcPr>
            <w:tcW w:w="2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Title: Chief People Officer</w:t>
            </w:r>
          </w:p>
        </w:tc>
        <w:tc>
          <w:tcPr>
            <w:tcW w:w="340" w:type="dxa"/>
            <w:vAlign w:val="bottom"/>
          </w:tcPr>
          <w:p>
            <w:pPr>
              <w:spacing w:after="0"/>
              <w:rPr>
                <w:sz w:val="22"/>
                <w:szCs w:val="22"/>
                <w:color w:val="auto"/>
              </w:rPr>
            </w:pPr>
          </w:p>
        </w:tc>
        <w:tc>
          <w:tcPr>
            <w:tcW w:w="30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Date of Execution: March 1, 2025</w:t>
            </w:r>
          </w:p>
        </w:tc>
      </w:tr>
      <w:tr>
        <w:trPr>
          <w:trHeight w:val="282"/>
        </w:trPr>
        <w:tc>
          <w:tcPr>
            <w:tcW w:w="57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Date of Execution: March 1, 2025</w:t>
            </w:r>
          </w:p>
        </w:tc>
      </w:tr>
      <w:tr>
        <w:trPr>
          <w:trHeight w:val="447"/>
        </w:trPr>
        <w:tc>
          <w:tcPr>
            <w:tcW w:w="18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Address for Notices:</w:t>
            </w:r>
          </w:p>
        </w:tc>
        <w:tc>
          <w:tcPr>
            <w:tcW w:w="6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Address for Notices:</w:t>
            </w: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77"/>
        </w:trPr>
        <w:tc>
          <w:tcPr>
            <w:tcW w:w="2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800 Gessner, Suite 600</w:t>
            </w:r>
          </w:p>
        </w:tc>
        <w:tc>
          <w:tcPr>
            <w:tcW w:w="340" w:type="dxa"/>
            <w:vAlign w:val="bottom"/>
          </w:tcPr>
          <w:p>
            <w:pPr>
              <w:spacing w:after="0"/>
              <w:rPr>
                <w:sz w:val="24"/>
                <w:szCs w:val="24"/>
                <w:color w:val="auto"/>
              </w:rPr>
            </w:pPr>
          </w:p>
        </w:tc>
        <w:tc>
          <w:tcPr>
            <w:tcW w:w="30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800 Gessner, Suite 600</w:t>
            </w:r>
          </w:p>
        </w:tc>
      </w:tr>
      <w:tr>
        <w:trPr>
          <w:trHeight w:val="256"/>
        </w:trPr>
        <w:tc>
          <w:tcPr>
            <w:tcW w:w="57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Houston, Texas 77024  Houston, Texas 77024</w:t>
            </w:r>
          </w:p>
        </w:tc>
      </w:tr>
      <w:tr>
        <w:trPr>
          <w:trHeight w:val="282"/>
        </w:trPr>
        <w:tc>
          <w:tcPr>
            <w:tcW w:w="24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Attention: General Counsel</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w w:val="97"/>
              </w:rPr>
              <w:t>Attention: Andrew Robinson</w:t>
            </w:r>
          </w:p>
        </w:tc>
      </w:tr>
    </w:tbl>
    <w:p>
      <w:pPr>
        <w:sectPr>
          <w:pgSz w:w="11900" w:h="16838" w:orient="portrait"/>
          <w:cols w:equalWidth="0" w:num="1">
            <w:col w:w="10139"/>
          </w:cols>
          <w:pgMar w:left="320" w:top="1440" w:right="1440"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1802765</wp:posOffset>
            </wp:positionH>
            <wp:positionV relativeFrom="page">
              <wp:posOffset>911860</wp:posOffset>
            </wp:positionV>
            <wp:extent cx="3943350" cy="8401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3943350" cy="84010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4126230</wp:posOffset>
            </wp:positionV>
            <wp:extent cx="619760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2"/>
          <w:szCs w:val="42"/>
          <w:b w:val="1"/>
          <w:bCs w:val="1"/>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163195</wp:posOffset>
            </wp:positionV>
            <wp:extent cx="619760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9"/>
          <w:szCs w:val="29"/>
          <w:color w:val="auto"/>
        </w:rPr>
        <w:t>Adopted: 2023-01-12</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9"/>
          <w:szCs w:val="29"/>
          <w:color w:val="auto"/>
        </w:rPr>
        <w:t>Last Amended: 2024-11-07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605790</wp:posOffset>
            </wp:positionV>
            <wp:extent cx="1217295" cy="1054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1217295" cy="10541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1.  Introduction.......................................…..................................................................................................3</w:t>
      </w:r>
    </w:p>
    <w:p>
      <w:pPr>
        <w:spacing w:after="0" w:line="96" w:lineRule="exact"/>
        <w:rPr>
          <w:sz w:val="20"/>
          <w:szCs w:val="20"/>
          <w:color w:val="auto"/>
        </w:rPr>
      </w:pPr>
    </w:p>
    <w:p>
      <w:pPr>
        <w:ind w:left="340"/>
        <w:spacing w:after="0"/>
        <w:tabs>
          <w:tab w:leader="dot" w:pos="9360" w:val="left"/>
        </w:tabs>
        <w:rPr>
          <w:sz w:val="20"/>
          <w:szCs w:val="20"/>
          <w:color w:val="auto"/>
        </w:rPr>
      </w:pPr>
      <w:r>
        <w:rPr>
          <w:rFonts w:ascii="Times New Roman" w:cs="Times New Roman" w:eastAsia="Times New Roman" w:hAnsi="Times New Roman"/>
          <w:sz w:val="22"/>
          <w:szCs w:val="22"/>
          <w:color w:val="auto"/>
        </w:rPr>
        <w:t>2.  Applicability</w:t>
      </w:r>
      <w:r>
        <w:rPr>
          <w:sz w:val="20"/>
          <w:szCs w:val="20"/>
          <w:color w:val="auto"/>
        </w:rPr>
        <w:tab/>
      </w:r>
      <w:r>
        <w:rPr>
          <w:rFonts w:ascii="Times New Roman" w:cs="Times New Roman" w:eastAsia="Times New Roman" w:hAnsi="Times New Roman"/>
          <w:sz w:val="22"/>
          <w:szCs w:val="22"/>
          <w:color w:val="auto"/>
        </w:rPr>
        <w:t>3</w:t>
      </w:r>
    </w:p>
    <w:p>
      <w:pPr>
        <w:spacing w:after="0" w:line="71" w:lineRule="exact"/>
        <w:rPr>
          <w:sz w:val="20"/>
          <w:szCs w:val="20"/>
          <w:color w:val="auto"/>
        </w:rPr>
      </w:pPr>
    </w:p>
    <w:p>
      <w:pPr>
        <w:ind w:left="340"/>
        <w:spacing w:after="0"/>
        <w:tabs>
          <w:tab w:leader="dot" w:pos="9220" w:val="left"/>
        </w:tabs>
        <w:rPr>
          <w:sz w:val="20"/>
          <w:szCs w:val="20"/>
          <w:color w:val="auto"/>
        </w:rPr>
      </w:pPr>
      <w:r>
        <w:rPr>
          <w:rFonts w:ascii="Times New Roman" w:cs="Times New Roman" w:eastAsia="Times New Roman" w:hAnsi="Times New Roman"/>
          <w:sz w:val="22"/>
          <w:szCs w:val="22"/>
          <w:color w:val="auto"/>
        </w:rPr>
        <w:t>3.  Policy Statement</w:t>
      </w:r>
      <w:r>
        <w:rPr>
          <w:sz w:val="20"/>
          <w:szCs w:val="20"/>
          <w:color w:val="auto"/>
        </w:rPr>
        <w:tab/>
      </w:r>
      <w:r>
        <w:rPr>
          <w:rFonts w:ascii="Times New Roman" w:cs="Times New Roman" w:eastAsia="Times New Roman" w:hAnsi="Times New Roman"/>
          <w:sz w:val="19"/>
          <w:szCs w:val="19"/>
          <w:color w:val="auto"/>
        </w:rPr>
        <w:t>3</w:t>
      </w:r>
    </w:p>
    <w:p>
      <w:pPr>
        <w:spacing w:after="0" w:line="85" w:lineRule="exact"/>
        <w:rPr>
          <w:sz w:val="20"/>
          <w:szCs w:val="20"/>
          <w:color w:val="auto"/>
        </w:rPr>
      </w:pPr>
    </w:p>
    <w:p>
      <w:pPr>
        <w:ind w:left="340"/>
        <w:spacing w:after="0"/>
        <w:tabs>
          <w:tab w:leader="dot" w:pos="8980" w:val="left"/>
        </w:tabs>
        <w:rPr>
          <w:sz w:val="20"/>
          <w:szCs w:val="20"/>
          <w:color w:val="auto"/>
        </w:rPr>
      </w:pPr>
      <w:r>
        <w:rPr>
          <w:rFonts w:ascii="Times New Roman" w:cs="Times New Roman" w:eastAsia="Times New Roman" w:hAnsi="Times New Roman"/>
          <w:sz w:val="22"/>
          <w:szCs w:val="22"/>
          <w:color w:val="auto"/>
        </w:rPr>
        <w:t>4.  Penalties for Insider Trading</w:t>
      </w:r>
      <w:r>
        <w:rPr>
          <w:sz w:val="20"/>
          <w:szCs w:val="20"/>
          <w:color w:val="auto"/>
        </w:rPr>
        <w:tab/>
      </w:r>
      <w:r>
        <w:rPr>
          <w:rFonts w:ascii="Times New Roman" w:cs="Times New Roman" w:eastAsia="Times New Roman" w:hAnsi="Times New Roman"/>
          <w:sz w:val="19"/>
          <w:szCs w:val="19"/>
          <w:color w:val="auto"/>
        </w:rPr>
        <w:t>3</w:t>
      </w:r>
    </w:p>
    <w:p>
      <w:pPr>
        <w:spacing w:after="0" w:line="71" w:lineRule="exact"/>
        <w:rPr>
          <w:sz w:val="20"/>
          <w:szCs w:val="20"/>
          <w:color w:val="auto"/>
        </w:rPr>
      </w:pPr>
    </w:p>
    <w:p>
      <w:pPr>
        <w:ind w:left="340"/>
        <w:spacing w:after="0"/>
        <w:tabs>
          <w:tab w:leader="dot" w:pos="8880" w:val="left"/>
        </w:tabs>
        <w:rPr>
          <w:sz w:val="20"/>
          <w:szCs w:val="20"/>
          <w:color w:val="auto"/>
        </w:rPr>
      </w:pPr>
      <w:r>
        <w:rPr>
          <w:rFonts w:ascii="Times New Roman" w:cs="Times New Roman" w:eastAsia="Times New Roman" w:hAnsi="Times New Roman"/>
          <w:sz w:val="22"/>
          <w:szCs w:val="22"/>
          <w:color w:val="auto"/>
        </w:rPr>
        <w:t>5.  Policy Violations Must Be Reported</w:t>
      </w:r>
      <w:r>
        <w:rPr>
          <w:sz w:val="20"/>
          <w:szCs w:val="20"/>
          <w:color w:val="auto"/>
        </w:rPr>
        <w:tab/>
      </w:r>
      <w:r>
        <w:rPr>
          <w:rFonts w:ascii="Times New Roman" w:cs="Times New Roman" w:eastAsia="Times New Roman" w:hAnsi="Times New Roman"/>
          <w:sz w:val="22"/>
          <w:szCs w:val="22"/>
          <w:color w:val="auto"/>
        </w:rPr>
        <w:t>4</w:t>
      </w:r>
    </w:p>
    <w:p>
      <w:pPr>
        <w:spacing w:after="0" w:line="85" w:lineRule="exact"/>
        <w:rPr>
          <w:sz w:val="20"/>
          <w:szCs w:val="20"/>
          <w:color w:val="auto"/>
        </w:rPr>
      </w:pPr>
    </w:p>
    <w:p>
      <w:pPr>
        <w:ind w:left="340"/>
        <w:spacing w:after="0"/>
        <w:tabs>
          <w:tab w:leader="dot" w:pos="8880" w:val="left"/>
        </w:tabs>
        <w:rPr>
          <w:sz w:val="20"/>
          <w:szCs w:val="20"/>
          <w:color w:val="auto"/>
        </w:rPr>
      </w:pPr>
      <w:r>
        <w:rPr>
          <w:rFonts w:ascii="Times New Roman" w:cs="Times New Roman" w:eastAsia="Times New Roman" w:hAnsi="Times New Roman"/>
          <w:sz w:val="22"/>
          <w:szCs w:val="22"/>
          <w:color w:val="auto"/>
        </w:rPr>
        <w:t>6.  Insider Trading Compliance Officers</w:t>
      </w:r>
      <w:r>
        <w:rPr>
          <w:sz w:val="20"/>
          <w:szCs w:val="20"/>
          <w:color w:val="auto"/>
        </w:rPr>
        <w:tab/>
      </w:r>
      <w:r>
        <w:rPr>
          <w:rFonts w:ascii="Times New Roman" w:cs="Times New Roman" w:eastAsia="Times New Roman" w:hAnsi="Times New Roman"/>
          <w:sz w:val="22"/>
          <w:szCs w:val="22"/>
          <w:color w:val="auto"/>
        </w:rPr>
        <w:t>4</w:t>
      </w:r>
    </w:p>
    <w:p>
      <w:pPr>
        <w:spacing w:after="0" w:line="85" w:lineRule="exact"/>
        <w:rPr>
          <w:sz w:val="20"/>
          <w:szCs w:val="20"/>
          <w:color w:val="auto"/>
        </w:rPr>
      </w:pPr>
    </w:p>
    <w:p>
      <w:pPr>
        <w:ind w:left="340"/>
        <w:spacing w:after="0"/>
        <w:tabs>
          <w:tab w:leader="dot" w:pos="8660" w:val="left"/>
        </w:tabs>
        <w:rPr>
          <w:sz w:val="20"/>
          <w:szCs w:val="20"/>
          <w:color w:val="auto"/>
        </w:rPr>
      </w:pPr>
      <w:r>
        <w:rPr>
          <w:rFonts w:ascii="Times New Roman" w:cs="Times New Roman" w:eastAsia="Times New Roman" w:hAnsi="Times New Roman"/>
          <w:sz w:val="22"/>
          <w:szCs w:val="22"/>
          <w:color w:val="auto"/>
        </w:rPr>
        <w:t>7.  Definition of Material Non-public Information</w:t>
      </w:r>
      <w:r>
        <w:rPr>
          <w:sz w:val="20"/>
          <w:szCs w:val="20"/>
          <w:color w:val="auto"/>
        </w:rPr>
        <w:tab/>
      </w:r>
      <w:r>
        <w:rPr>
          <w:rFonts w:ascii="Times New Roman" w:cs="Times New Roman" w:eastAsia="Times New Roman" w:hAnsi="Times New Roman"/>
          <w:sz w:val="19"/>
          <w:szCs w:val="19"/>
          <w:color w:val="auto"/>
        </w:rPr>
        <w:t>5</w:t>
      </w:r>
    </w:p>
    <w:p>
      <w:pPr>
        <w:spacing w:after="0" w:line="71" w:lineRule="exact"/>
        <w:rPr>
          <w:sz w:val="20"/>
          <w:szCs w:val="20"/>
          <w:color w:val="auto"/>
        </w:rPr>
      </w:pPr>
    </w:p>
    <w:p>
      <w:pPr>
        <w:ind w:left="340"/>
        <w:spacing w:after="0"/>
        <w:tabs>
          <w:tab w:leader="dot" w:pos="9140" w:val="left"/>
        </w:tabs>
        <w:rPr>
          <w:sz w:val="20"/>
          <w:szCs w:val="20"/>
          <w:color w:val="auto"/>
        </w:rPr>
      </w:pPr>
      <w:r>
        <w:rPr>
          <w:rFonts w:ascii="Times New Roman" w:cs="Times New Roman" w:eastAsia="Times New Roman" w:hAnsi="Times New Roman"/>
          <w:sz w:val="22"/>
          <w:szCs w:val="22"/>
          <w:color w:val="auto"/>
        </w:rPr>
        <w:t>8.  Covered Transactions</w:t>
      </w:r>
      <w:r>
        <w:rPr>
          <w:sz w:val="20"/>
          <w:szCs w:val="20"/>
          <w:color w:val="auto"/>
        </w:rPr>
        <w:tab/>
      </w:r>
      <w:r>
        <w:rPr>
          <w:rFonts w:ascii="Times New Roman" w:cs="Times New Roman" w:eastAsia="Times New Roman" w:hAnsi="Times New Roman"/>
          <w:sz w:val="22"/>
          <w:szCs w:val="22"/>
          <w:color w:val="auto"/>
        </w:rPr>
        <w:t>6</w:t>
      </w:r>
    </w:p>
    <w:p>
      <w:pPr>
        <w:spacing w:after="0" w:line="85" w:lineRule="exact"/>
        <w:rPr>
          <w:sz w:val="20"/>
          <w:szCs w:val="20"/>
          <w:color w:val="auto"/>
        </w:rPr>
      </w:pPr>
    </w:p>
    <w:p>
      <w:pPr>
        <w:ind w:left="340"/>
        <w:spacing w:after="0"/>
        <w:tabs>
          <w:tab w:leader="dot" w:pos="8720" w:val="left"/>
        </w:tabs>
        <w:rPr>
          <w:sz w:val="20"/>
          <w:szCs w:val="20"/>
          <w:color w:val="auto"/>
        </w:rPr>
      </w:pPr>
      <w:r>
        <w:rPr>
          <w:rFonts w:ascii="Times New Roman" w:cs="Times New Roman" w:eastAsia="Times New Roman" w:hAnsi="Times New Roman"/>
          <w:sz w:val="22"/>
          <w:szCs w:val="22"/>
          <w:color w:val="auto"/>
        </w:rPr>
        <w:t>9.  No Trading by Others on a Person’s Behalf</w:t>
      </w:r>
      <w:r>
        <w:rPr>
          <w:sz w:val="20"/>
          <w:szCs w:val="20"/>
          <w:color w:val="auto"/>
        </w:rPr>
        <w:tab/>
      </w:r>
      <w:r>
        <w:rPr>
          <w:rFonts w:ascii="Times New Roman" w:cs="Times New Roman" w:eastAsia="Times New Roman" w:hAnsi="Times New Roman"/>
          <w:sz w:val="22"/>
          <w:szCs w:val="22"/>
          <w:color w:val="auto"/>
        </w:rPr>
        <w:t>7</w:t>
      </w:r>
    </w:p>
    <w:p>
      <w:pPr>
        <w:spacing w:after="0" w:line="71" w:lineRule="exact"/>
        <w:rPr>
          <w:sz w:val="20"/>
          <w:szCs w:val="20"/>
          <w:color w:val="auto"/>
        </w:rPr>
      </w:pPr>
    </w:p>
    <w:p>
      <w:pPr>
        <w:ind w:left="340"/>
        <w:spacing w:after="0"/>
        <w:tabs>
          <w:tab w:leader="dot" w:pos="9400" w:val="left"/>
        </w:tabs>
        <w:rPr>
          <w:sz w:val="20"/>
          <w:szCs w:val="20"/>
          <w:color w:val="auto"/>
        </w:rPr>
      </w:pPr>
      <w:r>
        <w:rPr>
          <w:rFonts w:ascii="Times New Roman" w:cs="Times New Roman" w:eastAsia="Times New Roman" w:hAnsi="Times New Roman"/>
          <w:sz w:val="22"/>
          <w:szCs w:val="22"/>
          <w:color w:val="auto"/>
        </w:rPr>
        <w:t>10. No Tipping</w:t>
      </w:r>
      <w:r>
        <w:rPr>
          <w:sz w:val="20"/>
          <w:szCs w:val="20"/>
          <w:color w:val="auto"/>
        </w:rPr>
        <w:tab/>
      </w:r>
      <w:r>
        <w:rPr>
          <w:rFonts w:ascii="Times New Roman" w:cs="Times New Roman" w:eastAsia="Times New Roman" w:hAnsi="Times New Roman"/>
          <w:sz w:val="19"/>
          <w:szCs w:val="19"/>
          <w:color w:val="auto"/>
        </w:rPr>
        <w:t>7</w:t>
      </w:r>
    </w:p>
    <w:p>
      <w:pPr>
        <w:spacing w:after="0" w:line="85" w:lineRule="exact"/>
        <w:rPr>
          <w:sz w:val="20"/>
          <w:szCs w:val="20"/>
          <w:color w:val="auto"/>
        </w:rPr>
      </w:pPr>
    </w:p>
    <w:p>
      <w:pPr>
        <w:ind w:left="340"/>
        <w:spacing w:after="0"/>
        <w:tabs>
          <w:tab w:leader="dot" w:pos="8720" w:val="left"/>
        </w:tabs>
        <w:rPr>
          <w:sz w:val="20"/>
          <w:szCs w:val="20"/>
          <w:color w:val="auto"/>
        </w:rPr>
      </w:pPr>
      <w:r>
        <w:rPr>
          <w:rFonts w:ascii="Times New Roman" w:cs="Times New Roman" w:eastAsia="Times New Roman" w:hAnsi="Times New Roman"/>
          <w:sz w:val="22"/>
          <w:szCs w:val="22"/>
          <w:color w:val="auto"/>
        </w:rPr>
        <w:t>11. Short-Term or Speculative Transaction</w:t>
      </w:r>
      <w:r>
        <w:rPr>
          <w:sz w:val="20"/>
          <w:szCs w:val="20"/>
          <w:color w:val="auto"/>
        </w:rPr>
        <w:tab/>
      </w:r>
      <w:r>
        <w:rPr>
          <w:rFonts w:ascii="Times New Roman" w:cs="Times New Roman" w:eastAsia="Times New Roman" w:hAnsi="Times New Roman"/>
          <w:sz w:val="19"/>
          <w:szCs w:val="19"/>
          <w:color w:val="auto"/>
        </w:rPr>
        <w:t>8</w:t>
      </w:r>
    </w:p>
    <w:p>
      <w:pPr>
        <w:spacing w:after="0" w:line="71" w:lineRule="exact"/>
        <w:rPr>
          <w:sz w:val="20"/>
          <w:szCs w:val="20"/>
          <w:color w:val="auto"/>
        </w:rPr>
      </w:pPr>
    </w:p>
    <w:p>
      <w:pPr>
        <w:ind w:left="340"/>
        <w:spacing w:after="0"/>
        <w:tabs>
          <w:tab w:leader="dot" w:pos="9260" w:val="left"/>
        </w:tabs>
        <w:rPr>
          <w:sz w:val="20"/>
          <w:szCs w:val="20"/>
          <w:color w:val="auto"/>
        </w:rPr>
      </w:pPr>
      <w:r>
        <w:rPr>
          <w:rFonts w:ascii="Times New Roman" w:cs="Times New Roman" w:eastAsia="Times New Roman" w:hAnsi="Times New Roman"/>
          <w:sz w:val="22"/>
          <w:szCs w:val="22"/>
          <w:color w:val="auto"/>
        </w:rPr>
        <w:t>12. Blackout Period</w:t>
      </w:r>
      <w:r>
        <w:rPr>
          <w:sz w:val="20"/>
          <w:szCs w:val="20"/>
          <w:color w:val="auto"/>
        </w:rPr>
        <w:tab/>
      </w:r>
      <w:r>
        <w:rPr>
          <w:rFonts w:ascii="Times New Roman" w:cs="Times New Roman" w:eastAsia="Times New Roman" w:hAnsi="Times New Roman"/>
          <w:sz w:val="19"/>
          <w:szCs w:val="19"/>
          <w:color w:val="auto"/>
        </w:rPr>
        <w:t>8</w:t>
      </w:r>
    </w:p>
    <w:p>
      <w:pPr>
        <w:spacing w:after="0" w:line="85" w:lineRule="exact"/>
        <w:rPr>
          <w:sz w:val="20"/>
          <w:szCs w:val="20"/>
          <w:color w:val="auto"/>
        </w:rPr>
      </w:pPr>
    </w:p>
    <w:p>
      <w:pPr>
        <w:ind w:left="340"/>
        <w:spacing w:after="0"/>
        <w:tabs>
          <w:tab w:leader="dot" w:pos="8340" w:val="left"/>
        </w:tabs>
        <w:rPr>
          <w:sz w:val="20"/>
          <w:szCs w:val="20"/>
          <w:color w:val="auto"/>
        </w:rPr>
      </w:pPr>
      <w:r>
        <w:rPr>
          <w:rFonts w:ascii="Times New Roman" w:cs="Times New Roman" w:eastAsia="Times New Roman" w:hAnsi="Times New Roman"/>
          <w:sz w:val="22"/>
          <w:szCs w:val="22"/>
          <w:color w:val="auto"/>
        </w:rPr>
        <w:t>13. Pre-Clearance for Section 16 Insiders and Section 16 Filings</w:t>
      </w:r>
      <w:r>
        <w:rPr>
          <w:sz w:val="20"/>
          <w:szCs w:val="20"/>
          <w:color w:val="auto"/>
        </w:rPr>
        <w:tab/>
      </w:r>
      <w:r>
        <w:rPr>
          <w:rFonts w:ascii="Times New Roman" w:cs="Times New Roman" w:eastAsia="Times New Roman" w:hAnsi="Times New Roman"/>
          <w:sz w:val="19"/>
          <w:szCs w:val="19"/>
          <w:color w:val="auto"/>
        </w:rPr>
        <w:t>8</w:t>
      </w:r>
    </w:p>
    <w:p>
      <w:pPr>
        <w:spacing w:after="0" w:line="71" w:lineRule="exact"/>
        <w:rPr>
          <w:sz w:val="20"/>
          <w:szCs w:val="20"/>
          <w:color w:val="auto"/>
        </w:rPr>
      </w:pPr>
    </w:p>
    <w:p>
      <w:pPr>
        <w:ind w:left="340"/>
        <w:spacing w:after="0"/>
        <w:tabs>
          <w:tab w:leader="dot" w:pos="8060" w:val="left"/>
        </w:tabs>
        <w:rPr>
          <w:sz w:val="20"/>
          <w:szCs w:val="20"/>
          <w:color w:val="auto"/>
        </w:rPr>
      </w:pPr>
      <w:r>
        <w:rPr>
          <w:rFonts w:ascii="Times New Roman" w:cs="Times New Roman" w:eastAsia="Times New Roman" w:hAnsi="Times New Roman"/>
          <w:sz w:val="22"/>
          <w:szCs w:val="22"/>
          <w:color w:val="auto"/>
        </w:rPr>
        <w:t>14. Pre-Clearance for Section 16 Insiders and Other Designated Personnel</w:t>
      </w:r>
      <w:r>
        <w:rPr>
          <w:sz w:val="20"/>
          <w:szCs w:val="20"/>
          <w:color w:val="auto"/>
        </w:rPr>
        <w:tab/>
      </w:r>
      <w:r>
        <w:rPr>
          <w:rFonts w:ascii="Times New Roman" w:cs="Times New Roman" w:eastAsia="Times New Roman" w:hAnsi="Times New Roman"/>
          <w:sz w:val="19"/>
          <w:szCs w:val="19"/>
          <w:color w:val="auto"/>
        </w:rPr>
        <w:t>9</w:t>
      </w:r>
    </w:p>
    <w:p>
      <w:pPr>
        <w:spacing w:after="0" w:line="85" w:lineRule="exact"/>
        <w:rPr>
          <w:sz w:val="20"/>
          <w:szCs w:val="20"/>
          <w:color w:val="auto"/>
        </w:rPr>
      </w:pPr>
    </w:p>
    <w:p>
      <w:pPr>
        <w:ind w:left="340"/>
        <w:spacing w:after="0"/>
        <w:tabs>
          <w:tab w:leader="dot" w:pos="9020" w:val="left"/>
        </w:tabs>
        <w:rPr>
          <w:sz w:val="20"/>
          <w:szCs w:val="20"/>
          <w:color w:val="auto"/>
        </w:rPr>
      </w:pPr>
      <w:r>
        <w:rPr>
          <w:rFonts w:ascii="Times New Roman" w:cs="Times New Roman" w:eastAsia="Times New Roman" w:hAnsi="Times New Roman"/>
          <w:sz w:val="22"/>
          <w:szCs w:val="22"/>
          <w:color w:val="auto"/>
        </w:rPr>
        <w:t>15. Rule 10b5-1 Plans</w:t>
      </w:r>
      <w:r>
        <w:rPr>
          <w:sz w:val="20"/>
          <w:szCs w:val="20"/>
          <w:color w:val="auto"/>
        </w:rPr>
        <w:tab/>
      </w:r>
      <w:r>
        <w:rPr>
          <w:rFonts w:ascii="Times New Roman" w:cs="Times New Roman" w:eastAsia="Times New Roman" w:hAnsi="Times New Roman"/>
          <w:sz w:val="22"/>
          <w:szCs w:val="22"/>
          <w:color w:val="auto"/>
        </w:rPr>
        <w:t>10</w:t>
      </w:r>
    </w:p>
    <w:p>
      <w:pPr>
        <w:spacing w:after="0" w:line="85" w:lineRule="exact"/>
        <w:rPr>
          <w:sz w:val="20"/>
          <w:szCs w:val="20"/>
          <w:color w:val="auto"/>
        </w:rPr>
      </w:pPr>
    </w:p>
    <w:p>
      <w:pPr>
        <w:ind w:left="340"/>
        <w:spacing w:after="0"/>
        <w:tabs>
          <w:tab w:leader="dot" w:pos="8520" w:val="left"/>
        </w:tabs>
        <w:rPr>
          <w:sz w:val="20"/>
          <w:szCs w:val="20"/>
          <w:color w:val="auto"/>
        </w:rPr>
      </w:pPr>
      <w:r>
        <w:rPr>
          <w:rFonts w:ascii="Times New Roman" w:cs="Times New Roman" w:eastAsia="Times New Roman" w:hAnsi="Times New Roman"/>
          <w:sz w:val="22"/>
          <w:szCs w:val="22"/>
          <w:color w:val="auto"/>
        </w:rPr>
        <w:t>16. Pre-Clearance of Rule 10b5-1 Plans Required</w:t>
      </w:r>
      <w:r>
        <w:rPr>
          <w:sz w:val="20"/>
          <w:szCs w:val="20"/>
          <w:color w:val="auto"/>
        </w:rPr>
        <w:tab/>
      </w:r>
      <w:r>
        <w:rPr>
          <w:rFonts w:ascii="Times New Roman" w:cs="Times New Roman" w:eastAsia="Times New Roman" w:hAnsi="Times New Roman"/>
          <w:sz w:val="22"/>
          <w:szCs w:val="22"/>
          <w:color w:val="auto"/>
        </w:rPr>
        <w:t>10</w:t>
      </w:r>
    </w:p>
    <w:p>
      <w:pPr>
        <w:spacing w:after="0" w:line="71" w:lineRule="exact"/>
        <w:rPr>
          <w:sz w:val="20"/>
          <w:szCs w:val="20"/>
          <w:color w:val="auto"/>
        </w:rPr>
      </w:pPr>
    </w:p>
    <w:p>
      <w:pPr>
        <w:ind w:left="340"/>
        <w:spacing w:after="0"/>
        <w:tabs>
          <w:tab w:leader="dot" w:pos="8720" w:val="left"/>
        </w:tabs>
        <w:rPr>
          <w:sz w:val="20"/>
          <w:szCs w:val="20"/>
          <w:color w:val="auto"/>
        </w:rPr>
      </w:pPr>
      <w:r>
        <w:rPr>
          <w:rFonts w:ascii="Times New Roman" w:cs="Times New Roman" w:eastAsia="Times New Roman" w:hAnsi="Times New Roman"/>
          <w:sz w:val="22"/>
          <w:szCs w:val="22"/>
          <w:color w:val="auto"/>
        </w:rPr>
        <w:t>17. Special Guidelines for 10b5-1 Plans</w:t>
      </w:r>
      <w:r>
        <w:rPr>
          <w:sz w:val="20"/>
          <w:szCs w:val="20"/>
          <w:color w:val="auto"/>
        </w:rPr>
        <w:tab/>
      </w:r>
      <w:r>
        <w:rPr>
          <w:rFonts w:ascii="Times New Roman" w:cs="Times New Roman" w:eastAsia="Times New Roman" w:hAnsi="Times New Roman"/>
          <w:sz w:val="19"/>
          <w:szCs w:val="19"/>
          <w:color w:val="auto"/>
        </w:rPr>
        <w:t>10</w:t>
      </w:r>
    </w:p>
    <w:p>
      <w:pPr>
        <w:spacing w:after="0" w:line="85" w:lineRule="exact"/>
        <w:rPr>
          <w:sz w:val="20"/>
          <w:szCs w:val="20"/>
          <w:color w:val="auto"/>
        </w:rPr>
      </w:pPr>
    </w:p>
    <w:p>
      <w:pPr>
        <w:ind w:left="340"/>
        <w:spacing w:after="0"/>
        <w:tabs>
          <w:tab w:leader="dot" w:pos="9040" w:val="left"/>
        </w:tabs>
        <w:rPr>
          <w:sz w:val="20"/>
          <w:szCs w:val="20"/>
          <w:color w:val="auto"/>
        </w:rPr>
      </w:pPr>
      <w:r>
        <w:rPr>
          <w:rFonts w:ascii="Times New Roman" w:cs="Times New Roman" w:eastAsia="Times New Roman" w:hAnsi="Times New Roman"/>
          <w:sz w:val="22"/>
          <w:szCs w:val="22"/>
          <w:color w:val="auto"/>
        </w:rPr>
        <w:t>18. Responsible Party</w:t>
      </w:r>
      <w:r>
        <w:rPr>
          <w:sz w:val="20"/>
          <w:szCs w:val="20"/>
          <w:color w:val="auto"/>
        </w:rPr>
        <w:tab/>
      </w:r>
      <w:r>
        <w:rPr>
          <w:rFonts w:ascii="Times New Roman" w:cs="Times New Roman" w:eastAsia="Times New Roman" w:hAnsi="Times New Roman"/>
          <w:sz w:val="19"/>
          <w:szCs w:val="19"/>
          <w:color w:val="auto"/>
        </w:rPr>
        <w:t>12</w:t>
      </w:r>
    </w:p>
    <w:p>
      <w:pPr>
        <w:spacing w:after="0" w:line="71" w:lineRule="exact"/>
        <w:rPr>
          <w:sz w:val="20"/>
          <w:szCs w:val="20"/>
          <w:color w:val="auto"/>
        </w:rPr>
      </w:pPr>
    </w:p>
    <w:p>
      <w:pPr>
        <w:ind w:left="340"/>
        <w:spacing w:after="0"/>
        <w:tabs>
          <w:tab w:leader="dot" w:pos="8760" w:val="left"/>
        </w:tabs>
        <w:rPr>
          <w:sz w:val="20"/>
          <w:szCs w:val="20"/>
          <w:color w:val="auto"/>
        </w:rPr>
      </w:pPr>
      <w:r>
        <w:rPr>
          <w:rFonts w:ascii="Times New Roman" w:cs="Times New Roman" w:eastAsia="Times New Roman" w:hAnsi="Times New Roman"/>
          <w:sz w:val="22"/>
          <w:szCs w:val="22"/>
          <w:color w:val="auto"/>
        </w:rPr>
        <w:t>19. Post Employment Transactions</w:t>
      </w:r>
      <w:r>
        <w:rPr>
          <w:sz w:val="20"/>
          <w:szCs w:val="20"/>
          <w:color w:val="auto"/>
        </w:rPr>
        <w:tab/>
      </w:r>
      <w:r>
        <w:rPr>
          <w:rFonts w:ascii="Times New Roman" w:cs="Times New Roman" w:eastAsia="Times New Roman" w:hAnsi="Times New Roman"/>
          <w:sz w:val="22"/>
          <w:szCs w:val="22"/>
          <w:color w:val="auto"/>
        </w:rPr>
        <w:t>12</w:t>
      </w:r>
    </w:p>
    <w:p>
      <w:pPr>
        <w:spacing w:after="0" w:line="85" w:lineRule="exact"/>
        <w:rPr>
          <w:sz w:val="20"/>
          <w:szCs w:val="20"/>
          <w:color w:val="auto"/>
        </w:rPr>
      </w:pPr>
    </w:p>
    <w:p>
      <w:pPr>
        <w:ind w:left="340"/>
        <w:spacing w:after="0"/>
        <w:tabs>
          <w:tab w:leader="dot" w:pos="8720" w:val="left"/>
        </w:tabs>
        <w:rPr>
          <w:sz w:val="20"/>
          <w:szCs w:val="20"/>
          <w:color w:val="auto"/>
        </w:rPr>
      </w:pPr>
      <w:r>
        <w:rPr>
          <w:rFonts w:ascii="Times New Roman" w:cs="Times New Roman" w:eastAsia="Times New Roman" w:hAnsi="Times New Roman"/>
          <w:sz w:val="22"/>
          <w:szCs w:val="22"/>
          <w:color w:val="auto"/>
        </w:rPr>
        <w:t>20. Questions and Delivery of this Policy</w:t>
      </w:r>
      <w:r>
        <w:rPr>
          <w:sz w:val="20"/>
          <w:szCs w:val="20"/>
          <w:color w:val="auto"/>
        </w:rPr>
        <w:tab/>
      </w:r>
      <w:r>
        <w:rPr>
          <w:rFonts w:ascii="Times New Roman" w:cs="Times New Roman" w:eastAsia="Times New Roman" w:hAnsi="Times New Roman"/>
          <w:sz w:val="22"/>
          <w:szCs w:val="22"/>
          <w:color w:val="auto"/>
        </w:rPr>
        <w:t>12</w:t>
      </w:r>
    </w:p>
    <w:p>
      <w:pPr>
        <w:spacing w:after="0" w:line="71" w:lineRule="exact"/>
        <w:rPr>
          <w:sz w:val="20"/>
          <w:szCs w:val="20"/>
          <w:color w:val="auto"/>
        </w:rPr>
      </w:pPr>
    </w:p>
    <w:p>
      <w:pPr>
        <w:spacing w:after="0"/>
        <w:tabs>
          <w:tab w:leader="dot" w:pos="8840" w:val="left"/>
        </w:tabs>
        <w:rPr>
          <w:sz w:val="20"/>
          <w:szCs w:val="20"/>
          <w:color w:val="auto"/>
        </w:rPr>
      </w:pPr>
      <w:r>
        <w:rPr>
          <w:rFonts w:ascii="Times New Roman" w:cs="Times New Roman" w:eastAsia="Times New Roman" w:hAnsi="Times New Roman"/>
          <w:sz w:val="22"/>
          <w:szCs w:val="22"/>
          <w:color w:val="auto"/>
        </w:rPr>
        <w:t>Exhibit A - PRE-CLEARANCE FORM</w:t>
      </w:r>
      <w:r>
        <w:rPr>
          <w:sz w:val="20"/>
          <w:szCs w:val="20"/>
          <w:color w:val="auto"/>
        </w:rPr>
        <w:tab/>
      </w: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39"/>
          </w:cols>
          <w:pgMar w:left="320" w:top="1440" w:right="1440" w:bottom="1440" w:gutter="0" w:footer="0" w:header="0"/>
        </w:sectPr>
      </w:pPr>
    </w:p>
    <w:bookmarkStart w:id="133" w:name="page134"/>
    <w:bookmarkEnd w:id="133"/>
    <w:p>
      <w:pPr>
        <w:jc w:val="both"/>
        <w:ind w:firstLine="656"/>
        <w:spacing w:after="0" w:line="263" w:lineRule="auto"/>
        <w:tabs>
          <w:tab w:leader="none" w:pos="128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Introduction.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Federal and state securities laws make it illegal for anyone to trade in a company’s securities while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possession of material, nonpublic information relating to that company. This conduct is referred to as “insider trading” and may result in civil or criminal penalties. The purpose of this Securities Trading Policy (the “Policy”) is to promote compliance with applicable securities laws and to provide directors, officers and employees of Skyward Specialty Insurance Group, Inc. (together with its subsidiaries, “Skyward Specialty” or the “Company”), with procedures and guidelines with respect to transactions in the securities of the Company (“Company Securities”) and other public companies in order to preserve the reputation and integrity of the Company as well as that of all persons affiliated with it. However, the ultimate responsibility for complying with securities laws, adhering to this Policy and avoiding improper transactions rest with you. It is imperative that you use your best judgment and that you ask questions in the event you are uncertain how to handle a particular situation.</w:t>
      </w:r>
    </w:p>
    <w:p>
      <w:pPr>
        <w:spacing w:after="0" w:line="169" w:lineRule="exact"/>
        <w:rPr>
          <w:rFonts w:ascii="Times New Roman" w:cs="Times New Roman" w:eastAsia="Times New Roman" w:hAnsi="Times New Roman"/>
          <w:sz w:val="21"/>
          <w:szCs w:val="21"/>
          <w:color w:val="auto"/>
        </w:rPr>
      </w:pPr>
    </w:p>
    <w:p>
      <w:pPr>
        <w:jc w:val="both"/>
        <w:ind w:firstLine="656"/>
        <w:spacing w:after="0" w:line="250" w:lineRule="auto"/>
        <w:tabs>
          <w:tab w:leader="none" w:pos="128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applies to all directors, officers, employees, agents, consultants and advisors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auditors and attorneys) of Skyward Specialty (together “Insiders”). This Policy also applies to Insiders’ family members who reside with the Insider, anyone else who lives in an Insider’s household, any family members who do not live in the Insider’s household but whose transactions in Company Securities are directed by the Insider or are subject to an Insider’s influence or control (such as parents or children who consult with the Insider before trading in Company Securities), and entities (such as trusts, estates, limited partnerships and corporations) over which an Insider has or shares voting control (together “Related Persons”).</w:t>
      </w:r>
    </w:p>
    <w:p>
      <w:pPr>
        <w:spacing w:after="0" w:line="180" w:lineRule="exact"/>
        <w:rPr>
          <w:rFonts w:ascii="Times New Roman" w:cs="Times New Roman" w:eastAsia="Times New Roman" w:hAnsi="Times New Roman"/>
          <w:sz w:val="22"/>
          <w:szCs w:val="22"/>
          <w:color w:val="auto"/>
        </w:rPr>
      </w:pPr>
    </w:p>
    <w:p>
      <w:pPr>
        <w:jc w:val="both"/>
        <w:ind w:firstLine="656"/>
        <w:spacing w:after="0" w:line="249" w:lineRule="auto"/>
        <w:tabs>
          <w:tab w:leader="none" w:pos="128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Policy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 director, officer, employee, agent or advisor of the Company has material, nonpublic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relating to the Company, it is the Company’s policy that neither that person nor any of his/her Related Persons may buy or sell Company Securities or engage in any transaction to take advantage of, or pass on to others, that information. It is also the policy of the Company that the Company will not engage in transactions in Company Securities while aware of material, nonpublic information relating to the Company or Company Securities. Transactions in Company Securities include purchases, sales, pledges, hedges, loans and gifts of Company Securities. This Policy also applies to material nonpublic information relating to any other company with publicly-traded securities, including our customers or suppliers, obtained in the course of employment by or association with Skyward Specialty. To avoid even the appearance of impropriety, additional restrictions on trading Company Securities by directors, officers and members of the Company’s Executive Leadership Team are set forth in Paragraph 13.</w:t>
      </w:r>
    </w:p>
    <w:p>
      <w:pPr>
        <w:spacing w:after="0" w:line="183" w:lineRule="exact"/>
        <w:rPr>
          <w:rFonts w:ascii="Times New Roman" w:cs="Times New Roman" w:eastAsia="Times New Roman" w:hAnsi="Times New Roman"/>
          <w:sz w:val="22"/>
          <w:szCs w:val="22"/>
          <w:color w:val="auto"/>
        </w:rPr>
      </w:pPr>
    </w:p>
    <w:p>
      <w:pPr>
        <w:jc w:val="both"/>
        <w:ind w:firstLine="656"/>
        <w:spacing w:after="0" w:line="254" w:lineRule="auto"/>
        <w:tabs>
          <w:tab w:leader="none" w:pos="128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Penalties for Insider Trading.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penalties for violating insider trading laws include imprisonment,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disgorgement of profits gained or losses avoided, and substantial civil and criminal fines. As of the effective date of this Policy, civil fines can reach up to three times the profit gained or loss avoided, and criminal fines can be up to $5.0 million for individuals and $25.0 million for entities. Moreover, as the material non-public information of the Company is the Company property, trading on or tipping Company confidential information could result in serious employment sanctions,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7" w:right="339" w:bottom="1440" w:gutter="0" w:footer="0" w:header="0"/>
        </w:sectPr>
      </w:pPr>
    </w:p>
    <w:bookmarkStart w:id="134" w:name="page135"/>
    <w:bookmarkEnd w:id="134"/>
    <w:p>
      <w:pPr>
        <w:jc w:val="both"/>
        <w:spacing w:after="0" w:line="257" w:lineRule="auto"/>
        <w:rPr>
          <w:sz w:val="20"/>
          <w:szCs w:val="20"/>
          <w:color w:val="auto"/>
        </w:rPr>
      </w:pPr>
      <w:r>
        <w:rPr>
          <w:rFonts w:ascii="Times New Roman" w:cs="Times New Roman" w:eastAsia="Times New Roman" w:hAnsi="Times New Roman"/>
          <w:sz w:val="22"/>
          <w:szCs w:val="22"/>
          <w:color w:val="auto"/>
        </w:rPr>
        <w:t>termination. You should be aware the surveillance techniques of the stock markets and the Financial Industry Regulatory Authority, Inc. (“FINRA”) are becoming increasingly sophisticated, and the chance that authorities will detect and prosecute even a securities trading violation is a significant one.</w:t>
      </w:r>
    </w:p>
    <w:p>
      <w:pPr>
        <w:spacing w:after="0" w:line="182" w:lineRule="exact"/>
        <w:rPr>
          <w:sz w:val="20"/>
          <w:szCs w:val="20"/>
          <w:color w:val="auto"/>
        </w:rPr>
      </w:pPr>
    </w:p>
    <w:p>
      <w:pPr>
        <w:jc w:val="both"/>
        <w:ind w:firstLine="656"/>
        <w:spacing w:after="0" w:line="251" w:lineRule="auto"/>
        <w:tabs>
          <w:tab w:leader="none" w:pos="128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Policy Violations Must Be Reported.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who violates this Policy, the Company’s Disclosure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FD Policy, or any federal or state laws governing insider trading, or any person who knows of any such violation by any other person, must report the violation immediately to the Compliance Officer. Upon learning of any such violation, the Compliance Officer will determine whether the Company should release any material nonpublic information or whether the Company should report the violation to the SEC or other appropriate governmental authority.</w:t>
      </w:r>
    </w:p>
    <w:p>
      <w:pPr>
        <w:spacing w:after="0" w:line="18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Insider Trading Compliance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Board of Directors provides otherwise, the Company’s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(“General Counsel”) shall act as the Company’s Insider Trading Compliance Officer; provided, however, that if the General Counsel is a party to a proposed trade, transaction or inquiry relating to this Policy, the Company’s Chief People Officer or Director of Human Resources shall act as the Insider Trading Compliance Officer (“Compliance Officer”) with respect to such proposed trade, transaction or inquiry. The Compliance Officer may delegate his or her authority to act as the Compliance Officer as he or she deems necessary or appropriate in his or her sole discretion. The duties of the Compliance Officer and his or her delegees may include the following:</w:t>
      </w:r>
    </w:p>
    <w:p>
      <w:pPr>
        <w:spacing w:after="0" w:line="7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monitoring and enforcing compliance with the Policy.</w:t>
      </w:r>
    </w:p>
    <w:p>
      <w:pPr>
        <w:spacing w:after="0" w:line="111"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all inquiries relating to this Policy and its procedures.</w:t>
      </w:r>
    </w:p>
    <w:p>
      <w:pPr>
        <w:spacing w:after="0" w:line="111" w:lineRule="exact"/>
        <w:rPr>
          <w:rFonts w:ascii="Times New Roman" w:cs="Times New Roman" w:eastAsia="Times New Roman" w:hAnsi="Times New Roman"/>
          <w:sz w:val="22"/>
          <w:szCs w:val="22"/>
          <w:color w:val="auto"/>
        </w:rPr>
      </w:pPr>
    </w:p>
    <w:p>
      <w:pPr>
        <w:ind w:left="1960" w:hanging="656"/>
        <w:spacing w:after="0" w:line="271" w:lineRule="auto"/>
        <w:tabs>
          <w:tab w:leader="none" w:pos="1987"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Designating and announcing special trading blackout periods during which no Insiders may trade in Company securities.</w:t>
      </w:r>
    </w:p>
    <w:p>
      <w:pPr>
        <w:spacing w:after="0" w:line="63" w:lineRule="exact"/>
        <w:rPr>
          <w:rFonts w:ascii="Times New Roman" w:cs="Times New Roman" w:eastAsia="Times New Roman" w:hAnsi="Times New Roman"/>
          <w:sz w:val="22"/>
          <w:szCs w:val="22"/>
          <w:color w:val="auto"/>
        </w:rPr>
      </w:pPr>
    </w:p>
    <w:p>
      <w:pPr>
        <w:ind w:left="1960" w:hanging="656"/>
        <w:spacing w:after="0" w:line="271" w:lineRule="auto"/>
        <w:tabs>
          <w:tab w:leader="none" w:pos="198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copies of this Policy and other appropriate materials to all current and new directors, officers and employees, and such other persons as the Compliance Officer deems necessary.</w:t>
      </w:r>
    </w:p>
    <w:p>
      <w:pPr>
        <w:spacing w:after="0" w:line="49" w:lineRule="exact"/>
        <w:rPr>
          <w:rFonts w:ascii="Times New Roman" w:cs="Times New Roman" w:eastAsia="Times New Roman" w:hAnsi="Times New Roman"/>
          <w:sz w:val="22"/>
          <w:szCs w:val="22"/>
          <w:color w:val="auto"/>
        </w:rPr>
      </w:pPr>
    </w:p>
    <w:p>
      <w:pPr>
        <w:ind w:left="1960" w:hanging="656"/>
        <w:spacing w:after="0" w:line="271" w:lineRule="auto"/>
        <w:tabs>
          <w:tab w:leader="none" w:pos="198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monitoring and enforcing compliance with federal and state insider trading laws and regulations.</w:t>
      </w:r>
    </w:p>
    <w:p>
      <w:pPr>
        <w:spacing w:after="0" w:line="49" w:lineRule="exact"/>
        <w:rPr>
          <w:rFonts w:ascii="Times New Roman" w:cs="Times New Roman" w:eastAsia="Times New Roman" w:hAnsi="Times New Roman"/>
          <w:sz w:val="22"/>
          <w:szCs w:val="22"/>
          <w:color w:val="auto"/>
        </w:rPr>
      </w:pPr>
    </w:p>
    <w:p>
      <w:pPr>
        <w:ind w:left="1960" w:hanging="656"/>
        <w:spacing w:after="0" w:line="284" w:lineRule="auto"/>
        <w:tabs>
          <w:tab w:leader="none" w:pos="198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in the preparation and filing of required SEC Forms 3, 4, 5 relating to trading in Company securities.</w:t>
      </w:r>
    </w:p>
    <w:p>
      <w:pPr>
        <w:spacing w:after="0" w:line="35" w:lineRule="exact"/>
        <w:rPr>
          <w:rFonts w:ascii="Times New Roman" w:cs="Times New Roman" w:eastAsia="Times New Roman" w:hAnsi="Times New Roman"/>
          <w:sz w:val="22"/>
          <w:szCs w:val="22"/>
          <w:color w:val="auto"/>
        </w:rPr>
      </w:pPr>
    </w:p>
    <w:p>
      <w:pPr>
        <w:ind w:left="1960" w:right="20" w:hanging="656"/>
        <w:spacing w:after="0" w:line="295" w:lineRule="auto"/>
        <w:tabs>
          <w:tab w:leader="none" w:pos="1981"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Maintaining as Company records originals or copies of all documents required by the provisions of this Policy or the procedures set forth herein, and copies of all required SEC reports relating to insider trading.</w:t>
      </w:r>
    </w:p>
    <w:p>
      <w:pPr>
        <w:spacing w:after="0" w:line="27" w:lineRule="exact"/>
        <w:rPr>
          <w:rFonts w:ascii="Times New Roman" w:cs="Times New Roman" w:eastAsia="Times New Roman" w:hAnsi="Times New Roman"/>
          <w:sz w:val="21"/>
          <w:szCs w:val="21"/>
          <w:color w:val="auto"/>
        </w:rPr>
      </w:pPr>
    </w:p>
    <w:p>
      <w:pPr>
        <w:ind w:left="1980" w:hanging="676"/>
        <w:spacing w:after="0"/>
        <w:tabs>
          <w:tab w:leader="none" w:pos="198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Revising the Policy as necessary to reflect changes in federal or state insider trading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135" w:name="page136"/>
    <w:bookmarkEnd w:id="135"/>
    <w:p>
      <w:pPr>
        <w:ind w:left="1960" w:hanging="656"/>
        <w:spacing w:after="0" w:line="271" w:lineRule="auto"/>
        <w:tabs>
          <w:tab w:leader="none" w:pos="1975"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Designing and requiring training about the obligations of this Policy as the Compliance Officer considers appropriate.</w:t>
      </w:r>
    </w:p>
    <w:p>
      <w:pPr>
        <w:spacing w:after="0" w:line="4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 of Material Non-public Information.</w:t>
      </w:r>
    </w:p>
    <w:p>
      <w:pPr>
        <w:spacing w:after="0" w:line="237" w:lineRule="exact"/>
        <w:rPr>
          <w:sz w:val="20"/>
          <w:szCs w:val="20"/>
          <w:color w:val="auto"/>
        </w:rPr>
      </w:pPr>
    </w:p>
    <w:p>
      <w:pPr>
        <w:jc w:val="both"/>
        <w:ind w:left="660" w:firstLine="644"/>
        <w:spacing w:after="0" w:line="252" w:lineRule="auto"/>
        <w:tabs>
          <w:tab w:leader="none" w:pos="179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Information. Information is material if there is a substantial likelihood that a reasonable investor would consider it important in making an investment decision (i.e., deciding whether to buy, hold or sell a security). Therefore, any information that could reasonably be expected to affect the price of the security is potentially material. Both positive and negative information can be material. Common examples of information that may be material are:</w:t>
      </w:r>
    </w:p>
    <w:p>
      <w:pPr>
        <w:spacing w:after="0" w:line="71" w:lineRule="exact"/>
        <w:rPr>
          <w:sz w:val="20"/>
          <w:szCs w:val="20"/>
          <w:color w:val="auto"/>
        </w:rPr>
      </w:pPr>
    </w:p>
    <w:p>
      <w:pPr>
        <w:ind w:left="1720" w:hanging="416"/>
        <w:spacing w:after="0"/>
        <w:tabs>
          <w:tab w:leader="none" w:pos="17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w:t>
      </w:r>
    </w:p>
    <w:p>
      <w:pPr>
        <w:spacing w:after="0" w:line="2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that are inconsistent with external guidance from the Company or with market expectations;</w:t>
      </w:r>
    </w:p>
    <w:p>
      <w:pPr>
        <w:spacing w:after="0" w:line="15"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proposed merger, acquisition or tender offer;</w:t>
      </w:r>
    </w:p>
    <w:p>
      <w:pPr>
        <w:spacing w:after="0" w:line="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sale of assets or the expansion or curtailment of operations;</w:t>
      </w:r>
    </w:p>
    <w:p>
      <w:pPr>
        <w:spacing w:after="0" w:line="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dividend policies or the declaration of a stock split;</w:t>
      </w:r>
    </w:p>
    <w:p>
      <w:pPr>
        <w:spacing w:after="0" w:line="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 or membership of the Board of Directors;</w:t>
      </w:r>
    </w:p>
    <w:p>
      <w:pPr>
        <w:spacing w:after="0" w:line="3"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w:t>
      </w:r>
    </w:p>
    <w:p>
      <w:pPr>
        <w:spacing w:after="0" w:line="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 litigation or government/regulatory investigations or actions;</w:t>
      </w:r>
    </w:p>
    <w:p>
      <w:pPr>
        <w:spacing w:after="0" w:line="15" w:lineRule="exact"/>
        <w:rPr>
          <w:rFonts w:ascii="Times New Roman" w:cs="Times New Roman" w:eastAsia="Times New Roman" w:hAnsi="Times New Roman"/>
          <w:sz w:val="22"/>
          <w:szCs w:val="22"/>
          <w:color w:val="auto"/>
        </w:rPr>
      </w:pPr>
    </w:p>
    <w:p>
      <w:pPr>
        <w:ind w:left="1960" w:hanging="656"/>
        <w:spacing w:after="0" w:line="243" w:lineRule="auto"/>
        <w:tabs>
          <w:tab w:leader="none" w:pos="196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or a significant change to the terms of Company’s relationship with, a substantial customer or supplier;</w:t>
      </w:r>
    </w:p>
    <w:p>
      <w:pPr>
        <w:ind w:left="1760" w:hanging="456"/>
        <w:spacing w:after="0"/>
        <w:tabs>
          <w:tab w:leader="none" w:pos="1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decision by Company to borrow a significant amount of money;</w:t>
      </w:r>
    </w:p>
    <w:p>
      <w:pPr>
        <w:spacing w:after="0" w:line="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business strategies;</w:t>
      </w:r>
    </w:p>
    <w:p>
      <w:pPr>
        <w:spacing w:after="0" w:line="5" w:lineRule="exact"/>
        <w:rPr>
          <w:rFonts w:ascii="Times New Roman" w:cs="Times New Roman" w:eastAsia="Times New Roman" w:hAnsi="Times New Roman"/>
          <w:sz w:val="22"/>
          <w:szCs w:val="22"/>
          <w:color w:val="auto"/>
        </w:rPr>
      </w:pPr>
    </w:p>
    <w:p>
      <w:pPr>
        <w:ind w:left="1960" w:right="20" w:hanging="656"/>
        <w:spacing w:after="0" w:line="248" w:lineRule="auto"/>
        <w:tabs>
          <w:tab w:leader="none" w:pos="199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decision by Company to offer securities in a public or private offering or repurchase or redeem any Company Securities currently owned by the public;</w:t>
      </w:r>
    </w:p>
    <w:p>
      <w:pPr>
        <w:spacing w:after="0" w:line="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change in Company’s capital expenditure program;</w:t>
      </w:r>
    </w:p>
    <w:p>
      <w:pPr>
        <w:spacing w:after="0" w:line="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shifts in operating or financial circumstances; and,</w:t>
      </w:r>
    </w:p>
    <w:p>
      <w:pPr>
        <w:spacing w:after="0" w:line="3" w:lineRule="exact"/>
        <w:rPr>
          <w:rFonts w:ascii="Times New Roman" w:cs="Times New Roman" w:eastAsia="Times New Roman" w:hAnsi="Times New Roman"/>
          <w:sz w:val="22"/>
          <w:szCs w:val="22"/>
          <w:color w:val="auto"/>
        </w:rPr>
      </w:pPr>
    </w:p>
    <w:p>
      <w:pPr>
        <w:ind w:left="1960" w:right="20" w:hanging="656"/>
        <w:spacing w:after="0" w:line="261" w:lineRule="auto"/>
        <w:tabs>
          <w:tab w:leader="none" w:pos="188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 such as a data breach or a significant disruption or unauthorized access to information technology infrastructure.</w:t>
      </w:r>
    </w:p>
    <w:p>
      <w:pPr>
        <w:spacing w:after="0" w:line="195" w:lineRule="exact"/>
        <w:rPr>
          <w:sz w:val="20"/>
          <w:szCs w:val="20"/>
          <w:color w:val="auto"/>
        </w:rPr>
      </w:pPr>
    </w:p>
    <w:p>
      <w:pPr>
        <w:jc w:val="both"/>
        <w:ind w:right="20" w:firstLine="296"/>
        <w:spacing w:after="0" w:line="271" w:lineRule="auto"/>
        <w:rPr>
          <w:sz w:val="20"/>
          <w:szCs w:val="20"/>
          <w:color w:val="auto"/>
        </w:rPr>
      </w:pPr>
      <w:r>
        <w:rPr>
          <w:rFonts w:ascii="Times New Roman" w:cs="Times New Roman" w:eastAsia="Times New Roman" w:hAnsi="Times New Roman"/>
          <w:sz w:val="22"/>
          <w:szCs w:val="22"/>
          <w:color w:val="auto"/>
        </w:rPr>
        <w:t>The foregoing are merely examples and should not be treated as all-inclusive. There may be other developments not listed above that may be material as well.</w:t>
      </w:r>
    </w:p>
    <w:p>
      <w:pPr>
        <w:spacing w:after="0" w:line="185" w:lineRule="exact"/>
        <w:rPr>
          <w:sz w:val="20"/>
          <w:szCs w:val="20"/>
          <w:color w:val="auto"/>
        </w:rPr>
      </w:pPr>
    </w:p>
    <w:p>
      <w:pPr>
        <w:jc w:val="both"/>
        <w:ind w:firstLine="254"/>
        <w:spacing w:after="0" w:line="257" w:lineRule="auto"/>
        <w:rPr>
          <w:sz w:val="20"/>
          <w:szCs w:val="20"/>
          <w:color w:val="auto"/>
        </w:rPr>
      </w:pPr>
      <w:r>
        <w:rPr>
          <w:rFonts w:ascii="Times New Roman" w:cs="Times New Roman" w:eastAsia="Times New Roman" w:hAnsi="Times New Roman"/>
          <w:sz w:val="22"/>
          <w:szCs w:val="22"/>
          <w:color w:val="auto"/>
        </w:rPr>
        <w:t>The materiality of information is determined on a case-by-case basis in light of all the facts and circumstances. All securities transactions will be viewed after-the-fact with the benefit of hindsight. As a result, before engaging in any transaction, you should carefully consider how regulators and others might view his or her transaction in hindsight. If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1" w:right="339" w:bottom="1440" w:gutter="0" w:footer="0" w:header="0"/>
        </w:sectPr>
      </w:pPr>
    </w:p>
    <w:bookmarkStart w:id="136" w:name="page137"/>
    <w:bookmarkEnd w:id="136"/>
    <w:p>
      <w:pPr>
        <w:spacing w:after="0" w:line="271" w:lineRule="auto"/>
        <w:rPr>
          <w:sz w:val="20"/>
          <w:szCs w:val="20"/>
          <w:color w:val="auto"/>
        </w:rPr>
      </w:pPr>
      <w:r>
        <w:rPr>
          <w:rFonts w:ascii="Times New Roman" w:cs="Times New Roman" w:eastAsia="Times New Roman" w:hAnsi="Times New Roman"/>
          <w:sz w:val="22"/>
          <w:szCs w:val="22"/>
          <w:color w:val="auto"/>
        </w:rPr>
        <w:t>are unsure whether particular nonpublic information is material, you should presume that it is and consult with the Compliance Officer before trading in any Company Securities.</w:t>
      </w:r>
    </w:p>
    <w:p>
      <w:pPr>
        <w:spacing w:after="0" w:line="185" w:lineRule="exact"/>
        <w:rPr>
          <w:sz w:val="20"/>
          <w:szCs w:val="20"/>
          <w:color w:val="auto"/>
        </w:rPr>
      </w:pPr>
    </w:p>
    <w:p>
      <w:pPr>
        <w:jc w:val="both"/>
        <w:ind w:firstLine="1304"/>
        <w:spacing w:after="0" w:line="249" w:lineRule="auto"/>
        <w:tabs>
          <w:tab w:leader="none" w:pos="1732"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“Non-public” information is information that is not available to the general public. To be public information, it must have been disclosed in a public filing with the U.S. Securities and Exchange Commission (the “SEC”) or widely disseminated in a manner making it generally available to investors, such as a press release. Information may still be non-public even though it is widely known within the Company. The circulation of rumors, even if accurate, does not constitute information that is adequately available to the general public since the public does not know whether the rumor is accurate.</w:t>
      </w:r>
    </w:p>
    <w:p>
      <w:pPr>
        <w:spacing w:after="0" w:line="3" w:lineRule="exact"/>
        <w:rPr>
          <w:rFonts w:ascii="Times New Roman" w:cs="Times New Roman" w:eastAsia="Times New Roman" w:hAnsi="Times New Roman"/>
          <w:sz w:val="22"/>
          <w:szCs w:val="22"/>
          <w:color w:val="auto"/>
        </w:rPr>
      </w:pPr>
    </w:p>
    <w:p>
      <w:pPr>
        <w:jc w:val="both"/>
        <w:ind w:firstLine="1296"/>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general rule, information is not considered to be “public” until the end of the second-trading day after an announcement by the Company is broadly disseminated. Therefore, a person who was aware of the material information prior to its public release should not engage in any open market transactions in the Company’s securities until at least the opening of trading on the Nasdaq Stock Exchange on the third-trading day after such information is publicly released. For example, if an announcement is made on a Monday before trading on the Nasdaq Exchange opens, an Insider would not be able to trade until the opening of trading on Wednesday. If an announcement is made after trading on the Nasdaq Exchange closes on a Monday, but before trading on opens on Tuesday, such Insider would not be able to trade until the opening of trading on Thursday.</w:t>
      </w:r>
    </w:p>
    <w:p>
      <w:pPr>
        <w:spacing w:after="0" w:line="68" w:lineRule="exact"/>
        <w:rPr>
          <w:rFonts w:ascii="Times New Roman" w:cs="Times New Roman" w:eastAsia="Times New Roman" w:hAnsi="Times New Roman"/>
          <w:sz w:val="22"/>
          <w:szCs w:val="22"/>
          <w:color w:val="auto"/>
        </w:rPr>
      </w:pPr>
    </w:p>
    <w:p>
      <w:pPr>
        <w:ind w:firstLine="656"/>
        <w:spacing w:after="0" w:line="276" w:lineRule="auto"/>
        <w:tabs>
          <w:tab w:leader="none" w:pos="1282"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Covered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w:t>
      </w:r>
      <w:r>
        <w:rPr>
          <w:rFonts w:ascii="Times New Roman" w:cs="Times New Roman" w:eastAsia="Times New Roman" w:hAnsi="Times New Roman"/>
          <w:sz w:val="22"/>
          <w:szCs w:val="22"/>
          <w:color w:val="auto"/>
        </w:rPr>
        <w:t>” includes purchases and sales of securities such as stock, bonds, debentures,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puts, calls and any other securities. Examples of the types of covered transactions include:</w:t>
      </w:r>
    </w:p>
    <w:p>
      <w:pPr>
        <w:spacing w:after="0" w:line="45" w:lineRule="exact"/>
        <w:rPr>
          <w:rFonts w:ascii="Times New Roman" w:cs="Times New Roman" w:eastAsia="Times New Roman" w:hAnsi="Times New Roman"/>
          <w:sz w:val="22"/>
          <w:szCs w:val="22"/>
          <w:b w:val="1"/>
          <w:bCs w:val="1"/>
          <w:color w:val="auto"/>
        </w:rPr>
      </w:pPr>
    </w:p>
    <w:p>
      <w:pPr>
        <w:ind w:right="40" w:firstLine="737"/>
        <w:spacing w:after="0" w:line="271" w:lineRule="auto"/>
        <w:tabs>
          <w:tab w:leader="none" w:pos="1185"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Open Market Transactions</w:t>
      </w:r>
      <w:r>
        <w:rPr>
          <w:rFonts w:ascii="Times New Roman" w:cs="Times New Roman" w:eastAsia="Times New Roman" w:hAnsi="Times New Roman"/>
          <w:sz w:val="22"/>
          <w:szCs w:val="22"/>
          <w:color w:val="auto"/>
        </w:rPr>
        <w:t>. You are prohibited from trading, while aware of material non-public information, in any securities in the open market.</w:t>
      </w:r>
    </w:p>
    <w:p>
      <w:pPr>
        <w:spacing w:after="0" w:line="63" w:lineRule="exact"/>
        <w:rPr>
          <w:rFonts w:ascii="Times New Roman" w:cs="Times New Roman" w:eastAsia="Times New Roman" w:hAnsi="Times New Roman"/>
          <w:sz w:val="22"/>
          <w:szCs w:val="22"/>
          <w:color w:val="auto"/>
        </w:rPr>
      </w:pPr>
    </w:p>
    <w:p>
      <w:pPr>
        <w:ind w:right="40" w:firstLine="737"/>
        <w:spacing w:after="0" w:line="257" w:lineRule="auto"/>
        <w:tabs>
          <w:tab w:leader="none" w:pos="1197"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 You are prohibited, while aware of material non-public information, from selling in the open market (e.g., in a broker-assisted cashless exercise or any other market sale for the purpose of generating the cash needed to pay the exercise price or taxes or for any other purpose) any of the underlying shares of a stock option.</w:t>
      </w:r>
    </w:p>
    <w:p>
      <w:pPr>
        <w:spacing w:after="0" w:line="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However, while aware of material non-public information about the Company, you may receive a stock option grant and grants of stock options may vest. In addition, you may exercise a stock option while aware of material non-public information, but only if you pay the exercise price and applicable taxes in cash or via a net exercise with the Company (i.e., that does not involve a sale of shares in the market place) or if you deliver stock you hold in the Company as payment for the exercise price, if such options allow for a net exercise.</w:t>
      </w:r>
    </w:p>
    <w:p>
      <w:pPr>
        <w:spacing w:after="0" w:line="71" w:lineRule="exact"/>
        <w:rPr>
          <w:sz w:val="20"/>
          <w:szCs w:val="20"/>
          <w:color w:val="auto"/>
        </w:rPr>
      </w:pPr>
    </w:p>
    <w:p>
      <w:pPr>
        <w:ind w:right="100" w:firstLine="737"/>
        <w:spacing w:after="0" w:line="257" w:lineRule="auto"/>
        <w:tabs>
          <w:tab w:leader="none" w:pos="118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Restricted Share Units and Performance Shares.</w:t>
      </w:r>
      <w:r>
        <w:rPr>
          <w:rFonts w:ascii="Times New Roman" w:cs="Times New Roman" w:eastAsia="Times New Roman" w:hAnsi="Times New Roman"/>
          <w:sz w:val="22"/>
          <w:szCs w:val="22"/>
          <w:color w:val="auto"/>
        </w:rPr>
        <w:t xml:space="preserve"> You are prohibited, while aware of material non-public information, from selling in the open market any of the underlying shares of restricted stock, restricted share units or performance shares awarded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137" w:name="page138"/>
    <w:bookmarkEnd w:id="137"/>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However, while aware of material non-public information about the Company, you may receive an award of restricted stock, restricted share units or performance shares. In addition, awards of restricted stock, restricted share units or performance shares may vest while you are aware of material non-public information, and the Company may withhold shares to cover taxes due upon vesting or you may sell shares solely pursuant to a restricted stock, restricted share unit or performance share award’s sale to cover withholding taxes provision with the remittance to the Company of any proceeds from such sale.</w:t>
      </w:r>
    </w:p>
    <w:p>
      <w:pPr>
        <w:spacing w:after="0" w:line="71" w:lineRule="exact"/>
        <w:rPr>
          <w:sz w:val="20"/>
          <w:szCs w:val="20"/>
          <w:color w:val="auto"/>
        </w:rPr>
      </w:pPr>
    </w:p>
    <w:p>
      <w:pPr>
        <w:jc w:val="both"/>
        <w:ind w:firstLine="656"/>
        <w:spacing w:after="0" w:line="253" w:lineRule="auto"/>
        <w:tabs>
          <w:tab w:leader="none" w:pos="118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Pledged Securities.</w:t>
      </w:r>
      <w:r>
        <w:rPr>
          <w:rFonts w:ascii="Times New Roman" w:cs="Times New Roman" w:eastAsia="Times New Roman" w:hAnsi="Times New Roman"/>
          <w:sz w:val="22"/>
          <w:szCs w:val="22"/>
          <w:color w:val="auto"/>
        </w:rPr>
        <w:t xml:space="preserve"> Company 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prohibited from trading Company Securities, you are prohibited from holding Company Securities in a margin account or pledging Company Securities as collateral for a loan.</w:t>
      </w:r>
    </w:p>
    <w:p>
      <w:pPr>
        <w:spacing w:after="0" w:line="67" w:lineRule="exact"/>
        <w:rPr>
          <w:sz w:val="20"/>
          <w:szCs w:val="20"/>
          <w:color w:val="auto"/>
        </w:rPr>
      </w:pPr>
    </w:p>
    <w:p>
      <w:pPr>
        <w:jc w:val="both"/>
        <w:ind w:firstLine="656"/>
        <w:spacing w:after="0" w:line="250" w:lineRule="auto"/>
        <w:tabs>
          <w:tab w:leader="none" w:pos="1282"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Trading by Others on a Person’s Behalf.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are prohibited from trading in Company Securities because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are aware of material non-public information, you may not have a third-party trade in Company Securities on your behalf or disclose such information to any third party, other than on a need-to-know basis. Any trades made by a third party on your behalf of a person will be attributed you. Thus, trades in Company Securities held in street name in your account or for your benefit at a brokerage firm are also prohibited if you are otherwise prohibited from trading in Company Securities. If you invest in a “managed account” or arrangement (other than a Rule 10b5-1 plan discussed below), you should instruct the broker or advisor not to trade in Company Securities on your behalf.</w:t>
      </w:r>
    </w:p>
    <w:p>
      <w:pPr>
        <w:spacing w:after="0" w:line="72"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55"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Tipping.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are prohibited from trading in Company Securities because you are aware of material non-public information, you may not disclose material non-public information about the Company to a third party unless the third party (i) owes a duty of confidence to the Company (e.g., an attorney, auditor or investment banker retained by Company) or (ii) is subject to a confidentiality agreement in favor of the Company in which the person has agreed or is obligated to keep the information confidential. If that third party trades in Company Securities, you, along with the third party, may be held personally liable under federal (or state) law for violation of securities laws if you provided the information. This practice, known as “</w:t>
      </w: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22"/>
          <w:szCs w:val="22"/>
          <w:color w:val="auto"/>
        </w:rPr>
        <w:t>,” violates the securities laws and also can result in the same civil and criminal penalties that apply to insider trading, whether or not you personally derive any benefit from the third party’s actions. This prohibition includes giving trading advice without actually disclosing material non-public information, such as a general statement that, “I would sell now if I were you, but I can’t tell you why.” As with each of the prohibitions on trading while aware of material non-public information discussed in this Policy, the prohibition on tipping also applies to material non-public information regarding securities of other public companies. Regardless of whether a person covered by this Policy is aware of material non-public information, they are prohibited from posting messages about Company or its securities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138" w:name="page139"/>
    <w:bookmarkEnd w:id="138"/>
    <w:p>
      <w:pPr>
        <w:spacing w:after="0" w:line="271" w:lineRule="auto"/>
        <w:rPr>
          <w:sz w:val="20"/>
          <w:szCs w:val="20"/>
          <w:color w:val="auto"/>
        </w:rPr>
      </w:pPr>
      <w:r>
        <w:rPr>
          <w:rFonts w:ascii="Times New Roman" w:cs="Times New Roman" w:eastAsia="Times New Roman" w:hAnsi="Times New Roman"/>
          <w:sz w:val="22"/>
          <w:szCs w:val="22"/>
          <w:color w:val="auto"/>
        </w:rPr>
        <w:t>internet chat rooms, bulletin boards, blogs or other similar means of electronic distribution, whether under actual or fictitious names.</w:t>
      </w:r>
    </w:p>
    <w:p>
      <w:pPr>
        <w:spacing w:after="0" w:line="46" w:lineRule="exact"/>
        <w:rPr>
          <w:sz w:val="20"/>
          <w:szCs w:val="20"/>
          <w:color w:val="auto"/>
        </w:rPr>
      </w:pPr>
    </w:p>
    <w:p>
      <w:pPr>
        <w:jc w:val="both"/>
        <w:ind w:firstLine="656"/>
        <w:spacing w:after="0" w:line="254" w:lineRule="auto"/>
        <w:tabs>
          <w:tab w:leader="none" w:pos="1243"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Short-Term or Speculative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Insiders and Related Parties are strictly prohibited from engaging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short-term or speculative transactions involving Company Securities, such as publicly traded options, short sales, puts and calls, hedging, pledging and other monetization transactions. This prohibition also applies to holding Company Securities in a margin account and “short sales against the box,” which are sales of Company Securities where a person does not deliver the shares he or she owns to settle the transaction but instead delivers other shares that his or her broker has borrowed from others.</w:t>
      </w:r>
    </w:p>
    <w:p>
      <w:pPr>
        <w:spacing w:after="0" w:line="65"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55"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Blackout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one covered by this Policy may trade in Company Securities in the open market during a no-trade period (“Blackout Period”). An exception to this prohibition may apply for transactions effected pursuant to a pre-approved Rule 10b5-1 plan as discussed below. The quarterly Blackout Period begins fifteen days prior to the end of every fiscal quarter and continues until the second-trading day after the Company’s earnings for that quarter are publicly released. The Compliance Officer may impose additional Blackout Periods for all or some Blackout Covered Individuals and other employees when the Company may be aware of material non-public information as the Compliance Officer deems necessary or appropriate. All Blackout Covered Individuals also are subject to all other restrictions in this Policy.</w:t>
      </w:r>
    </w:p>
    <w:p>
      <w:pPr>
        <w:spacing w:after="0" w:line="85" w:lineRule="exact"/>
        <w:rPr>
          <w:rFonts w:ascii="Times New Roman" w:cs="Times New Roman" w:eastAsia="Times New Roman" w:hAnsi="Times New Roman"/>
          <w:sz w:val="22"/>
          <w:szCs w:val="22"/>
          <w:b w:val="1"/>
          <w:bCs w:val="1"/>
          <w:color w:val="auto"/>
        </w:rPr>
      </w:pPr>
    </w:p>
    <w:p>
      <w:pPr>
        <w:ind w:left="1260" w:hanging="604"/>
        <w:spacing w:after="0"/>
        <w:tabs>
          <w:tab w:leader="none" w:pos="12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Pre-Clearance for Section 16 Insiders and Section 16 Filings.</w:t>
      </w:r>
    </w:p>
    <w:p>
      <w:pPr>
        <w:spacing w:after="0" w:line="224" w:lineRule="exact"/>
        <w:rPr>
          <w:sz w:val="20"/>
          <w:szCs w:val="20"/>
          <w:color w:val="auto"/>
        </w:rPr>
      </w:pPr>
    </w:p>
    <w:p>
      <w:pPr>
        <w:jc w:val="both"/>
        <w:ind w:firstLine="656"/>
        <w:spacing w:after="0" w:line="251" w:lineRule="auto"/>
        <w:tabs>
          <w:tab w:leader="none" w:pos="112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director and officer (as such term is defined pursuant to Section 16 of the Securities Exchange Act of 1934, as amended) (“Section 16 Insiders”) of the Company must obtain pre-clearance from the Compliance Officer or one of his or her designees before engaging in the following transactions (including any transactions by Related Parties) in Company Securities: purchases; sales; transactions in an IRA or Roth IRA; and for Section 16 Insiders, any other transactions that are required to be reported under Section 16 of the Securities Exchange Act of 1934, as amended. Section 16 Insiders must obtain pre-clearance in the manner set forth in Paragraph 14 below.</w:t>
      </w:r>
    </w:p>
    <w:p>
      <w:pPr>
        <w:spacing w:after="0" w:line="73" w:lineRule="exact"/>
        <w:rPr>
          <w:rFonts w:ascii="Times New Roman" w:cs="Times New Roman" w:eastAsia="Times New Roman" w:hAnsi="Times New Roman"/>
          <w:sz w:val="22"/>
          <w:szCs w:val="22"/>
          <w:color w:val="auto"/>
        </w:rPr>
      </w:pPr>
    </w:p>
    <w:p>
      <w:pPr>
        <w:jc w:val="both"/>
        <w:ind w:right="20" w:firstLine="656"/>
        <w:spacing w:after="0" w:line="256" w:lineRule="auto"/>
        <w:tabs>
          <w:tab w:leader="none" w:pos="111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designated as a Section 16 Insider must file a Form 3 with the SEC within ten (10) days of becoming an insider disclosing his or her beneficial ownership of Company Securities, including unvested options and restricted stock units. The Compliance Officer will prepare and manage the filing of the Form 3 for new Directors and Section 16 officers unless otherwise instructed.</w:t>
      </w:r>
    </w:p>
    <w:p>
      <w:pPr>
        <w:spacing w:after="0" w:line="68" w:lineRule="exact"/>
        <w:rPr>
          <w:rFonts w:ascii="Times New Roman" w:cs="Times New Roman" w:eastAsia="Times New Roman" w:hAnsi="Times New Roman"/>
          <w:sz w:val="22"/>
          <w:szCs w:val="22"/>
          <w:color w:val="auto"/>
        </w:rPr>
      </w:pPr>
    </w:p>
    <w:p>
      <w:pPr>
        <w:jc w:val="both"/>
        <w:ind w:firstLine="656"/>
        <w:spacing w:after="0" w:line="250" w:lineRule="auto"/>
        <w:tabs>
          <w:tab w:leader="none" w:pos="115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each reportable transaction in Company Securities, a Form 4 </w:t>
      </w:r>
      <w:r>
        <w:rPr>
          <w:rFonts w:ascii="Times New Roman" w:cs="Times New Roman" w:eastAsia="Times New Roman" w:hAnsi="Times New Roman"/>
          <w:sz w:val="22"/>
          <w:szCs w:val="22"/>
          <w:u w:val="single" w:color="auto"/>
          <w:color w:val="auto"/>
        </w:rPr>
        <w:t>must</w:t>
      </w:r>
      <w:r>
        <w:rPr>
          <w:rFonts w:ascii="Times New Roman" w:cs="Times New Roman" w:eastAsia="Times New Roman" w:hAnsi="Times New Roman"/>
          <w:sz w:val="22"/>
          <w:szCs w:val="22"/>
          <w:color w:val="auto"/>
        </w:rPr>
        <w:t xml:space="preserve"> be filed with the SEC within </w:t>
      </w:r>
      <w:r>
        <w:rPr>
          <w:rFonts w:ascii="Times New Roman" w:cs="Times New Roman" w:eastAsia="Times New Roman" w:hAnsi="Times New Roman"/>
          <w:sz w:val="22"/>
          <w:szCs w:val="22"/>
          <w:u w:val="single" w:color="auto"/>
          <w:color w:val="auto"/>
        </w:rPr>
        <w:t>two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xml:space="preserve"> by all Section 16 Insiders. To facilitate timely reporting, Section 16 Insiders are required to on the same day as the trade date, or, with respect to transactions effected pursuant to a Rule 10b5-1 Plan, on the day the Insider is advised of the terms of the transaction, (a) report the details of each transaction to the Compliance Officer and (b) arrange with persons whose trades must be reported by the Insider under Section 16 (such as immediate family members living in the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auto"/>
        </w:rPr>
        <w:t>household) to immediately report directly to the Company and to the Insider the following transaction details:</w:t>
      </w:r>
    </w:p>
    <w:p>
      <w:pPr>
        <w:spacing w:after="0" w:line="112" w:lineRule="exact"/>
        <w:rPr>
          <w:sz w:val="20"/>
          <w:szCs w:val="20"/>
          <w:color w:val="auto"/>
        </w:rPr>
      </w:pPr>
    </w:p>
    <w:p>
      <w:pPr>
        <w:ind w:left="1720" w:hanging="416"/>
        <w:spacing w:after="0"/>
        <w:tabs>
          <w:tab w:leader="none" w:pos="17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date (trade date).</w:t>
      </w:r>
    </w:p>
    <w:p>
      <w:pPr>
        <w:spacing w:after="0" w:line="11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involved.</w:t>
      </w:r>
    </w:p>
    <w:p>
      <w:pPr>
        <w:spacing w:after="0" w:line="125" w:lineRule="exact"/>
        <w:rPr>
          <w:rFonts w:ascii="Times New Roman" w:cs="Times New Roman" w:eastAsia="Times New Roman" w:hAnsi="Times New Roman"/>
          <w:sz w:val="22"/>
          <w:szCs w:val="22"/>
          <w:color w:val="auto"/>
        </w:rPr>
      </w:pPr>
    </w:p>
    <w:p>
      <w:pPr>
        <w:ind w:left="1960" w:right="1060" w:hanging="656"/>
        <w:spacing w:after="0" w:line="271" w:lineRule="auto"/>
        <w:tabs>
          <w:tab w:leader="none" w:pos="185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per share at which the transaction was executed (before addition or deduction of brokerage commission and other transaction fees).</w:t>
      </w:r>
    </w:p>
    <w:p>
      <w:pPr>
        <w:spacing w:after="0" w:line="4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stock option exercises, the specific option exercised.</w:t>
      </w:r>
    </w:p>
    <w:p>
      <w:pPr>
        <w:spacing w:after="0" w:line="11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executed the transaction.</w:t>
      </w:r>
    </w:p>
    <w:p>
      <w:pPr>
        <w:spacing w:after="0" w:line="111"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specific representation that the Insider is not in possession of material nonpublic information.</w:t>
      </w:r>
    </w:p>
    <w:p>
      <w:pPr>
        <w:spacing w:after="0" w:line="125" w:lineRule="exact"/>
        <w:rPr>
          <w:rFonts w:ascii="Times New Roman" w:cs="Times New Roman" w:eastAsia="Times New Roman" w:hAnsi="Times New Roman"/>
          <w:sz w:val="22"/>
          <w:szCs w:val="22"/>
          <w:color w:val="auto"/>
        </w:rPr>
      </w:pPr>
    </w:p>
    <w:p>
      <w:pPr>
        <w:ind w:left="1960" w:right="660" w:hanging="656"/>
        <w:spacing w:after="0" w:line="271" w:lineRule="auto"/>
        <w:tabs>
          <w:tab w:leader="none" w:pos="19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Section 16 Insider, a specific representation whether the transaction was intended to satisfy the affirmative defense conditions of Rule 10b5-1(c).</w:t>
      </w:r>
    </w:p>
    <w:p>
      <w:pPr>
        <w:spacing w:after="0" w:line="5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transaction details must be reported to the Compliance Officer, with copies to Company personnel who will assist the Section 16 Insider in preparing his or her Form 4.</w:t>
      </w:r>
    </w:p>
    <w:p>
      <w:pPr>
        <w:spacing w:after="0" w:line="46" w:lineRule="exact"/>
        <w:rPr>
          <w:sz w:val="20"/>
          <w:szCs w:val="20"/>
          <w:color w:val="auto"/>
        </w:rPr>
      </w:pPr>
    </w:p>
    <w:p>
      <w:pPr>
        <w:ind w:left="1260" w:hanging="604"/>
        <w:spacing w:after="0"/>
        <w:tabs>
          <w:tab w:leader="none" w:pos="12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Pre-Clearance for Section 16 Insiders and Other Designated Personnel.</w:t>
      </w:r>
    </w:p>
    <w:p>
      <w:pPr>
        <w:spacing w:after="0" w:line="110" w:lineRule="exact"/>
        <w:rPr>
          <w:sz w:val="20"/>
          <w:szCs w:val="20"/>
          <w:color w:val="auto"/>
        </w:rPr>
      </w:pPr>
    </w:p>
    <w:p>
      <w:pPr>
        <w:jc w:val="both"/>
        <w:ind w:firstLine="656"/>
        <w:spacing w:after="0" w:line="266" w:lineRule="auto"/>
        <w:tabs>
          <w:tab w:leader="none" w:pos="11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 Insiders and other individuals designated by the Compliance Officer as “</w:t>
      </w:r>
      <w:r>
        <w:rPr>
          <w:rFonts w:ascii="Times New Roman" w:cs="Times New Roman" w:eastAsia="Times New Roman" w:hAnsi="Times New Roman"/>
          <w:sz w:val="22"/>
          <w:szCs w:val="22"/>
          <w:b w:val="1"/>
          <w:bCs w:val="1"/>
          <w:i w:val="1"/>
          <w:iCs w:val="1"/>
          <w:color w:val="auto"/>
        </w:rPr>
        <w:t>Covered Individual Requiring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Pre-Clearance for Trades</w:t>
      </w:r>
      <w:r>
        <w:rPr>
          <w:rFonts w:ascii="Times New Roman" w:cs="Times New Roman" w:eastAsia="Times New Roman" w:hAnsi="Times New Roman"/>
          <w:sz w:val="22"/>
          <w:szCs w:val="22"/>
          <w:color w:val="auto"/>
        </w:rPr>
        <w:t>,” must obtain pre-clearance from the Compliance Officer or one of his or her designees before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Company Securities.</w:t>
      </w:r>
    </w:p>
    <w:p>
      <w:pPr>
        <w:spacing w:after="0" w:line="55" w:lineRule="exact"/>
        <w:rPr>
          <w:rFonts w:ascii="Times New Roman" w:cs="Times New Roman" w:eastAsia="Times New Roman" w:hAnsi="Times New Roman"/>
          <w:sz w:val="22"/>
          <w:szCs w:val="22"/>
          <w:color w:val="auto"/>
        </w:rPr>
      </w:pPr>
    </w:p>
    <w:p>
      <w:pPr>
        <w:ind w:firstLine="656"/>
        <w:spacing w:after="0" w:line="295" w:lineRule="auto"/>
        <w:tabs>
          <w:tab w:leader="none" w:pos="114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Covered Individual Requiring Pre-Clearance for Trades must notify the Compliance Officer of the amount and nature of the proposed trade(s) using the Pre-Clearance Request form attached in substantially the form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w:t>
      </w:r>
    </w:p>
    <w:p>
      <w:pPr>
        <w:spacing w:after="0" w:line="27" w:lineRule="exact"/>
        <w:rPr>
          <w:rFonts w:ascii="Times New Roman" w:cs="Times New Roman" w:eastAsia="Times New Roman" w:hAnsi="Times New Roman"/>
          <w:sz w:val="21"/>
          <w:szCs w:val="21"/>
          <w:color w:val="auto"/>
        </w:rPr>
      </w:pPr>
    </w:p>
    <w:p>
      <w:pPr>
        <w:jc w:val="both"/>
        <w:ind w:firstLine="656"/>
        <w:spacing w:after="0" w:line="263" w:lineRule="auto"/>
        <w:tabs>
          <w:tab w:leader="none" w:pos="120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Requests for pre-clearance must be submitted via email to the Compliance Officer at least </w:t>
      </w:r>
      <w:r>
        <w:rPr>
          <w:rFonts w:ascii="Times New Roman" w:cs="Times New Roman" w:eastAsia="Times New Roman" w:hAnsi="Times New Roman"/>
          <w:sz w:val="22"/>
          <w:szCs w:val="22"/>
          <w:u w:val="single" w:color="auto"/>
          <w:color w:val="auto"/>
        </w:rPr>
        <w:t>two</w:t>
      </w:r>
      <w:r>
        <w:rPr>
          <w:rFonts w:ascii="Times New Roman" w:cs="Times New Roman" w:eastAsia="Times New Roman" w:hAnsi="Times New Roman"/>
          <w:sz w:val="22"/>
          <w:szCs w:val="22"/>
          <w:color w:val="auto"/>
        </w:rPr>
        <w:t xml:space="preserve"> business days in advance of each proposed transaction. If the Insider does not receive a response from the Compliance Officer within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xml:space="preserve"> hours, the Insider must follow up to ensure that the message was received.</w:t>
      </w:r>
    </w:p>
    <w:p>
      <w:pPr>
        <w:spacing w:after="0" w:line="59" w:lineRule="exact"/>
        <w:rPr>
          <w:rFonts w:ascii="Times New Roman" w:cs="Times New Roman" w:eastAsia="Times New Roman" w:hAnsi="Times New Roman"/>
          <w:sz w:val="22"/>
          <w:szCs w:val="22"/>
          <w:color w:val="auto"/>
        </w:rPr>
      </w:pPr>
    </w:p>
    <w:p>
      <w:pPr>
        <w:jc w:val="both"/>
        <w:ind w:firstLine="656"/>
        <w:spacing w:after="0" w:line="251" w:lineRule="auto"/>
        <w:tabs>
          <w:tab w:leader="none" w:pos="120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this approval process does not obligate the Compliance Officer to approve any particular trade requested by a Covered Individual Requiring Pre-Clearance for Trades. From time to time, an event may occur that is material to the Company and is known by only a few Directors or Executives. So long as the event remains material and non-public, the Compliance Officer may determine not to approve any transactions in Company’s Securities. If a Covered Individual Requiring Pre-Clearance for Trades requests clearance to trade in Company’s Securities during the pendency of such an event, the Compliance Officer may reject the trading request without disclosing the reason.</w:t>
      </w:r>
    </w:p>
    <w:p>
      <w:pPr>
        <w:spacing w:after="0" w:line="73" w:lineRule="exact"/>
        <w:rPr>
          <w:rFonts w:ascii="Times New Roman" w:cs="Times New Roman" w:eastAsia="Times New Roman" w:hAnsi="Times New Roman"/>
          <w:sz w:val="22"/>
          <w:szCs w:val="22"/>
          <w:color w:val="auto"/>
        </w:rPr>
      </w:pPr>
    </w:p>
    <w:p>
      <w:pPr>
        <w:ind w:firstLine="656"/>
        <w:spacing w:after="0" w:line="271" w:lineRule="auto"/>
        <w:tabs>
          <w:tab w:leader="none" w:pos="115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receiving written clearance to engage in a trade by the Compliance Officer, a Covered Individual Requiring Pre-Clearance for Trades must complete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140" w:name="page141"/>
    <w:bookmarkEnd w:id="140"/>
    <w:p>
      <w:pPr>
        <w:spacing w:after="0" w:line="271" w:lineRule="auto"/>
        <w:rPr>
          <w:sz w:val="20"/>
          <w:szCs w:val="20"/>
          <w:color w:val="auto"/>
        </w:rPr>
      </w:pPr>
      <w:r>
        <w:rPr>
          <w:rFonts w:ascii="Times New Roman" w:cs="Times New Roman" w:eastAsia="Times New Roman" w:hAnsi="Times New Roman"/>
          <w:sz w:val="22"/>
          <w:szCs w:val="22"/>
          <w:color w:val="auto"/>
        </w:rPr>
        <w:t>proposed trade within three (3) business days of the intended date disclosed on the Pre-Clearance Form or make a new trading request.</w:t>
      </w:r>
    </w:p>
    <w:p>
      <w:pPr>
        <w:spacing w:after="0" w:line="50" w:lineRule="exact"/>
        <w:rPr>
          <w:sz w:val="20"/>
          <w:szCs w:val="20"/>
          <w:color w:val="auto"/>
        </w:rPr>
      </w:pPr>
    </w:p>
    <w:p>
      <w:pPr>
        <w:ind w:firstLine="656"/>
        <w:spacing w:after="0" w:line="309" w:lineRule="auto"/>
        <w:tabs>
          <w:tab w:leader="none" w:pos="108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person designated by the Compliance Officer as a Covered Individual Requiring Pre-Clearance for Trades shall be notified of such designation, and Company shall maintain a list of all Covered Individual Requiring Pre-Clearance for Trades</w:t>
      </w:r>
    </w:p>
    <w:p>
      <w:pPr>
        <w:spacing w:after="0" w:line="9" w:lineRule="exact"/>
        <w:rPr>
          <w:sz w:val="20"/>
          <w:szCs w:val="20"/>
          <w:color w:val="auto"/>
        </w:rPr>
      </w:pPr>
    </w:p>
    <w:p>
      <w:pPr>
        <w:jc w:val="both"/>
        <w:ind w:firstLine="656"/>
        <w:spacing w:after="0" w:line="254" w:lineRule="auto"/>
        <w:tabs>
          <w:tab w:leader="none" w:pos="1255"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Rule 10b5-1 Plans.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 Rule 10b5-1, a person may have an affirmative defense to insider trading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transactions in Company Securities that are effected pursuant to a written contract or plan meeting certain requirements (a “10b5-1 Plan”). In short, the rule presents an opportunity for a person to pre-arrange a sale or purchase of Company Securities (including an option exercise), provided that, at the time the person establishes such a plan, he or she is not aware of material non-public information.</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order to satisfy Rule 10b5-1, a 10b5-1 Plan must:</w:t>
      </w:r>
    </w:p>
    <w:p>
      <w:pPr>
        <w:spacing w:after="0" w:line="112" w:lineRule="exact"/>
        <w:rPr>
          <w:sz w:val="20"/>
          <w:szCs w:val="20"/>
          <w:color w:val="auto"/>
        </w:rPr>
      </w:pPr>
    </w:p>
    <w:p>
      <w:pPr>
        <w:ind w:left="660" w:right="100" w:hanging="4"/>
        <w:spacing w:after="0" w:line="271" w:lineRule="auto"/>
        <w:tabs>
          <w:tab w:leader="none" w:pos="111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documented in writing to instruct another person who is not aware of material non-public information to execute the transactions;</w:t>
      </w:r>
    </w:p>
    <w:p>
      <w:pPr>
        <w:spacing w:after="0" w:line="4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established in good faith and at a time when the person is not aware of material non-public information; and</w:t>
      </w:r>
    </w:p>
    <w:p>
      <w:pPr>
        <w:spacing w:after="0" w:line="111" w:lineRule="exact"/>
        <w:rPr>
          <w:rFonts w:ascii="Times New Roman" w:cs="Times New Roman" w:eastAsia="Times New Roman" w:hAnsi="Times New Roman"/>
          <w:sz w:val="22"/>
          <w:szCs w:val="22"/>
          <w:color w:val="auto"/>
        </w:rPr>
      </w:pPr>
    </w:p>
    <w:p>
      <w:pPr>
        <w:ind w:left="660" w:right="120" w:hanging="4"/>
        <w:spacing w:after="0" w:line="284" w:lineRule="auto"/>
        <w:tabs>
          <w:tab w:leader="none" w:pos="111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objective criteria (date, price threshold, etc.) used to determine the timing and terms of the purchase or sale, and otherwise not be subject to any influence or discretion from the person establishing the plan.</w:t>
      </w:r>
    </w:p>
    <w:p>
      <w:pPr>
        <w:spacing w:after="0" w:line="275" w:lineRule="exact"/>
        <w:rPr>
          <w:sz w:val="20"/>
          <w:szCs w:val="20"/>
          <w:color w:val="auto"/>
        </w:rPr>
      </w:pPr>
    </w:p>
    <w:p>
      <w:pPr>
        <w:jc w:val="both"/>
        <w:ind w:right="100" w:firstLine="656"/>
        <w:spacing w:after="0" w:line="264" w:lineRule="auto"/>
        <w:tabs>
          <w:tab w:leader="none" w:pos="1269"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Pre-Clearance of Rule 10b5-1 Plans Required.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Pre-clearance by the Compliance Officer is required for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Insider to enter into or modify a 10b5-1 Plan. 10b5-1 Plans that are not pre-cleared may not be used by an Insider. Pre-clearance must be requested at least five full trading days prior to entry into or modification of the plan. However, pre-clearance will not be required for individual transactions effected pursuant to a pre-cleared Rule 10b5-1 trading plan. All Section 16 Insiders must immediately report the results of transactions effected under a trading plan to the Compliance Officer since they will be reportable on Form 4 within two business days following execution. Notwithstanding the foregoing, any 10b5-1 Plan for the Compliance Officer shall be subject to pre-clearance by the Corporate Securities and Compliance Counsel.</w:t>
      </w:r>
    </w:p>
    <w:p>
      <w:pPr>
        <w:spacing w:after="0" w:line="57" w:lineRule="exact"/>
        <w:rPr>
          <w:rFonts w:ascii="Times New Roman" w:cs="Times New Roman" w:eastAsia="Times New Roman" w:hAnsi="Times New Roman"/>
          <w:sz w:val="21"/>
          <w:szCs w:val="21"/>
          <w:b w:val="1"/>
          <w:bCs w:val="1"/>
          <w:color w:val="auto"/>
        </w:rPr>
      </w:pPr>
    </w:p>
    <w:p>
      <w:pPr>
        <w:jc w:val="both"/>
        <w:ind w:right="120" w:firstLine="656"/>
        <w:spacing w:after="0" w:line="258" w:lineRule="auto"/>
        <w:tabs>
          <w:tab w:leader="none" w:pos="1255"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Special Guidelines for 10b5-1 Plans.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foregoing, an Insider will not be deemed to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violated this Policy for transactions pursuant to a 10b5-1 Plan that has been pre-cleared by the Compliance Officer. The Compliance Officer may withhold or condition pre-clearance of any proposed 10b5-1 Plan (each, a “Proposed Plan”) for any reason, in his or her sole discretion.</w:t>
      </w:r>
    </w:p>
    <w:p>
      <w:pPr>
        <w:spacing w:after="0" w:line="64" w:lineRule="exact"/>
        <w:rPr>
          <w:sz w:val="20"/>
          <w:szCs w:val="20"/>
          <w:color w:val="auto"/>
        </w:rPr>
      </w:pPr>
    </w:p>
    <w:p>
      <w:pPr>
        <w:ind w:left="1100" w:hanging="444"/>
        <w:spacing w:after="0"/>
        <w:tabs>
          <w:tab w:leader="none" w:pos="11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will not pre-clear a Proposed Plan if he or she concludes that the Proposed Plan:</w:t>
      </w:r>
    </w:p>
    <w:p>
      <w:pPr>
        <w:spacing w:after="0" w:line="11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comply with the requirements of Rule 10b5-1,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141" w:name="page142"/>
    <w:bookmarkEnd w:id="141"/>
    <w:p>
      <w:pPr>
        <w:jc w:val="both"/>
        <w:ind w:left="1960" w:hanging="656"/>
        <w:spacing w:after="0" w:line="256" w:lineRule="auto"/>
        <w:tabs>
          <w:tab w:leader="none" w:pos="195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Would permit a transaction to occur before the </w:t>
      </w:r>
      <w:r>
        <w:rPr>
          <w:rFonts w:ascii="Times New Roman" w:cs="Times New Roman" w:eastAsia="Times New Roman" w:hAnsi="Times New Roman"/>
          <w:sz w:val="22"/>
          <w:szCs w:val="22"/>
          <w:u w:val="single" w:color="auto"/>
          <w:color w:val="auto"/>
        </w:rPr>
        <w:t>later</w:t>
      </w:r>
      <w:r>
        <w:rPr>
          <w:rFonts w:ascii="Times New Roman" w:cs="Times New Roman" w:eastAsia="Times New Roman" w:hAnsi="Times New Roman"/>
          <w:sz w:val="22"/>
          <w:szCs w:val="22"/>
          <w:color w:val="auto"/>
        </w:rPr>
        <w:t xml:space="preserve"> of (i) 90 days after adoption (including deemed adoption) of the Proposed Plan or (ii) two business days after disclosure of the issuer’s financial results in a Form 10-Q or Form 10-K for the quarter in which the Proposed Plan was adopted (subject to a maximum of 120 days after adoption of the Proposed Plan).</w:t>
      </w:r>
    </w:p>
    <w:p>
      <w:pPr>
        <w:spacing w:after="0" w:line="68"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6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established during a “closed” window period or a special “blackout” period, or the Insider is unable to represent to the satisfaction of the Compliance Officer that the Insider is not in possession of material nonpublic information regarding the Company.</w:t>
      </w:r>
    </w:p>
    <w:p>
      <w:pPr>
        <w:spacing w:after="0" w:line="64" w:lineRule="exact"/>
        <w:rPr>
          <w:rFonts w:ascii="Times New Roman" w:cs="Times New Roman" w:eastAsia="Times New Roman" w:hAnsi="Times New Roman"/>
          <w:sz w:val="22"/>
          <w:szCs w:val="22"/>
          <w:color w:val="auto"/>
        </w:rPr>
      </w:pPr>
    </w:p>
    <w:p>
      <w:pPr>
        <w:ind w:left="1960" w:hanging="656"/>
        <w:spacing w:after="0" w:line="284" w:lineRule="auto"/>
        <w:tabs>
          <w:tab w:leader="none" w:pos="194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result in overlapping Plans except in limited scenarios, such as two separate Plans in which the second Plan may not commence trading until the expiration of the first.</w:t>
      </w:r>
    </w:p>
    <w:p>
      <w:pPr>
        <w:spacing w:after="0" w:line="35"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5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Lacks appropriate mechanisms to ensure that the Insider complies with all rules and regulations, including Rule 144, Rule 701, Form S-8, and Section 16 of the Exchange Act, applicable to securities transactions by the Insider.</w:t>
      </w:r>
    </w:p>
    <w:p>
      <w:pPr>
        <w:spacing w:after="0" w:line="64"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4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provide the Company the right to suspend all transactions under the Proposed Plan if the Compliance Officer, in his or her sole discretion, deems such suspension necessary or advisable, including suspensions to comply with any “lock-up” agreement the Company agrees to in connection with a financing or other similar events.</w:t>
      </w:r>
    </w:p>
    <w:p>
      <w:pPr>
        <w:spacing w:after="0" w:line="6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Exposes the Company to liability under any other applicable state or federal rule, regulation or law;</w:t>
      </w:r>
    </w:p>
    <w:p>
      <w:pPr>
        <w:spacing w:after="0" w:line="11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Creates any appearance of impropriety;</w:t>
      </w:r>
    </w:p>
    <w:p>
      <w:pPr>
        <w:spacing w:after="0" w:line="11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meet guidelines established by the Company; or</w:t>
      </w:r>
    </w:p>
    <w:p>
      <w:pPr>
        <w:spacing w:after="0" w:line="12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fails to satisfy the Compliance Officer for any reason.</w:t>
      </w:r>
    </w:p>
    <w:p>
      <w:pPr>
        <w:spacing w:after="0" w:line="111" w:lineRule="exact"/>
        <w:rPr>
          <w:rFonts w:ascii="Times New Roman" w:cs="Times New Roman" w:eastAsia="Times New Roman" w:hAnsi="Times New Roman"/>
          <w:sz w:val="22"/>
          <w:szCs w:val="22"/>
          <w:color w:val="auto"/>
        </w:rPr>
      </w:pPr>
    </w:p>
    <w:p>
      <w:pPr>
        <w:ind w:firstLine="656"/>
        <w:spacing w:after="0" w:line="271" w:lineRule="auto"/>
        <w:tabs>
          <w:tab w:leader="none" w:pos="112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10b5-1 Plan must be established at a time when the trading window is open and the person is not in possession of material nonpublic information.</w:t>
      </w:r>
    </w:p>
    <w:p>
      <w:pPr>
        <w:spacing w:after="0" w:line="49"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23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10b5-1 Plan must provide appropriate mechanisms to ensure that the Insider complies with all rules and regulations, including Rule 144, Rule 701 and Section 16(b), applicable to securities transactions under the 10b5-1 Plan by the Insider.</w:t>
      </w:r>
    </w:p>
    <w:p>
      <w:pPr>
        <w:spacing w:after="0" w:line="59" w:lineRule="exact"/>
        <w:rPr>
          <w:rFonts w:ascii="Times New Roman" w:cs="Times New Roman" w:eastAsia="Times New Roman" w:hAnsi="Times New Roman"/>
          <w:sz w:val="22"/>
          <w:szCs w:val="22"/>
          <w:color w:val="auto"/>
        </w:rPr>
      </w:pPr>
    </w:p>
    <w:p>
      <w:pPr>
        <w:jc w:val="both"/>
        <w:ind w:firstLine="656"/>
        <w:spacing w:after="0" w:line="252" w:lineRule="auto"/>
        <w:tabs>
          <w:tab w:leader="none" w:pos="112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10b5-1 Plan must 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spacing w:after="0" w:line="71" w:lineRule="exact"/>
        <w:rPr>
          <w:rFonts w:ascii="Times New Roman" w:cs="Times New Roman" w:eastAsia="Times New Roman" w:hAnsi="Times New Roman"/>
          <w:sz w:val="22"/>
          <w:szCs w:val="22"/>
          <w:color w:val="auto"/>
        </w:rPr>
      </w:pPr>
    </w:p>
    <w:p>
      <w:pPr>
        <w:ind w:firstLine="656"/>
        <w:spacing w:after="0" w:line="284" w:lineRule="auto"/>
        <w:tabs>
          <w:tab w:leader="none" w:pos="110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modifications to or deviations from a 10b5-1 Plan are deemed to be the Insider entering into a new 10b5-1 Plan and, accordingly, require pre-clearance of such modification or deviation pursuant to Paragraph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1" w:right="339" w:bottom="1440" w:gutter="0" w:footer="0" w:header="0"/>
        </w:sectPr>
      </w:pPr>
    </w:p>
    <w:bookmarkStart w:id="142" w:name="page143"/>
    <w:bookmarkEnd w:id="142"/>
    <w:p>
      <w:pPr>
        <w:jc w:val="both"/>
        <w:ind w:firstLine="656"/>
        <w:spacing w:after="0" w:line="256" w:lineRule="auto"/>
        <w:tabs>
          <w:tab w:leader="none" w:pos="114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a 10b5-1 Plan must be immediately reported to the Compliance Officer. If an Insider has pre-cleared a new 10b5-1 Plan (the “Second Plan”) intended to succeed an earlier pre-cleared 10b5-1 Plan (the “First Plan”), the Insider may not affirmatively terminate the First Plan without pre-clearance pursuant to Paragraph 16, because such termination is deemed to be entering into the Second Plan.</w:t>
      </w:r>
    </w:p>
    <w:p>
      <w:pPr>
        <w:spacing w:after="0" w:line="68" w:lineRule="exact"/>
        <w:rPr>
          <w:rFonts w:ascii="Times New Roman" w:cs="Times New Roman" w:eastAsia="Times New Roman" w:hAnsi="Times New Roman"/>
          <w:sz w:val="22"/>
          <w:szCs w:val="22"/>
          <w:color w:val="auto"/>
        </w:rPr>
      </w:pPr>
    </w:p>
    <w:p>
      <w:pPr>
        <w:jc w:val="both"/>
        <w:ind w:firstLine="656"/>
        <w:spacing w:after="0" w:line="252" w:lineRule="auto"/>
        <w:tabs>
          <w:tab w:leader="none" w:pos="13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the Compliance Officer, nor any of the Company’s officers, employees or other representatives shall be deemed, solely by their pre-clearance of a Proposed Plan, to have represented that it complies with Rule 10b5-1 or to have assumed any liability or responsibility to the Insider or any other party if the 10b5-1 Plan fails to comply with Rule 10b5-1.</w:t>
      </w:r>
    </w:p>
    <w:p>
      <w:pPr>
        <w:spacing w:after="0" w:line="84" w:lineRule="exact"/>
        <w:rPr>
          <w:rFonts w:ascii="Times New Roman" w:cs="Times New Roman" w:eastAsia="Times New Roman" w:hAnsi="Times New Roman"/>
          <w:sz w:val="22"/>
          <w:szCs w:val="22"/>
          <w:color w:val="auto"/>
        </w:rPr>
      </w:pPr>
    </w:p>
    <w:p>
      <w:pPr>
        <w:jc w:val="both"/>
        <w:ind w:firstLine="656"/>
        <w:spacing w:after="0" w:line="252" w:lineRule="auto"/>
        <w:tabs>
          <w:tab w:leader="none" w:pos="116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entering into or amending a 10b5-1 Plan, the director or officer must promptly provide a copy of the plan to the Company and, upon request, confirm the Company’s planned disclosure regarding the entry into or termination of a plan (including the date of adoption or termination of the plan, duration of the plan, and aggregate number of securities to be sold or purchased under the plan.</w:t>
      </w:r>
    </w:p>
    <w:p>
      <w:pPr>
        <w:spacing w:after="0" w:line="67" w:lineRule="exact"/>
        <w:rPr>
          <w:sz w:val="20"/>
          <w:szCs w:val="20"/>
          <w:color w:val="auto"/>
        </w:rPr>
      </w:pPr>
    </w:p>
    <w:p>
      <w:pPr>
        <w:ind w:firstLine="656"/>
        <w:spacing w:after="0" w:line="299" w:lineRule="auto"/>
        <w:tabs>
          <w:tab w:leader="none" w:pos="1174"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Responsible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Company’s Compliance Officer is responsible for administering this Policy. To the extent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have any questions related to this Policy or the topics addressed hereby, please contact the Company’s Compliance Officer.</w:t>
      </w:r>
    </w:p>
    <w:p>
      <w:pPr>
        <w:spacing w:after="0" w:line="32" w:lineRule="exact"/>
        <w:rPr>
          <w:rFonts w:ascii="Times New Roman" w:cs="Times New Roman" w:eastAsia="Times New Roman" w:hAnsi="Times New Roman"/>
          <w:sz w:val="21"/>
          <w:szCs w:val="21"/>
          <w:b w:val="1"/>
          <w:bCs w:val="1"/>
          <w:color w:val="auto"/>
        </w:rPr>
      </w:pPr>
    </w:p>
    <w:p>
      <w:pPr>
        <w:jc w:val="both"/>
        <w:ind w:firstLine="656"/>
        <w:spacing w:after="0" w:line="253" w:lineRule="auto"/>
        <w:tabs>
          <w:tab w:leader="none" w:pos="1215"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Post-Employment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are aware of material non-public information about the Company when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terminates, this Policy’s restrictions on trading and communicating material non-public information will continue to apply. As such, you may not trade in Company Securities until that information has become public or is no longer material.</w:t>
      </w:r>
    </w:p>
    <w:p>
      <w:pPr>
        <w:spacing w:after="0" w:line="67" w:lineRule="exact"/>
        <w:rPr>
          <w:rFonts w:ascii="Times New Roman" w:cs="Times New Roman" w:eastAsia="Times New Roman" w:hAnsi="Times New Roman"/>
          <w:sz w:val="22"/>
          <w:szCs w:val="22"/>
          <w:b w:val="1"/>
          <w:bCs w:val="1"/>
          <w:color w:val="auto"/>
        </w:rPr>
      </w:pPr>
    </w:p>
    <w:p>
      <w:pPr>
        <w:jc w:val="both"/>
        <w:ind w:firstLine="656"/>
        <w:spacing w:after="0" w:line="252" w:lineRule="auto"/>
        <w:tabs>
          <w:tab w:leader="none" w:pos="1174"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Questions and Delivery of this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will be delivered to all persons covered by the Policy upon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adoption by the Company, and to all new directors, employees, officers and where appropriate, contractors and consultants, at the commencement of their employment or association with the Company. Thereafter, this Policy shall be distributed annually or posted on the Company’s internal website where it is accessible to all employees. All persons covered under the Policy must certify their understanding of, and intent to comply with, the Policy. The Compliance Officer may periodically require persons covered by this Policy to refresh their acknowledgment of and agreement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Exhibit A - PRE-CLEARANCE FORM</w:t>
            </w:r>
          </w:p>
        </w:tc>
      </w:tr>
      <w:tr>
        <w:trPr>
          <w:trHeight w:val="505"/>
        </w:trPr>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M E M O R A N D U M</w:t>
            </w:r>
          </w:p>
        </w:tc>
      </w:tr>
      <w:tr>
        <w:trPr>
          <w:trHeight w:val="48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To:</w:t>
            </w:r>
          </w:p>
        </w:tc>
        <w:tc>
          <w:tcPr>
            <w:tcW w:w="73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[___________], General Counsel</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From:</w:t>
            </w:r>
          </w:p>
        </w:tc>
        <w:tc>
          <w:tcPr>
            <w:tcW w:w="73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[Name]</w:t>
            </w:r>
          </w:p>
        </w:tc>
      </w:tr>
      <w:tr>
        <w:trPr>
          <w:trHeight w:val="281"/>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6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_____________, 20__</w:t>
            </w:r>
          </w:p>
        </w:tc>
        <w:tc>
          <w:tcPr>
            <w:tcW w:w="3660" w:type="dxa"/>
            <w:vAlign w:val="bottom"/>
          </w:tcPr>
          <w:p>
            <w:pPr>
              <w:spacing w:after="0"/>
              <w:rPr>
                <w:sz w:val="24"/>
                <w:szCs w:val="24"/>
                <w:color w:val="auto"/>
              </w:rPr>
            </w:pPr>
          </w:p>
        </w:tc>
      </w:tr>
    </w:tbl>
    <w:p>
      <w:pPr>
        <w:ind w:left="940" w:right="160" w:hanging="1295"/>
        <w:spacing w:after="0" w:line="248" w:lineRule="auto"/>
        <w:tabs>
          <w:tab w:leader="none" w:pos="920" w:val="left"/>
        </w:tabs>
        <w:rPr>
          <w:sz w:val="20"/>
          <w:szCs w:val="20"/>
          <w:color w:val="auto"/>
        </w:rPr>
      </w:pPr>
      <w:r>
        <w:rPr>
          <w:rFonts w:ascii="Times New Roman" w:cs="Times New Roman" w:eastAsia="Times New Roman" w:hAnsi="Times New Roman"/>
          <w:sz w:val="22"/>
          <w:szCs w:val="22"/>
          <w:color w:val="auto"/>
        </w:rPr>
        <w:t>Subject:</w:t>
        <w:tab/>
        <w:t>Proposed Transaction in Company Securities by Section 16 Insiders, and other “Insider” Employees, Consultants and Contractors</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This memorandum is to advise you that the undersigned intends to execute a transaction in the Company’s securities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 and does hereby request that the Company pre-clear the transaction as required by the Company’s Insider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Trading Policy for directors, executive officers, senior management, and other “Insider” employees (the “Policy”).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general nature of the transaction is as follows:</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2"/>
          <w:szCs w:val="22"/>
          <w:color w:val="auto"/>
        </w:rPr>
        <w:t>( )</w:t>
      </w:r>
      <w:r>
        <w:rPr>
          <w:sz w:val="20"/>
          <w:szCs w:val="20"/>
          <w:color w:val="auto"/>
        </w:rPr>
        <w:tab/>
      </w:r>
      <w:r>
        <w:rPr>
          <w:rFonts w:ascii="Times New Roman" w:cs="Times New Roman" w:eastAsia="Times New Roman" w:hAnsi="Times New Roman"/>
          <w:sz w:val="21"/>
          <w:szCs w:val="21"/>
          <w:color w:val="auto"/>
        </w:rPr>
        <w:t>Purchase up to ___________ shares of Company common stock (excludes the exercise of stock options to hold shares)</w:t>
      </w:r>
    </w:p>
    <w:p>
      <w:pPr>
        <w:spacing w:after="0" w:line="4" w:lineRule="exact"/>
        <w:rPr>
          <w:sz w:val="20"/>
          <w:szCs w:val="20"/>
          <w:color w:val="auto"/>
        </w:rPr>
      </w:pPr>
    </w:p>
    <w:p>
      <w:pPr>
        <w:ind w:firstLine="8"/>
        <w:spacing w:after="0" w:line="244" w:lineRule="auto"/>
        <w:tabs>
          <w:tab w:leader="none" w:pos="1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Sell up to ___________ shares Company common stock acquired through the Company’s Employee Stock Purchase Plan (the “ESPP”)</w:t>
      </w:r>
    </w:p>
    <w:p>
      <w:pPr>
        <w:ind w:firstLine="8"/>
        <w:spacing w:after="0" w:line="248" w:lineRule="auto"/>
        <w:tabs>
          <w:tab w:leader="none" w:pos="12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Sell up to ____________ shares of Company common stock acquired other than through the ESPP (includes the exercise of stock options with same day sales)</w:t>
      </w:r>
    </w:p>
    <w:p>
      <w:pPr>
        <w:spacing w:after="0" w:line="1"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Other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-29210</wp:posOffset>
            </wp:positionV>
            <wp:extent cx="48006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 have reviewed and considered the Policy and I represent that am NOT in possession of any material non-public information (as defined in the Policy) about the Company and will not enter into the transaction if I come into possession of material non-public information about the Company between the date hereof and the proposed transaction execution date. Accordingly, I intend to trade securities only during an open window as described in the Policy.</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 have read and understand the Policy and certify that the above transaction will not violate the Policy and complies with all rules and regulations, including Rule 144, Rule 701, Form S-8, and Section 16 of the Securities Exchange Act of 1934, as amended, applicable to securities transactions by Insiders. I understand that certain types of transactions are prohibited and agree not to participate in these types of trades.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agree to advise the Company promptly if, as a result of future developments, any of the foregoing information becomes inaccurate or incomplete in any respect. If I do not effect the above transaction within three (3) days of the date that the transaction has been approved by the General Counsel, I agree to resubmit a new pre-clearance request. I also agree to report any stock trades to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Approved by the General Counsel of Skyward Specialty Insurance Group,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139"/>
          </w:cols>
          <w:pgMar w:left="320" w:top="1440" w:right="144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SKYWARD SPECIALTY INSURANCE GROUP, INC.</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ORGANIZATION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297180</wp:posOffset>
            </wp:positionV>
            <wp:extent cx="5657850" cy="3608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5657850" cy="360870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320" w:firstLine="3318"/>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77" w:lineRule="exact"/>
        <w:rPr>
          <w:sz w:val="20"/>
          <w:szCs w:val="20"/>
          <w:color w:val="auto"/>
        </w:rPr>
      </w:pPr>
    </w:p>
    <w:p>
      <w:pPr>
        <w:ind w:left="580" w:hanging="248"/>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333-269208),</w:t>
      </w:r>
    </w:p>
    <w:p>
      <w:pPr>
        <w:spacing w:after="0" w:line="15" w:lineRule="exact"/>
        <w:rPr>
          <w:rFonts w:ascii="Times New Roman" w:cs="Times New Roman" w:eastAsia="Times New Roman" w:hAnsi="Times New Roman"/>
          <w:sz w:val="18"/>
          <w:szCs w:val="18"/>
          <w:color w:val="auto"/>
        </w:rPr>
      </w:pPr>
    </w:p>
    <w:p>
      <w:pPr>
        <w:ind w:left="580" w:hanging="248"/>
        <w:spacing w:after="0" w:line="234" w:lineRule="auto"/>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333-278524), and</w:t>
      </w:r>
    </w:p>
    <w:p>
      <w:pPr>
        <w:ind w:left="580" w:hanging="248"/>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333-279129)</w:t>
      </w:r>
    </w:p>
    <w:p>
      <w:pPr>
        <w:spacing w:after="0" w:line="219"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color w:val="auto"/>
        </w:rPr>
        <w:t>pertaining to the Share Purchase and Award Agreement, the 2016 Equity Incentive Program, the 2020 Long Term Incentive Plan, the 2022 Long-Term Incentive Plan, and the 2022 Employee Stock Purchase Plan of Skyward Specialty Insurance Group, Inc. of our reports dated March 3, 2025, with respect to the consolidated financial statements of Skyward Specialty Insurance Group, Inc. and the effectiveness of internal control over financial reporting of Skyward Specialty Insurance Group, Inc. included in this Annual Report (Form 10-K) of Skyward Specialty Insurance Group, Inc. for the year ended December 31, 2024.</w:t>
      </w: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Houston, Texas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3, 2025</w:t>
      </w:r>
    </w:p>
    <w:p>
      <w:pPr>
        <w:sectPr>
          <w:pgSz w:w="11900" w:h="16838" w:orient="portrait"/>
          <w:cols w:equalWidth="0" w:num="1">
            <w:col w:w="11240"/>
          </w:cols>
          <w:pgMar w:left="320" w:top="11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Robinson, certify that:</w:t>
      </w:r>
    </w:p>
    <w:p>
      <w:pPr>
        <w:spacing w:after="0" w:line="117"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3, 2025</w:t>
            </w: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11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Haushill, certify that:</w:t>
      </w:r>
    </w:p>
    <w:p>
      <w:pPr>
        <w:spacing w:after="0" w:line="117"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3, 2025</w:t>
            </w: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Skyward Specialty Insurance Group, Inc. (the “Company”) for the twelve months ended December 31, 2024,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72" w:lineRule="exact"/>
        <w:rPr>
          <w:sz w:val="20"/>
          <w:szCs w:val="20"/>
          <w:color w:val="auto"/>
        </w:rPr>
      </w:pPr>
    </w:p>
    <w:p>
      <w:pPr>
        <w:ind w:left="580" w:hanging="248"/>
        <w:spacing w:after="0"/>
        <w:tabs>
          <w:tab w:leader="none" w:pos="5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3, 2025</w:t>
            </w: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3, 2025</w:t>
            </w: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1."/>
      <w:numFmt w:val="decimal"/>
      <w:start w:val="1"/>
    </w:lvl>
  </w:abstractNum>
  <w:abstractNum w:abstractNumId="4">
    <w:nsid w:val="10233C99"/>
    <w:multiLevelType w:val="hybridMultilevel"/>
    <w:lvl w:ilvl="0">
      <w:lvlJc w:val="left"/>
      <w:lvlText w:val="%1."/>
      <w:numFmt w:val="decimal"/>
      <w:start w:val="5"/>
    </w:lvl>
  </w:abstractNum>
  <w:abstractNum w:abstractNumId="5">
    <w:nsid w:val="3F6AB60F"/>
    <w:multiLevelType w:val="hybridMultilevel"/>
    <w:lvl w:ilvl="0">
      <w:lvlJc w:val="left"/>
      <w:lvlText w:val="%1."/>
      <w:numFmt w:val="decimal"/>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1)"/>
      <w:numFmt w:val="decimal"/>
      <w:start w:val="1"/>
    </w:lvl>
  </w:abstractNum>
  <w:abstractNum w:abstractNumId="8">
    <w:nsid w:val="77AE35EB"/>
    <w:multiLevelType w:val="hybridMultilevel"/>
    <w:lvl w:ilvl="0">
      <w:lvlJc w:val="left"/>
      <w:lvlText w:val="(%1)"/>
      <w:numFmt w:val="decimal"/>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1)"/>
      <w:numFmt w:val="decimal"/>
      <w:start w:val="1"/>
    </w:lvl>
  </w:abstractNum>
  <w:abstractNum w:abstractNumId="24">
    <w:nsid w:val="799D0247"/>
    <w:multiLevelType w:val="hybridMultilevel"/>
    <w:lvl w:ilvl="0">
      <w:lvlJc w:val="left"/>
      <w:lvlText w:val="(%1)"/>
      <w:numFmt w:val="decimal"/>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1."/>
      <w:numFmt w:val="upperLetter"/>
      <w:start w:val="2"/>
    </w:lvl>
  </w:abstractNum>
  <w:abstractNum w:abstractNumId="28">
    <w:nsid w:val="1EBA5D23"/>
    <w:multiLevelType w:val="hybridMultilevel"/>
    <w:lvl w:ilvl="0">
      <w:lvlJc w:val="left"/>
      <w:lvlText w:val="%1."/>
      <w:numFmt w:val="upperLetter"/>
      <w:start w:val="3"/>
    </w:lvl>
  </w:abstractNum>
  <w:abstractNum w:abstractNumId="29">
    <w:nsid w:val="661E3F1E"/>
    <w:multiLevelType w:val="hybridMultilevel"/>
    <w:lvl w:ilvl="0">
      <w:lvlJc w:val="left"/>
      <w:lvlText w:val="%1."/>
      <w:numFmt w:val="upperLetter"/>
      <w:start w:val="5"/>
    </w:lvl>
  </w:abstractNum>
  <w:abstractNum w:abstractNumId="30">
    <w:nsid w:val="5DC79EA8"/>
    <w:multiLevelType w:val="hybridMultilevel"/>
    <w:lvl w:ilvl="0">
      <w:lvlJc w:val="left"/>
      <w:lvlText w:val="%1."/>
      <w:numFmt w:val="upperLetter"/>
      <w:start w:val="6"/>
    </w:lvl>
  </w:abstractNum>
  <w:abstractNum w:abstractNumId="31">
    <w:nsid w:val="540A471C"/>
    <w:multiLevelType w:val="hybridMultilevel"/>
    <w:lvl w:ilvl="0">
      <w:lvlJc w:val="left"/>
      <w:lvlText w:val="%1."/>
      <w:numFmt w:val="upperLetter"/>
      <w:start w:val="7"/>
    </w:lvl>
  </w:abstractNum>
  <w:abstractNum w:abstractNumId="32">
    <w:nsid w:val="7BD3EE7B"/>
    <w:multiLevelType w:val="hybridMultilevel"/>
    <w:lvl w:ilvl="0">
      <w:lvlJc w:val="left"/>
      <w:lvlText w:val="%1."/>
      <w:numFmt w:val="upperLetter"/>
      <w:start w:val="8"/>
    </w:lvl>
  </w:abstractNum>
  <w:abstractNum w:abstractNumId="33">
    <w:nsid w:val="51D9C564"/>
    <w:multiLevelType w:val="hybridMultilevel"/>
    <w:lvl w:ilvl="0">
      <w:lvlJc w:val="left"/>
      <w:lvlText w:val="%1."/>
      <w:numFmt w:val="upperLetter"/>
      <w:start w:val="9"/>
    </w:lvl>
  </w:abstractNum>
  <w:abstractNum w:abstractNumId="34">
    <w:nsid w:val="613EFDC5"/>
    <w:multiLevelType w:val="hybridMultilevel"/>
    <w:lvl w:ilvl="0">
      <w:lvlJc w:val="left"/>
      <w:lvlText w:val="%1."/>
      <w:numFmt w:val="upperLetter"/>
      <w:start w:val="11"/>
    </w:lvl>
  </w:abstractNum>
  <w:abstractNum w:abstractNumId="35">
    <w:nsid w:val="BF72B14"/>
    <w:multiLevelType w:val="hybridMultilevel"/>
    <w:lvl w:ilvl="0">
      <w:lvlJc w:val="left"/>
      <w:lvlText w:val="%1."/>
      <w:numFmt w:val="upperLetter"/>
      <w:start w:val="12"/>
    </w:lvl>
  </w:abstractNum>
  <w:abstractNum w:abstractNumId="36">
    <w:nsid w:val="11447B73"/>
    <w:multiLevelType w:val="hybridMultilevel"/>
    <w:lvl w:ilvl="0">
      <w:lvlJc w:val="left"/>
      <w:lvlText w:val="%1."/>
      <w:numFmt w:val="upperLetter"/>
      <w:start w:val="13"/>
    </w:lvl>
  </w:abstractNum>
  <w:abstractNum w:abstractNumId="37">
    <w:nsid w:val="42963E5A"/>
    <w:multiLevelType w:val="hybridMultilevel"/>
    <w:lvl w:ilvl="0">
      <w:lvlJc w:val="left"/>
      <w:lvlText w:val="%1."/>
      <w:numFmt w:val="upperLetter"/>
      <w:start w:val="14"/>
    </w:lvl>
  </w:abstractNum>
  <w:abstractNum w:abstractNumId="38">
    <w:nsid w:val="A0382C5"/>
    <w:multiLevelType w:val="hybridMultilevel"/>
    <w:lvl w:ilvl="0">
      <w:lvlJc w:val="left"/>
      <w:lvlText w:val="%1."/>
      <w:numFmt w:val="upperLetter"/>
      <w:start w:val="15"/>
    </w:lvl>
  </w:abstractNum>
  <w:abstractNum w:abstractNumId="39">
    <w:nsid w:val="8F2B15E"/>
    <w:multiLevelType w:val="hybridMultilevel"/>
    <w:lvl w:ilvl="0">
      <w:lvlJc w:val="left"/>
      <w:lvlText w:val="%1."/>
      <w:numFmt w:val="upperLetter"/>
      <w:start w:val="16"/>
    </w:lvl>
  </w:abstractNum>
  <w:abstractNum w:abstractNumId="40">
    <w:nsid w:val="1A32234B"/>
    <w:multiLevelType w:val="hybridMultilevel"/>
    <w:lvl w:ilvl="0">
      <w:lvlJc w:val="left"/>
      <w:lvlText w:val="%1."/>
      <w:numFmt w:val="upperLetter"/>
      <w:start w:val="17"/>
    </w:lvl>
  </w:abstractNum>
  <w:abstractNum w:abstractNumId="41">
    <w:nsid w:val="3B0FD379"/>
    <w:multiLevelType w:val="hybridMultilevel"/>
    <w:lvl w:ilvl="0">
      <w:lvlJc w:val="left"/>
      <w:lvlText w:val="%1."/>
      <w:numFmt w:val="upperLetter"/>
      <w:start w:val="19"/>
    </w:lvl>
  </w:abstractNum>
  <w:abstractNum w:abstractNumId="42">
    <w:nsid w:val="68EB2F63"/>
    <w:multiLevelType w:val="hybridMultilevel"/>
    <w:lvl w:ilvl="0">
      <w:lvlJc w:val="left"/>
      <w:lvlText w:val="%1."/>
      <w:numFmt w:val="decimal"/>
      <w:start w:val="2"/>
    </w:lvl>
  </w:abstractNum>
  <w:abstractNum w:abstractNumId="43">
    <w:nsid w:val="4962813B"/>
    <w:multiLevelType w:val="hybridMultilevel"/>
    <w:lvl w:ilvl="0">
      <w:lvlJc w:val="left"/>
      <w:lvlText w:val="%1."/>
      <w:numFmt w:val="decimal"/>
      <w:start w:val="2"/>
    </w:lvl>
  </w:abstractNum>
  <w:abstractNum w:abstractNumId="44">
    <w:nsid w:val="60B6DF70"/>
    <w:multiLevelType w:val="hybridMultilevel"/>
    <w:lvl w:ilvl="0">
      <w:lvlJc w:val="left"/>
      <w:lvlText w:val="%1."/>
      <w:numFmt w:val="decimal"/>
      <w:start w:val="3"/>
    </w:lvl>
  </w:abstractNum>
  <w:abstractNum w:abstractNumId="45">
    <w:nsid w:val="6A5EE64"/>
    <w:multiLevelType w:val="hybridMultilevel"/>
    <w:lvl w:ilvl="0">
      <w:lvlJc w:val="left"/>
      <w:lvlText w:val="%1."/>
      <w:numFmt w:val="decimal"/>
      <w:start w:val="3"/>
    </w:lvl>
  </w:abstractNum>
  <w:abstractNum w:abstractNumId="46">
    <w:nsid w:val="14330624"/>
    <w:multiLevelType w:val="hybridMultilevel"/>
    <w:lvl w:ilvl="0">
      <w:lvlJc w:val="left"/>
      <w:lvlText w:val="%1."/>
      <w:numFmt w:val="decimal"/>
      <w:start w:val="3"/>
    </w:lvl>
  </w:abstractNum>
  <w:abstractNum w:abstractNumId="47">
    <w:nsid w:val="7FFFCA11"/>
    <w:multiLevelType w:val="hybridMultilevel"/>
    <w:lvl w:ilvl="0">
      <w:lvlJc w:val="left"/>
      <w:lvlText w:val="%1."/>
      <w:numFmt w:val="decimal"/>
      <w:start w:val="3"/>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1."/>
      <w:numFmt w:val="decimal"/>
      <w:start w:val="3"/>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1."/>
      <w:numFmt w:val="decimal"/>
      <w:start w:val="3"/>
    </w:lvl>
  </w:abstractNum>
  <w:abstractNum w:abstractNumId="52">
    <w:nsid w:val="6EB5BD4"/>
    <w:multiLevelType w:val="hybridMultilevel"/>
    <w:lvl w:ilvl="0">
      <w:lvlJc w:val="left"/>
      <w:lvlText w:val="%1."/>
      <w:numFmt w:val="decimal"/>
      <w:start w:val="9"/>
    </w:lvl>
  </w:abstractNum>
  <w:abstractNum w:abstractNumId="53">
    <w:nsid w:val="6F6DD9AC"/>
    <w:multiLevelType w:val="hybridMultilevel"/>
    <w:lvl w:ilvl="0">
      <w:lvlJc w:val="left"/>
      <w:lvlText w:val="%1."/>
      <w:numFmt w:val="decimal"/>
      <w:start w:val="11"/>
    </w:lvl>
  </w:abstractNum>
  <w:abstractNum w:abstractNumId="54">
    <w:nsid w:val="94211F2"/>
    <w:multiLevelType w:val="hybridMultilevel"/>
    <w:lvl w:ilvl="0">
      <w:lvlJc w:val="left"/>
      <w:lvlText w:val="%1."/>
      <w:numFmt w:val="decimal"/>
      <w:start w:val="12"/>
    </w:lvl>
  </w:abstractNum>
  <w:abstractNum w:abstractNumId="55">
    <w:nsid w:val="885E1B"/>
    <w:multiLevelType w:val="hybridMultilevel"/>
    <w:lvl w:ilvl="0">
      <w:lvlJc w:val="left"/>
      <w:lvlText w:val="%1."/>
      <w:numFmt w:val="decimal"/>
      <w:start w:val="12"/>
    </w:lvl>
  </w:abstractNum>
  <w:abstractNum w:abstractNumId="56">
    <w:nsid w:val="76272110"/>
    <w:multiLevelType w:val="hybridMultilevel"/>
    <w:lvl w:ilvl="0">
      <w:lvlJc w:val="left"/>
      <w:lvlText w:val="%1."/>
      <w:numFmt w:val="decimal"/>
      <w:start w:val="12"/>
    </w:lvl>
  </w:abstractNum>
  <w:abstractNum w:abstractNumId="57">
    <w:nsid w:val="4C04A8AF"/>
    <w:multiLevelType w:val="hybridMultilevel"/>
    <w:lvl w:ilvl="0">
      <w:lvlJc w:val="left"/>
      <w:lvlText w:val="%1."/>
      <w:numFmt w:val="decimal"/>
      <w:start w:val="17"/>
    </w:lvl>
  </w:abstractNum>
  <w:abstractNum w:abstractNumId="58">
    <w:nsid w:val="1716703B"/>
    <w:multiLevelType w:val="hybridMultilevel"/>
    <w:lvl w:ilvl="0">
      <w:lvlJc w:val="left"/>
      <w:lvlText w:val="(%1)"/>
      <w:numFmt w:val="decimal"/>
      <w:start w:val="1"/>
    </w:lvl>
  </w:abstractNum>
  <w:abstractNum w:abstractNumId="59">
    <w:nsid w:val="14E17E33"/>
    <w:multiLevelType w:val="hybridMultilevel"/>
    <w:lvl w:ilvl="0">
      <w:lvlJc w:val="left"/>
      <w:lvlText w:val="%1."/>
      <w:numFmt w:val="decimal"/>
      <w:start w:val="19"/>
    </w:lvl>
  </w:abstractNum>
  <w:abstractNum w:abstractNumId="60">
    <w:nsid w:val="3222E7CD"/>
    <w:multiLevelType w:val="hybridMultilevel"/>
    <w:lvl w:ilvl="0">
      <w:lvlJc w:val="left"/>
      <w:lvlText w:val="%1."/>
      <w:numFmt w:val="decimal"/>
      <w:start w:val="21"/>
    </w:lvl>
  </w:abstractNum>
  <w:abstractNum w:abstractNumId="61">
    <w:nsid w:val="74DE0EE3"/>
    <w:multiLevelType w:val="hybridMultilevel"/>
    <w:lvl w:ilvl="0">
      <w:lvlJc w:val="left"/>
      <w:lvlText w:val="%1."/>
      <w:numFmt w:val="decimal"/>
      <w:start w:val="22"/>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1)"/>
      <w:numFmt w:val="lowerRoman"/>
      <w:start w:val="1"/>
    </w:lvl>
  </w:abstractNum>
  <w:abstractNum w:abstractNumId="64">
    <w:nsid w:val="46B7D447"/>
    <w:multiLevelType w:val="hybridMultilevel"/>
    <w:lvl w:ilvl="0">
      <w:lvlJc w:val="left"/>
      <w:lvlText w:val="(%1)"/>
      <w:numFmt w:val="decimal"/>
      <w:start w:val="3"/>
    </w:lvl>
  </w:abstractNum>
  <w:abstractNum w:abstractNumId="65">
    <w:nsid w:val="4A2AC315"/>
    <w:multiLevelType w:val="hybridMultilevel"/>
    <w:lvl w:ilvl="0">
      <w:lvlJc w:val="left"/>
      <w:lvlText w:val="%1"/>
      <w:numFmt w:val="decimal"/>
      <w:start w:val="97"/>
    </w:lvl>
  </w:abstractNum>
  <w:abstractNum w:abstractNumId="66">
    <w:nsid w:val="39EE015C"/>
    <w:multiLevelType w:val="hybridMultilevel"/>
    <w:lvl w:ilvl="0">
      <w:lvlJc w:val="left"/>
      <w:lvlText w:val="*"/>
      <w:numFmt w:val="bullet"/>
      <w:start w:val="1"/>
    </w:lvl>
    <w:lvl w:ilvl="1">
      <w:lvlJc w:val="left"/>
      <w:lvlText w:val="%2"/>
      <w:numFmt w:val="decimal"/>
      <w:start w:val="104"/>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1)"/>
      <w:numFmt w:val="decimal"/>
      <w:start w:val="1"/>
    </w:lvl>
  </w:abstractNum>
  <w:abstractNum w:abstractNumId="69">
    <w:nsid w:val="43F18422"/>
    <w:multiLevelType w:val="hybridMultilevel"/>
    <w:lvl w:ilvl="0">
      <w:lvlJc w:val="left"/>
      <w:lvlText w:val="%1."/>
      <w:numFmt w:val="decimal"/>
      <w:start w:val="1"/>
    </w:lvl>
    <w:lvl w:ilvl="1">
      <w:lvlJc w:val="left"/>
      <w:lvlText w:val="(%2)"/>
      <w:numFmt w:val="lowerLetter"/>
      <w:start w:val="1"/>
    </w:lvl>
  </w:abstractNum>
  <w:abstractNum w:abstractNumId="70">
    <w:nsid w:val="60EF0119"/>
    <w:multiLevelType w:val="hybridMultilevel"/>
    <w:lvl w:ilvl="0">
      <w:lvlJc w:val="left"/>
      <w:lvlText w:val="%1"/>
      <w:numFmt w:val="decimal"/>
      <w:start w:val="1"/>
    </w:lvl>
    <w:lvl w:ilvl="1">
      <w:lvlJc w:val="left"/>
      <w:lvlText w:val="(%2)"/>
      <w:numFmt w:val="lowerLetter"/>
      <w:start w:val="2"/>
    </w:lvl>
  </w:abstractNum>
  <w:abstractNum w:abstractNumId="71">
    <w:nsid w:val="26F324BA"/>
    <w:multiLevelType w:val="hybridMultilevel"/>
    <w:lvl w:ilvl="0">
      <w:lvlJc w:val="left"/>
      <w:lvlText w:val="%1."/>
      <w:numFmt w:val="decimal"/>
      <w:start w:val="7"/>
    </w:lvl>
    <w:lvl w:ilvl="1">
      <w:lvlJc w:val="left"/>
      <w:lvlText w:val="(%2)"/>
      <w:numFmt w:val="lowerLetter"/>
      <w:start w:val="1"/>
    </w:lvl>
  </w:abstractNum>
  <w:abstractNum w:abstractNumId="72">
    <w:nsid w:val="7F01579B"/>
    <w:multiLevelType w:val="hybridMultilevel"/>
    <w:lvl w:ilvl="0">
      <w:lvlJc w:val="left"/>
      <w:lvlText w:val="%1."/>
      <w:numFmt w:val="decimal"/>
      <w:start w:val="10"/>
    </w:lvl>
  </w:abstractNum>
  <w:abstractNum w:abstractNumId="73">
    <w:nsid w:val="49DA307D"/>
    <w:multiLevelType w:val="hybridMultilevel"/>
    <w:lvl w:ilvl="0">
      <w:lvlJc w:val="left"/>
      <w:lvlText w:val="%1."/>
      <w:numFmt w:val="decimal"/>
      <w:start w:val="16"/>
    </w:lvl>
  </w:abstractNum>
  <w:abstractNum w:abstractNumId="74">
    <w:nsid w:val="7055A5F5"/>
    <w:multiLevelType w:val="hybridMultilevel"/>
    <w:lvl w:ilvl="0">
      <w:lvlJc w:val="left"/>
      <w:lvlText w:val="%1."/>
      <w:numFmt w:val="decimal"/>
      <w:start w:val="22"/>
    </w:lvl>
  </w:abstractNum>
  <w:abstractNum w:abstractNumId="75">
    <w:nsid w:val="5FB8370B"/>
    <w:multiLevelType w:val="hybridMultilevel"/>
    <w:lvl w:ilvl="0">
      <w:lvlJc w:val="left"/>
      <w:lvlText w:val="(%1)"/>
      <w:numFmt w:val="lowerLetter"/>
      <w:start w:val="1"/>
    </w:lvl>
  </w:abstractNum>
  <w:abstractNum w:abstractNumId="76">
    <w:nsid w:val="50801EE1"/>
    <w:multiLevelType w:val="hybridMultilevel"/>
    <w:lvl w:ilvl="0">
      <w:lvlJc w:val="left"/>
      <w:lvlText w:val="%1."/>
      <w:numFmt w:val="decimal"/>
      <w:start w:val="1"/>
    </w:lvl>
  </w:abstractNum>
  <w:abstractNum w:abstractNumId="77">
    <w:nsid w:val="488AC1A"/>
    <w:multiLevelType w:val="hybridMultilevel"/>
    <w:lvl w:ilvl="0">
      <w:lvlJc w:val="left"/>
      <w:lvlText w:val="%1."/>
      <w:numFmt w:val="decimal"/>
      <w:start w:val="2"/>
    </w:lvl>
  </w:abstractNum>
  <w:abstractNum w:abstractNumId="78">
    <w:nsid w:val="5FB8011C"/>
    <w:multiLevelType w:val="hybridMultilevel"/>
    <w:lvl w:ilvl="0">
      <w:lvlJc w:val="left"/>
      <w:lvlText w:val="%1."/>
      <w:numFmt w:val="decimal"/>
      <w:start w:val="3"/>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1."/>
      <w:numFmt w:val="decimal"/>
      <w:start w:val="4"/>
    </w:lvl>
  </w:abstractNum>
  <w:abstractNum w:abstractNumId="82">
    <w:nsid w:val="6A5F7029"/>
    <w:multiLevelType w:val="hybridMultilevel"/>
    <w:lvl w:ilvl="0">
      <w:lvlJc w:val="left"/>
      <w:lvlText w:val="%1"/>
      <w:numFmt w:val="decimal"/>
      <w:start w:val="1"/>
    </w:lvl>
    <w:lvl w:ilvl="1">
      <w:lvlJc w:val="left"/>
      <w:lvlText w:val="%2:"/>
      <w:numFmt w:val="lowerLetter"/>
      <w:start w:val="29"/>
    </w:lvl>
  </w:abstractNum>
  <w:abstractNum w:abstractNumId="83">
    <w:nsid w:val="7D5E18F8"/>
    <w:multiLevelType w:val="hybridMultilevel"/>
    <w:lvl w:ilvl="0">
      <w:lvlJc w:val="left"/>
      <w:lvlText w:val="%1."/>
      <w:numFmt w:val="decimal"/>
      <w:start w:val="5"/>
    </w:lvl>
    <w:lvl w:ilvl="1">
      <w:lvlJc w:val="left"/>
      <w:lvlText w:val="%2"/>
      <w:numFmt w:val="lowerLetter"/>
      <w:start w:val="1"/>
    </w:lvl>
  </w:abstractNum>
  <w:abstractNum w:abstractNumId="84">
    <w:nsid w:val="5F3534A4"/>
    <w:multiLevelType w:val="hybridMultilevel"/>
    <w:lvl w:ilvl="0">
      <w:lvlJc w:val="left"/>
      <w:lvlText w:val="(%1)"/>
      <w:numFmt w:val="lowerLetter"/>
      <w:start w:val="1"/>
    </w:lvl>
  </w:abstractNum>
  <w:abstractNum w:abstractNumId="85">
    <w:nsid w:val="73A1821B"/>
    <w:multiLevelType w:val="hybridMultilevel"/>
    <w:lvl w:ilvl="0">
      <w:lvlJc w:val="left"/>
      <w:lvlText w:val="(%1)"/>
      <w:numFmt w:val="lowerLetter"/>
      <w:start w:val="2"/>
    </w:lvl>
  </w:abstractNum>
  <w:abstractNum w:abstractNumId="86">
    <w:nsid w:val="7DE67713"/>
    <w:multiLevelType w:val="hybridMultilevel"/>
    <w:lvl w:ilvl="0">
      <w:lvlJc w:val="left"/>
      <w:lvlText w:val="%1."/>
      <w:numFmt w:val="decimal"/>
      <w:start w:val="1"/>
    </w:lvl>
  </w:abstractNum>
  <w:abstractNum w:abstractNumId="87">
    <w:nsid w:val="555C55B5"/>
    <w:multiLevelType w:val="hybridMultilevel"/>
    <w:lvl w:ilvl="0">
      <w:lvlJc w:val="left"/>
      <w:lvlText w:val="%1."/>
      <w:numFmt w:val="decimal"/>
      <w:start w:val="1"/>
    </w:lvl>
  </w:abstractNum>
  <w:abstractNum w:abstractNumId="88">
    <w:nsid w:val="3FA62ACA"/>
    <w:multiLevelType w:val="hybridMultilevel"/>
    <w:lvl w:ilvl="0">
      <w:lvlJc w:val="left"/>
      <w:lvlText w:val="%1."/>
      <w:numFmt w:val="decimal"/>
      <w:start w:val="5"/>
    </w:lvl>
    <w:lvl w:ilvl="1">
      <w:lvlJc w:val="left"/>
      <w:lvlText w:val="(%2)"/>
      <w:numFmt w:val="lowerRoman"/>
      <w:start w:val="1"/>
    </w:lvl>
  </w:abstractNum>
  <w:abstractNum w:abstractNumId="89">
    <w:nsid w:val="14FCE74E"/>
    <w:multiLevelType w:val="hybridMultilevel"/>
    <w:lvl w:ilvl="0">
      <w:lvlJc w:val="left"/>
      <w:lvlText w:val="%1"/>
      <w:numFmt w:val="decimal"/>
      <w:start w:val="1"/>
    </w:lvl>
    <w:lvl w:ilvl="1">
      <w:lvlJc w:val="left"/>
      <w:lvlText w:val="(%2)"/>
      <w:numFmt w:val="lowerRoman"/>
      <w:start w:val="9"/>
    </w:lvl>
  </w:abstractNum>
  <w:abstractNum w:abstractNumId="90">
    <w:nsid w:val="6A3DD3E8"/>
    <w:multiLevelType w:val="hybridMultilevel"/>
    <w:lvl w:ilvl="0">
      <w:lvlJc w:val="left"/>
      <w:lvlText w:val="%1."/>
      <w:numFmt w:val="decimal"/>
      <w:start w:val="7"/>
    </w:lvl>
    <w:lvl w:ilvl="1">
      <w:lvlJc w:val="left"/>
      <w:lvlText w:val="%2"/>
      <w:numFmt w:val="lowerRoman"/>
      <w:start w:val="1"/>
    </w:lvl>
  </w:abstractNum>
  <w:abstractNum w:abstractNumId="91">
    <w:nsid w:val="71C91298"/>
    <w:multiLevelType w:val="hybridMultilevel"/>
    <w:lvl w:ilvl="0">
      <w:lvlJc w:val="left"/>
      <w:lvlText w:val="%1)"/>
      <w:numFmt w:val="lowerLetter"/>
      <w:start w:val="1"/>
    </w:lvl>
  </w:abstractNum>
  <w:abstractNum w:abstractNumId="92">
    <w:nsid w:val="9DAF632"/>
    <w:multiLevelType w:val="hybridMultilevel"/>
    <w:lvl w:ilvl="0">
      <w:lvlJc w:val="left"/>
      <w:lvlText w:val="(%1)"/>
      <w:numFmt w:val="lowerRoman"/>
      <w:start w:val="1"/>
    </w:lvl>
  </w:abstractNum>
  <w:abstractNum w:abstractNumId="93">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4">
    <w:nsid w:val="1FBFE8E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95">
    <w:nsid w:val="5092CA79"/>
    <w:multiLevelType w:val="hybridMultilevel"/>
    <w:lvl w:ilvl="0">
      <w:lvlJc w:val="left"/>
      <w:lvlText w:val="(%1)"/>
      <w:numFmt w:val="lowerLetter"/>
      <w:start w:val="3"/>
    </w:lvl>
  </w:abstractNum>
  <w:abstractNum w:abstractNumId="96">
    <w:nsid w:val="1D545C4D"/>
    <w:multiLevelType w:val="hybridMultilevel"/>
    <w:lvl w:ilvl="0">
      <w:lvlJc w:val="left"/>
      <w:lvlText w:val="(%1)"/>
      <w:numFmt w:val="lowerLetter"/>
      <w:start w:val="4"/>
    </w:lvl>
  </w:abstractNum>
  <w:abstractNum w:abstractNumId="97">
    <w:nsid w:val="59ADEA3D"/>
    <w:multiLevelType w:val="hybridMultilevel"/>
    <w:lvl w:ilvl="0">
      <w:lvlJc w:val="left"/>
      <w:lvlText w:val="%1."/>
      <w:numFmt w:val="decimal"/>
      <w:start w:val="9"/>
    </w:lvl>
  </w:abstractNum>
  <w:abstractNum w:abstractNumId="98">
    <w:nsid w:val="288F1A34"/>
    <w:multiLevelType w:val="hybridMultilevel"/>
    <w:lvl w:ilvl="0">
      <w:lvlJc w:val="left"/>
      <w:lvlText w:val="%1."/>
      <w:numFmt w:val="decimal"/>
      <w:start w:val="11"/>
    </w:lvl>
  </w:abstractNum>
  <w:abstractNum w:abstractNumId="99">
    <w:nsid w:val="2A155DBC"/>
    <w:multiLevelType w:val="hybridMultilevel"/>
    <w:lvl w:ilvl="0">
      <w:lvlJc w:val="left"/>
      <w:lvlText w:val="(%1)"/>
      <w:numFmt w:val="lowerLetter"/>
      <w:start w:val="1"/>
    </w:lvl>
  </w:abstractNum>
  <w:abstractNum w:abstractNumId="100">
    <w:nsid w:val="1D9F6E5F"/>
    <w:multiLevelType w:val="hybridMultilevel"/>
    <w:lvl w:ilvl="0">
      <w:lvlJc w:val="left"/>
      <w:lvlText w:val="(%1)"/>
      <w:numFmt w:val="lowerRoman"/>
      <w:start w:val="1"/>
    </w:lvl>
  </w:abstractNum>
  <w:abstractNum w:abstractNumId="101">
    <w:nsid w:val="97E1B4E"/>
    <w:multiLevelType w:val="hybridMultilevel"/>
    <w:lvl w:ilvl="0">
      <w:lvlJc w:val="left"/>
      <w:lvlText w:val="%1."/>
      <w:numFmt w:val="decimal"/>
      <w:start w:val="14"/>
    </w:lvl>
  </w:abstractNum>
  <w:abstractNum w:abstractNumId="102">
    <w:nsid w:val="51088277"/>
    <w:multiLevelType w:val="hybridMultilevel"/>
    <w:lvl w:ilvl="0">
      <w:lvlJc w:val="left"/>
      <w:lvlText w:val="(%1)"/>
      <w:numFmt w:val="lowerLetter"/>
      <w:start w:val="1"/>
    </w:lvl>
  </w:abstractNum>
  <w:abstractNum w:abstractNumId="103">
    <w:nsid w:val="1CA0C5FA"/>
    <w:multiLevelType w:val="hybridMultilevel"/>
    <w:lvl w:ilvl="0">
      <w:lvlJc w:val="left"/>
      <w:lvlText w:val="(%1)"/>
      <w:numFmt w:val="lowerLetter"/>
      <w:start w:val="6"/>
    </w:lvl>
  </w:abstractNum>
  <w:abstractNum w:abstractNumId="104">
    <w:nsid w:val="53584BCB"/>
    <w:multiLevelType w:val="hybridMultilevel"/>
    <w:lvl w:ilvl="0">
      <w:lvlJc w:val="left"/>
      <w:lvlText w:val="%1."/>
      <w:numFmt w:val="decimal"/>
      <w:start w:val="15"/>
    </w:lvl>
  </w:abstractNum>
  <w:abstractNum w:abstractNumId="105">
    <w:nsid w:val="415E286C"/>
    <w:multiLevelType w:val="hybridMultilevel"/>
    <w:lvl w:ilvl="0">
      <w:lvlJc w:val="left"/>
      <w:lvlText w:val="(%1)"/>
      <w:numFmt w:val="lowerLetter"/>
      <w:start w:val="1"/>
    </w:lvl>
  </w:abstractNum>
  <w:abstractNum w:abstractNumId="106">
    <w:nsid w:val="7C58FD05"/>
    <w:multiLevelType w:val="hybridMultilevel"/>
    <w:lvl w:ilvl="0">
      <w:lvlJc w:val="left"/>
      <w:lvlText w:val="%1."/>
      <w:numFmt w:val="decimal"/>
      <w:start w:val="16"/>
    </w:lvl>
  </w:abstractNum>
  <w:abstractNum w:abstractNumId="107">
    <w:nsid w:val="23D86AAC"/>
    <w:multiLevelType w:val="hybridMultilevel"/>
    <w:lvl w:ilvl="0">
      <w:lvlJc w:val="left"/>
      <w:lvlText w:val="(%1)"/>
      <w:numFmt w:val="lowerLetter"/>
      <w:start w:val="1"/>
    </w:lvl>
    <w:lvl w:ilvl="1">
      <w:lvlJc w:val="left"/>
      <w:lvlText w:val="(%2)"/>
      <w:numFmt w:val="lowerLetter"/>
      <w:start w:val="9"/>
    </w:lvl>
  </w:abstractNum>
  <w:abstractNum w:abstractNumId="108">
    <w:nsid w:val="45E6D486"/>
    <w:multiLevelType w:val="hybridMultilevel"/>
    <w:lvl w:ilvl="0">
      <w:lvlJc w:val="left"/>
      <w:lvlText w:val="%1"/>
      <w:numFmt w:val="lowerLetter"/>
      <w:start w:val="1"/>
    </w:lvl>
    <w:lvl w:ilvl="1">
      <w:lvlJc w:val="left"/>
      <w:lvlText w:val="(%2)"/>
      <w:numFmt w:val="lowerRoman"/>
      <w:start w:val="2"/>
    </w:lvl>
  </w:abstractNum>
  <w:abstractNum w:abstractNumId="109">
    <w:nsid w:val="5C10FE21"/>
    <w:multiLevelType w:val="hybridMultilevel"/>
    <w:lvl w:ilvl="0">
      <w:lvlJc w:val="left"/>
      <w:lvlText w:val="(%1)"/>
      <w:numFmt w:val="lowerLetter"/>
      <w:start w:val="2"/>
    </w:lvl>
    <w:lvl w:ilvl="1">
      <w:lvlJc w:val="left"/>
      <w:lvlText w:val="%2"/>
      <w:numFmt w:val="lowerRoman"/>
      <w:start w:val="1"/>
    </w:lvl>
  </w:abstractNum>
  <w:abstractNum w:abstractNumId="110">
    <w:nsid w:val="E7FFA2B"/>
    <w:multiLevelType w:val="hybridMultilevel"/>
    <w:lvl w:ilvl="0">
      <w:lvlJc w:val="left"/>
      <w:lvlText w:val="(%1)"/>
      <w:numFmt w:val="lowerLetter"/>
      <w:start w:val="6"/>
    </w:lvl>
  </w:abstractNum>
  <w:abstractNum w:abstractNumId="111">
    <w:nsid w:val="3C5991AA"/>
    <w:multiLevelType w:val="hybridMultilevel"/>
    <w:lvl w:ilvl="0">
      <w:lvlJc w:val="left"/>
      <w:lvlText w:val="%1."/>
      <w:numFmt w:val="decimal"/>
      <w:start w:val="18"/>
    </w:lvl>
  </w:abstractNum>
  <w:abstractNum w:abstractNumId="112">
    <w:nsid w:val="4BD8591A"/>
    <w:multiLevelType w:val="hybridMultilevel"/>
    <w:lvl w:ilvl="0">
      <w:lvlJc w:val="left"/>
      <w:lvlText w:val="("/>
      <w:numFmt w:val="bullet"/>
      <w:start w:val="1"/>
    </w:lvl>
  </w:abstractNum>
  <w:abstractNum w:abstractNumId="113">
    <w:nsid w:val="78DF6A55"/>
    <w:multiLevelType w:val="hybridMultilevel"/>
    <w:lvl w:ilvl="0">
      <w:lvlJc w:val="left"/>
      <w:lvlText w:val="(%1)"/>
      <w:numFmt w:val="decimal"/>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lvl w:ilvl="1">
      <w:lvlJc w:val="left"/>
      <w:lvlText w:val="%2."/>
      <w:numFmt w:val="lowerLetter"/>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79"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jpe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jpeg"/><Relationship Id="rId215" Type="http://schemas.openxmlformats.org/officeDocument/2006/relationships/image" Target="media/image175.png"/><Relationship Id="rId216" Type="http://schemas.openxmlformats.org/officeDocument/2006/relationships/image" Target="media/image176.jpeg"/><Relationship Id="rId150" Type="http://schemas.openxmlformats.org/officeDocument/2006/relationships/hyperlink" Target="https://www.sec.gov/Archives/edgar/data/1519449/000110465922117762/tm228594d12_ex3-1.htm" TargetMode="External"/><Relationship Id="rId151" Type="http://schemas.openxmlformats.org/officeDocument/2006/relationships/hyperlink" Target="https://www.sec.gov/Archives/edgar/data/1519449/000110465922117762/tm228594d12_ex3-2.htm" TargetMode="External"/><Relationship Id="rId152" Type="http://schemas.openxmlformats.org/officeDocument/2006/relationships/hyperlink" Target="https://www.sec.gov/Archives/edgar/data/1519449/000110465922117762/tm228594d12_ex4-1.htm" TargetMode="External"/><Relationship Id="rId153" Type="http://schemas.openxmlformats.org/officeDocument/2006/relationships/hyperlink" Target="https://www.sec.gov/Archives/edgar/data/1519449/000151944923000008/exhibit42descriptionofcapt.htm" TargetMode="External"/><Relationship Id="rId154" Type="http://schemas.openxmlformats.org/officeDocument/2006/relationships/hyperlink" Target="https://www.sec.gov/Archives/edgar/data/1519449/000110465922117762/tm228594d12_ex10-1.htm" TargetMode="External"/><Relationship Id="rId155" Type="http://schemas.openxmlformats.org/officeDocument/2006/relationships/hyperlink" Target="https://www.sec.gov/Archives/edgar/data/1519449/000110465922117762/tm228594d12_ex10-2.htm" TargetMode="External"/><Relationship Id="rId156" Type="http://schemas.openxmlformats.org/officeDocument/2006/relationships/hyperlink" Target="https://www.sec.gov/Archives/edgar/data/1519449/000110465922117762/tm228594d12_ex10-3.htm" TargetMode="External"/><Relationship Id="rId157" Type="http://schemas.openxmlformats.org/officeDocument/2006/relationships/hyperlink" Target="https://www.sec.gov/Archives/edgar/data/1519449/000110465922117762/tm228594d12_ex10-4.htm" TargetMode="External"/><Relationship Id="rId158" Type="http://schemas.openxmlformats.org/officeDocument/2006/relationships/hyperlink" Target="https://www.sec.gov/Archives/edgar/data/1519449/000110465922117762/tm228594d12_ex10-5.htm" TargetMode="External"/><Relationship Id="rId159" Type="http://schemas.openxmlformats.org/officeDocument/2006/relationships/hyperlink" Target="https://www.sec.gov/Archives/edgar/data/1519449/000110465923003482/tm233124d1_ex99-6.htm" TargetMode="External"/><Relationship Id="rId162" Type="http://schemas.openxmlformats.org/officeDocument/2006/relationships/hyperlink" Target="https://www.sec.gov/Archives/edgar/data/1519449/000110465923003482/tm233124d1_ex99-7.htm" TargetMode="External"/><Relationship Id="rId163" Type="http://schemas.openxmlformats.org/officeDocument/2006/relationships/hyperlink" Target="https://www.sec.gov/Archives/edgar/data/1519449/000110465923003482/tm233124d1_ex99-8.htm" TargetMode="External"/><Relationship Id="rId164" Type="http://schemas.openxmlformats.org/officeDocument/2006/relationships/hyperlink" Target="https://www.sec.gov/Archives/edgar/data/1519449/000110465923003482/tm233124d1_ex99-9.htm" TargetMode="External"/><Relationship Id="rId165" Type="http://schemas.openxmlformats.org/officeDocument/2006/relationships/hyperlink" Target="https://www.sec.gov/Archives/edgar/data/1519449/000151944923000008/exhibit1010performancebase.htm" TargetMode="External"/><Relationship Id="rId166" Type="http://schemas.openxmlformats.org/officeDocument/2006/relationships/hyperlink" Target="https://www.sec.gov/Archives/edgar/data/1519449/000151944923000008/exhibit1011performancebase.htm" TargetMode="External"/><Relationship Id="rId167" Type="http://schemas.openxmlformats.org/officeDocument/2006/relationships/hyperlink" Target="https://www.sec.gov/Archives/edgar/data/1519449/000151944923000008/exhibit1012performanceunit.htm" TargetMode="External"/><Relationship Id="rId168" Type="http://schemas.openxmlformats.org/officeDocument/2006/relationships/hyperlink" Target="https://www.sec.gov/Archives/edgar/data/1519449/000151944924000012/exhibit10132024-2026perfor.htm" TargetMode="External"/><Relationship Id="rId169" Type="http://schemas.openxmlformats.org/officeDocument/2006/relationships/hyperlink" Target="https://www.sec.gov/Archives/edgar/data/1519449/000151944924000012/exhibit10142024-2026perfor.htm" TargetMode="External"/><Relationship Id="rId170" Type="http://schemas.openxmlformats.org/officeDocument/2006/relationships/hyperlink" Target="https://www.sec.gov/Archives/edgar/data/1519449/000151944924000012/exhibit10152024-2026perfor.htm" TargetMode="External"/><Relationship Id="rId171" Type="http://schemas.openxmlformats.org/officeDocument/2006/relationships/hyperlink" Target="https://www.sec.gov/Archives/edgar/data/1519449/000151944924000012/exhibit10162024-2026perfor.htm" TargetMode="External"/><Relationship Id="rId172" Type="http://schemas.openxmlformats.org/officeDocument/2006/relationships/hyperlink" Target="https://www.sec.gov/Archives/edgar/data/1519449/000151944924000012/exhibit10172024-2026restri.htm" TargetMode="External"/><Relationship Id="rId173" Type="http://schemas.openxmlformats.org/officeDocument/2006/relationships/hyperlink" Target="https://www.sec.gov/Archives/edgar/data/1519449/000151944924000012/exhibit10182024-2026restri.htm" TargetMode="External"/><Relationship Id="rId174" Type="http://schemas.openxmlformats.org/officeDocument/2006/relationships/hyperlink" Target="https://www.sec.gov/Archives/edgar/data/1519449/000151944924000012/exhibit10192024-2026longxt.htm" TargetMode="External"/><Relationship Id="rId175" Type="http://schemas.openxmlformats.org/officeDocument/2006/relationships/hyperlink" Target="https://www.sec.gov/Archives/edgar/data/1519449/000110465922117762/tm228594d12_ex10-6.htm" TargetMode="External"/><Relationship Id="rId176" Type="http://schemas.openxmlformats.org/officeDocument/2006/relationships/hyperlink" Target="https://www.sec.gov/Archives/edgar/data/1519449/000110465922117762/tm228594d12_ex10-7.htm" TargetMode="External"/><Relationship Id="rId177" Type="http://schemas.openxmlformats.org/officeDocument/2006/relationships/hyperlink" Target="https://www.sec.gov/Archives/edgar/data/1519449/000151944925000003/exhibit101-commutationagre.htm" TargetMode="External"/><Relationship Id="rId178" Type="http://schemas.openxmlformats.org/officeDocument/2006/relationships/hyperlink" Target="https://www.sec.gov/Archives/edgar/data/1519449/000110465922117762/tm228594d12_ex10-15.htm" TargetMode="External"/><Relationship Id="rId180" Type="http://schemas.openxmlformats.org/officeDocument/2006/relationships/hyperlink" Target="https://www.sec.gov/Archives/edgar/data/1519449/000151944924000012/exhibit1026secondamendment.htm" TargetMode="External"/><Relationship Id="rId181" Type="http://schemas.openxmlformats.org/officeDocument/2006/relationships/hyperlink" Target="https://www.sec.gov/Archives/edgar/data/1519449/000151944923000015/exhibit101creditagreement.htm" TargetMode="External"/><Relationship Id="rId182" Type="http://schemas.openxmlformats.org/officeDocument/2006/relationships/hyperlink" Target="https://www.sec.gov/Archives/edgar/data/1519449/000151944924000012/exhibit1028firstamendmentt.htm" TargetMode="External"/><Relationship Id="rId183" Type="http://schemas.openxmlformats.org/officeDocument/2006/relationships/hyperlink" Target="https://www.sec.gov/Archives/edgar/data/1519449/000151944923000015/exhibit102guarantyagreement.htm" TargetMode="External"/><Relationship Id="rId184" Type="http://schemas.openxmlformats.org/officeDocument/2006/relationships/hyperlink" Target="https://www.sec.gov/Archives/edgar/data/1519449/000151944924000039/exhibit-101.htm" TargetMode="External"/><Relationship Id="rId185" Type="http://schemas.openxmlformats.org/officeDocument/2006/relationships/hyperlink" Target="https://www.sec.gov/ix?doc=/Archives/edgar/data/1519449/000151944924000012/skwd-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2025-03-03T17:04:41Z</dcterms:created>
  <dcterms:modified xsi:type="dcterms:W3CDTF">2025-03-03T17:04:41Z</dcterms:modified>
</cp:coreProperties>
</file>