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22"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ind w:left="3740"/>
        <w:spacing w:after="0" w:line="209" w:lineRule="auto"/>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 w:lineRule="exact"/>
        <w:rPr>
          <w:sz w:val="24"/>
          <w:szCs w:val="24"/>
          <w:color w:val="auto"/>
        </w:rPr>
      </w:pPr>
    </w:p>
    <w:p>
      <w:pPr>
        <w:ind w:left="500" w:right="1980" w:hanging="474"/>
        <w:spacing w:after="0" w:line="324" w:lineRule="auto"/>
        <w:tabs>
          <w:tab w:leader="none" w:pos="491"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520" w:right="1580" w:hanging="494"/>
        <w:spacing w:after="0" w:line="325" w:lineRule="auto"/>
        <w:tabs>
          <w:tab w:leader="none" w:pos="5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 to _________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38735</wp:posOffset>
            </wp:positionV>
            <wp:extent cx="1722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ectPr>
          <w:pgSz w:w="11900" w:h="16838" w:orient="portrait"/>
          <w:cols w:equalWidth="0" w:num="1">
            <w:col w:w="11260"/>
          </w:cols>
          <w:pgMar w:left="320" w:top="1305" w:right="319" w:bottom="0" w:gutter="0" w:footer="0" w:header="0"/>
        </w:sectPr>
      </w:pPr>
    </w:p>
    <w:p>
      <w:pPr>
        <w:spacing w:after="0" w:line="22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8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35"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800 Gessner Road, Suite 600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7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(713) 935-4800</w:t>
      </w:r>
    </w:p>
    <w:p>
      <w:pPr>
        <w:spacing w:after="0" w:line="20" w:lineRule="exact"/>
        <w:rPr>
          <w:sz w:val="24"/>
          <w:szCs w:val="24"/>
          <w:color w:val="auto"/>
        </w:rPr>
      </w:pPr>
    </w:p>
    <w:p>
      <w:pPr>
        <w:jc w:val="center"/>
        <w:ind w:left="37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63500</wp:posOffset>
            </wp:positionV>
            <wp:extent cx="1722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14-1957288</w:t>
      </w:r>
    </w:p>
    <w:p>
      <w:pPr>
        <w:spacing w:after="0" w:line="10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pacing w:after="0" w:line="2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77024-4284</w:t>
      </w:r>
    </w:p>
    <w:p>
      <w:pPr>
        <w:spacing w:after="0" w:line="9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(Zip Code)</w:t>
      </w:r>
    </w:p>
    <w:p>
      <w:pPr>
        <w:spacing w:after="0" w:line="1033" w:lineRule="exact"/>
        <w:rPr>
          <w:sz w:val="24"/>
          <w:szCs w:val="24"/>
          <w:color w:val="auto"/>
        </w:rPr>
      </w:pPr>
    </w:p>
    <w:p>
      <w:pPr>
        <w:sectPr>
          <w:pgSz w:w="11900" w:h="16838" w:orient="portrait"/>
          <w:cols w:equalWidth="0" w:num="2">
            <w:col w:w="7460" w:space="280"/>
            <w:col w:w="3520"/>
          </w:cols>
          <w:pgMar w:left="320" w:top="1305" w:right="319" w:bottom="0" w:gutter="0" w:footer="0" w:header="0"/>
          <w:type w:val="continuous"/>
        </w:sectPr>
      </w:pPr>
    </w:p>
    <w:tbl>
      <w:tblPr>
        <w:tblLayout w:type="fixed"/>
        <w:tblInd w:w="10" w:type="dxa"/>
        <w:tblCellMar>
          <w:top w:w="0" w:type="dxa"/>
          <w:left w:w="0" w:type="dxa"/>
          <w:bottom w:w="0" w:type="dxa"/>
          <w:right w:w="0" w:type="dxa"/>
        </w:tblCellMar>
      </w:tblPr>
      <w:tr>
        <w:trPr>
          <w:trHeight w:val="257"/>
        </w:trPr>
        <w:tc>
          <w:tcPr>
            <w:tcW w:w="42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4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SKWD</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76" w:lineRule="exact"/>
        <w:rPr>
          <w:sz w:val="24"/>
          <w:szCs w:val="24"/>
          <w:color w:val="auto"/>
        </w:rPr>
      </w:pPr>
    </w:p>
    <w:p>
      <w:pPr>
        <w:ind w:right="166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4"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250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20" w:type="dxa"/>
            <w:vAlign w:val="bottom"/>
          </w:tcPr>
          <w:p>
            <w:pPr>
              <w:ind w:left="900"/>
              <w:spacing w:after="0"/>
              <w:rPr>
                <w:sz w:val="20"/>
                <w:szCs w:val="20"/>
                <w:color w:val="auto"/>
              </w:rPr>
            </w:pPr>
            <w:r>
              <w:rPr>
                <w:rFonts w:ascii="Wingdings" w:cs="Wingdings" w:eastAsia="Wingdings" w:hAnsi="Wingdings"/>
                <w:sz w:val="18"/>
                <w:szCs w:val="18"/>
                <w:b w:val="1"/>
                <w:bCs w:val="1"/>
                <w:color w:val="auto"/>
              </w:rPr>
              <w:t>o</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2040" w:type="dxa"/>
            <w:vAlign w:val="bottom"/>
          </w:tcPr>
          <w:p>
            <w:pPr>
              <w:ind w:left="1880"/>
              <w:spacing w:after="0"/>
              <w:rPr>
                <w:sz w:val="20"/>
                <w:szCs w:val="20"/>
                <w:color w:val="auto"/>
              </w:rPr>
            </w:pPr>
            <w:r>
              <w:rPr>
                <w:rFonts w:ascii="Wingdings" w:cs="Wingdings" w:eastAsia="Wingdings" w:hAnsi="Wingdings"/>
                <w:sz w:val="18"/>
                <w:szCs w:val="18"/>
                <w:b w:val="1"/>
                <w:bCs w:val="1"/>
                <w:color w:val="auto"/>
                <w:w w:val="86"/>
              </w:rPr>
              <w:t>o</w:t>
            </w:r>
          </w:p>
        </w:tc>
      </w:tr>
      <w:tr>
        <w:trPr>
          <w:trHeight w:val="310"/>
        </w:trPr>
        <w:tc>
          <w:tcPr>
            <w:tcW w:w="250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220" w:type="dxa"/>
            <w:vAlign w:val="bottom"/>
          </w:tcPr>
          <w:p>
            <w:pPr>
              <w:ind w:left="9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40" w:type="dxa"/>
            <w:vAlign w:val="bottom"/>
          </w:tcPr>
          <w:p>
            <w:pPr>
              <w:ind w:left="1880"/>
              <w:spacing w:after="0"/>
              <w:rPr>
                <w:sz w:val="20"/>
                <w:szCs w:val="20"/>
                <w:color w:val="auto"/>
              </w:rPr>
            </w:pPr>
            <w:r>
              <w:rPr>
                <w:rFonts w:ascii="Wingdings" w:cs="Wingdings" w:eastAsia="Wingdings" w:hAnsi="Wingdings"/>
                <w:sz w:val="18"/>
                <w:szCs w:val="18"/>
                <w:b w:val="1"/>
                <w:bCs w:val="1"/>
                <w:color w:val="auto"/>
                <w:w w:val="86"/>
              </w:rPr>
              <w:t>o</w:t>
            </w:r>
          </w:p>
        </w:tc>
      </w:tr>
      <w:tr>
        <w:trPr>
          <w:trHeight w:val="315"/>
        </w:trPr>
        <w:tc>
          <w:tcPr>
            <w:tcW w:w="2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40" w:type="dxa"/>
            <w:vAlign w:val="bottom"/>
          </w:tcPr>
          <w:p>
            <w:pPr>
              <w:ind w:left="188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1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8"/>
          <w:szCs w:val="18"/>
          <w:b w:val="1"/>
          <w:bCs w:val="1"/>
          <w:color w:val="auto"/>
        </w:rPr>
        <w:t>o</w:t>
      </w:r>
    </w:p>
    <w:p>
      <w:pPr>
        <w:spacing w:after="0" w:line="175" w:lineRule="exact"/>
        <w:rPr>
          <w:sz w:val="24"/>
          <w:szCs w:val="24"/>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204"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Wingdings" w:cs="Wingdings" w:eastAsia="Wingdings" w:hAnsi="Wingdings"/>
          <w:sz w:val="18"/>
          <w:szCs w:val="18"/>
          <w:b w:val="1"/>
          <w:bCs w:val="1"/>
          <w:color w:val="auto"/>
        </w:rPr>
        <w:t>o</w:t>
      </w:r>
    </w:p>
    <w:p>
      <w:pPr>
        <w:sectPr>
          <w:pgSz w:w="11900" w:h="16838" w:orient="portrait"/>
          <w:cols w:equalWidth="0" w:num="1">
            <w:col w:w="11260"/>
          </w:cols>
          <w:pgMar w:left="320" w:top="1305" w:right="319" w:bottom="0" w:gutter="0" w:footer="0" w:header="0"/>
          <w:type w:val="continuous"/>
        </w:sectPr>
      </w:pPr>
    </w:p>
    <w:bookmarkStart w:id="1" w:name="page2"/>
    <w:bookmarkEnd w:id="1"/>
    <w:p>
      <w:pPr>
        <w:spacing w:after="0" w:line="207" w:lineRule="exact"/>
        <w:tabs>
          <w:tab w:leader="none" w:pos="7620" w:val="left"/>
          <w:tab w:leader="none" w:pos="8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stock outstanding at March 27, 2024: 39,995,027</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relating to the 2024 annual meeting of stockholders (the “2024 Proxy Statement”), which will be filed within 120 days of December 31, 2023,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6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and Description</w:t>
            </w:r>
          </w:p>
        </w:tc>
        <w:tc>
          <w:tcPr>
            <w:tcW w:w="10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48"/>
        </w:trPr>
        <w:tc>
          <w:tcPr>
            <w:tcW w:w="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7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 Business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1A. Risk Factors</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13</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29</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1C. Cybersecurity</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29</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2. Properties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30</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30</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30</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31</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6. [Reserved]</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32</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32</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50</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51</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96</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96</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96</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96</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97</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97</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 and Management and Related Stockholder Matters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97</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72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97</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97</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tc>
        <w:tc>
          <w:tcPr>
            <w:tcW w:w="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98</w:t>
            </w:r>
          </w:p>
        </w:tc>
        <w:tc>
          <w:tcPr>
            <w:tcW w:w="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108</w:t>
            </w:r>
          </w:p>
        </w:tc>
        <w:tc>
          <w:tcPr>
            <w:tcW w:w="28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Annual Report on Form 10-K of Skyward Specialty Insurance Group, Inc. (“Skyward Specialty” or “SKWD”) for the fiscal year ended December 31, 2023 (this “Form 10-K”), or incorporated herein by reference, including, without limitation, statements regarding Skyward Specialty’s future financial position, business strategy, budgets, projected costs, goals and plans and objectives of management for future operations, are forward-looking statements within the meaning of the Private Securities Litigation Reform Act of 1995. Forward-looking statements generally can be identified by the use of forward-looking terminology such as “may,” “will,” “expect,” “intend,” “estimate,” “anticipate,” “project,” “believe” or “continue” or the negative thereof or variations thereon or similar terminology. Forward-looking statements speak only as the date the statements were made. Although Skyward Specialty believes that the expectations reflected in forward-looking statements have a reasonable basis, it can give no assurance that these expectations will prove to be correct. Forward-looking statements are subject to risks and uncertainties that could cause actual events or results to differ materially from those expressed in or implied by the statements. For a discussion of the most significant risks and uncertainties that could cause Skyward Specialty’s actual results to differ materially from those projected, see “Risk Factors” in Item 1A of this Form 10-K. Except to the limited extent required by applicable law, Skyward Specialty undertakes no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Insurance and Financial Terms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 new business submissions, binding of new business submissions into policies, renewals of existing policies, and average size and premium rate of bound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large losses. Ceded written premiums are earned over the reinsurance contract period in proportion to the period of risk covered. The volume of our ceded written premiums is impacted by the level of our gross written premiums and any decision we make to increase or decrease retention levels, policy limits and co-participation.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written premiums are gross written premiums less ceded written premiums.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premiums represent the earned portion of our net written premiums. Our insurance policies generally have a term of one year and premiums are earned pro rata over the term of the policy.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Commission and fee income consists of commissions and fees earned on policies placed with third party insurance companies. In certain instances, the fee income relates to placement of business which is part of our packaged solutions. We recognize commission and fee income on the effective date of the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investments gains (losses) represent the increase or decrease in the fair value of equity securities and loans still held as investments during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investment gains (losses)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realized investment gains (losses) are a function of the difference between the amount received by us on the sale of a security and the security’s cost basis, mark-to-market adjustments, as well as any credit impairments recognized in earnings.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LAE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Losses and loss adjustment expenses (“LAE”) represent the costs incurred for insured losses, such as losses under a policy, whether paid or unpaid, as well as expenses of settling claims, including settlements, attorneys’ fees, investigation, appraisal, adjustment, defense costs, and the portion of general expenses allocated to claim resolution. Losses and LAE include a provision for claims that have occurred but have not yet been reported to the insurer. These expenses are a function of the amount and type of insurance contracts we write, and the loss experience associated with the underlying coverage. In general, our losses and LAE are affected by:</w:t>
      </w:r>
    </w:p>
    <w:p>
      <w:pPr>
        <w:spacing w:after="0" w:line="7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claims associated with the particular types of insurance contracts that we write;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the cost of claims including inflation related to wages, medical costs, building materials and automobile repairs.</w:t>
      </w:r>
    </w:p>
    <w:p>
      <w:pPr>
        <w:spacing w:after="0" w:line="11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define catastrophe losses as any single loss, or group of losses, related to a single Property Claim Services (“PCS” a Verisk company) designated catastrophe event. PCS has defined catastrophes in the United States, Puerto Rico, and the U.S. Virgin Islands as events that cause $25.0 million or more in direct insured losses to property and affect a significant number of policyholders and insurers.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acquisition and insurance expenses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Underwriting, acquisition and insurance expenses include policy acquisition costs and other underwriting and insurance expenses. Policy acquisition costs consist of commissions we pay retail agents and brokers, program administrators, captive managers and third-party administrators, net of ceding commissions we receive from reinsurers on business ceded under certain of our reinsurance contracts. In addition, acquisition expenses include premium-related taxes and other fees. Our policy acquisition costs vary with, and are directly related to, the successful production of new or renewal business. Acquisition expenses related to each policy we write are deferred and amortized to expense in proportion to the premium earned over the term of the policy. Other underwriting and insurance expenses represent the general and administrative expenses of our insurance operations including employee compensation and benefits, and corporate functions such as technology costs, office rent, depreciation and professional service fees including legal, accounting, and actuarial.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Impairment charges represent reductions in the carrying value of goodwill and 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discuss certain key metrics, described below, which provide useful information about our business and the operational factors underlying our financial performance. These metrics are generally standard among insurance companies and help to provide comparability with our peers.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r>
        <w:rPr>
          <w:rFonts w:ascii="Times New Roman" w:cs="Times New Roman" w:eastAsia="Times New Roman" w:hAnsi="Times New Roman"/>
          <w:sz w:val="18"/>
          <w:szCs w:val="18"/>
          <w:color w:val="auto"/>
        </w:rPr>
        <w:t>, expressed as a percentage, is the ratio of net written premiums to gross written premiums.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(loss) </w:t>
      </w:r>
      <w:r>
        <w:rPr>
          <w:rFonts w:ascii="Times New Roman" w:cs="Times New Roman" w:eastAsia="Times New Roman" w:hAnsi="Times New Roman"/>
          <w:sz w:val="18"/>
          <w:szCs w:val="18"/>
          <w:color w:val="auto"/>
        </w:rPr>
        <w:t>is a non-GAAP financial measure defined as income (loss) before income taxes excluding net investment income,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and unrealized gains and losses on investments, impairment charges, interest expense, amortization expense and other income and expenses.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and LAE ratio</w:t>
      </w:r>
      <w:r>
        <w:rPr>
          <w:rFonts w:ascii="Times New Roman" w:cs="Times New Roman" w:eastAsia="Times New Roman" w:hAnsi="Times New Roman"/>
          <w:sz w:val="18"/>
          <w:szCs w:val="18"/>
          <w:color w:val="auto"/>
        </w:rPr>
        <w:t>, expressed as a percentage, is the ratio of losses and LAE to net earned premiums.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Expense ratio</w:t>
      </w:r>
      <w:r>
        <w:rPr>
          <w:rFonts w:ascii="Times New Roman" w:cs="Times New Roman" w:eastAsia="Times New Roman" w:hAnsi="Times New Roman"/>
          <w:sz w:val="18"/>
          <w:szCs w:val="18"/>
          <w:color w:val="auto"/>
        </w:rPr>
        <w:t>, expressed as a percentage, is the ratio of underwriting, acquisition and insurance expenses less commission and fee income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premiums.</w:t>
      </w:r>
    </w:p>
    <w:p>
      <w:pPr>
        <w:spacing w:after="0" w:line="4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Combined ratio </w:t>
      </w:r>
      <w:r>
        <w:rPr>
          <w:rFonts w:ascii="Times New Roman" w:cs="Times New Roman" w:eastAsia="Times New Roman" w:hAnsi="Times New Roman"/>
          <w:sz w:val="18"/>
          <w:szCs w:val="18"/>
          <w:color w:val="auto"/>
        </w:rPr>
        <w:t>is the sum of loss ratio and expense ratio. A combined ratio under 100% indicates an underwriting profit. A combined ratio over 100%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indicates an underwriting loss.</w:t>
      </w:r>
    </w:p>
    <w:p>
      <w:pPr>
        <w:spacing w:after="0" w:line="4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loss and LAE ratio</w:t>
      </w:r>
      <w:r>
        <w:rPr>
          <w:rFonts w:ascii="Times New Roman" w:cs="Times New Roman" w:eastAsia="Times New Roman" w:hAnsi="Times New Roman"/>
          <w:sz w:val="18"/>
          <w:szCs w:val="18"/>
          <w:color w:val="auto"/>
        </w:rPr>
        <w:t>, expressed as a percentage, is a non-GAAP financial measure defined as the ratio of losses and LAE, excluding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LAE related to the loss portfolio transfer (“LPT”) and all development on reserves fully or partially covered by the LPT, to net earned premiums.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combined ratio </w:t>
      </w:r>
      <w:r>
        <w:rPr>
          <w:rFonts w:ascii="Times New Roman" w:cs="Times New Roman" w:eastAsia="Times New Roman" w:hAnsi="Times New Roman"/>
          <w:sz w:val="18"/>
          <w:szCs w:val="18"/>
          <w:color w:val="auto"/>
        </w:rPr>
        <w:t>is a non-GAAP financial measure defined as the sum of the adjusted loss ratio and the expense ratio.</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(loss) </w:t>
      </w:r>
      <w:r>
        <w:rPr>
          <w:rFonts w:ascii="Times New Roman" w:cs="Times New Roman" w:eastAsia="Times New Roman" w:hAnsi="Times New Roman"/>
          <w:sz w:val="18"/>
          <w:szCs w:val="18"/>
          <w:color w:val="auto"/>
        </w:rPr>
        <w:t>is a non-GAAP financial measure defined as net income excluding the net impact of the LPT, net realized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unrealized gains or losses on investments, goodwill impairment charges and other income and expenses.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Return on equity </w:t>
      </w:r>
      <w:r>
        <w:rPr>
          <w:rFonts w:ascii="Times New Roman" w:cs="Times New Roman" w:eastAsia="Times New Roman" w:hAnsi="Times New Roman"/>
          <w:sz w:val="18"/>
          <w:szCs w:val="18"/>
          <w:color w:val="auto"/>
        </w:rPr>
        <w:t>is net income as a percentage of average beginning and ending stockholders’ equity.</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return on equity </w:t>
      </w:r>
      <w:r>
        <w:rPr>
          <w:rFonts w:ascii="Times New Roman" w:cs="Times New Roman" w:eastAsia="Times New Roman" w:hAnsi="Times New Roman"/>
          <w:sz w:val="18"/>
          <w:szCs w:val="18"/>
          <w:color w:val="auto"/>
        </w:rPr>
        <w:t>is a non-GAAP financial measure defined as adjusted operating income as a percentage of average beginning and 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Tangible stockholders’ equity </w:t>
      </w:r>
      <w:r>
        <w:rPr>
          <w:rFonts w:ascii="Times New Roman" w:cs="Times New Roman" w:eastAsia="Times New Roman" w:hAnsi="Times New Roman"/>
          <w:sz w:val="18"/>
          <w:szCs w:val="18"/>
          <w:color w:val="auto"/>
        </w:rPr>
        <w:t>is a non-GAAP financial measure defined as stockholders’ equity less goodwill and intangible assets.</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Return on tangible equity </w:t>
      </w:r>
      <w:r>
        <w:rPr>
          <w:rFonts w:ascii="Times New Roman" w:cs="Times New Roman" w:eastAsia="Times New Roman" w:hAnsi="Times New Roman"/>
          <w:sz w:val="18"/>
          <w:szCs w:val="18"/>
          <w:color w:val="auto"/>
        </w:rPr>
        <w:t>is a non-GAAP financial measure defined as net income as a percentage of average beginning and ending 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during the applicable period.</w:t>
      </w:r>
    </w:p>
    <w:p>
      <w:pPr>
        <w:spacing w:after="0" w:line="4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return on tangible equity </w:t>
      </w:r>
      <w:r>
        <w:rPr>
          <w:rFonts w:ascii="Times New Roman" w:cs="Times New Roman" w:eastAsia="Times New Roman" w:hAnsi="Times New Roman"/>
          <w:sz w:val="18"/>
          <w:szCs w:val="18"/>
          <w:color w:val="auto"/>
        </w:rPr>
        <w:t>is a non-GAAP financial measure defined as adjusted operating income as a percentage of average beginning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tangible stockholders’ equity during the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Specialty was formed as a Delaware corporation on January 3, 2006 as an insurance holding company. We operated under the name Houston International Insurance Group, Ltd. until we re-branded as Skyward Specialty in November 2020. References to “the Company,” “we,” “our,” “us” or like terms refer to the business of Skyward Specialty Insurance Group, Inc. and its subsidiaries.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growing specialty insurance company delivering commercial property and casualty (P&amp;C)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portfolio of insured risks is highly diversified—we insure customers operating in a wide variety of industries; we distribute through multiple channels; we write multiple lines of business, including general liability, excess liability, professional liability (including cyber insurance), commercial auto, group accident and health, property, agriculture, surety and workers’ compensation; we insure both short and medium duration liabilities; and our business mix is balanced between E&amp;S and admitted markets. All of these factors enable us to respond to market opportunities and dislocations by deploying capital where we believe we can consistently earn attractive risk-adjusted returns. We believe this diversification, combined with our underwriting and claims expertise, will produce strong growth and consistent profitability across P&amp;C insurance pricing cycles.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led by an entrepreneurial executive management team with decades of insurance leadership experience spanning multiple aspects of the global P&amp;C industry. Our leadership is supported by an experienced team with a broad skill set and aligned around our strategy. We believe our high-quality leadership and underwriting and claims teams, technology DNA, advanced analytics capabilities, diversified book of business, and strong competitive position in each of our chosen market niches position us to continue to profitably grow our business. We aim to deliver long-term value for our shareholders by generating best-in-class underwriting profitability and book value per share growth across P&amp;C market cycles.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from the A.M. Best Company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with positive outlook.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Our Strategy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one reportable segment through which we offer a broad array of insurance coverages to a number of market niches. Each of our eight distinct underwriting divisions, or “continuing business,” has dedicated underwriting leadership supported by high-quality technical staff with deep experience in their respective niches. We believe this structure and expertise allow us to serve the needs of our customers effectively and be a value-add partner to our distributors, while earning attractive risk-adjusted returns. For the year ended December 31, 2023, 43% of our gross written premiums were written on an admitted basis and 57% were non-admitted. The year ended 2023 marked a significant underwriting achievement for us as each of our eight underwriting divisions wrote over $100.0 million in gross written premiums.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Underwriting Divisions</w:t>
      </w:r>
    </w:p>
    <w:p>
      <w:pPr>
        <w:spacing w:after="0" w:line="11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Accident &amp; Health</w:t>
      </w:r>
      <w:r>
        <w:rPr>
          <w:rFonts w:ascii="Times New Roman" w:cs="Times New Roman" w:eastAsia="Times New Roman" w:hAnsi="Times New Roman"/>
          <w:sz w:val="18"/>
          <w:szCs w:val="18"/>
          <w:color w:val="auto"/>
        </w:rPr>
        <w:t>: Our Accident &amp; Health (“A&amp;H”) underwriting division provides a medical stop loss solution targeting organizations with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2,500 employees, as well as group and single-employer captive solutions. Our approach for managing medical costs, combined with our claims oversight, enables us to partner with select distribution partners. We target and serve a segment of the small and medium sized enterprise market that is actively seeking to take control of their healthcare costs by self-insuring a portion of their healthcare insurance. We write these products on an admitted basis and distribute primarily through retail brokers and wholesale broker partners.</w:t>
      </w:r>
    </w:p>
    <w:p>
      <w:pPr>
        <w:spacing w:after="0" w:line="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Captives</w:t>
      </w:r>
      <w:r>
        <w:rPr>
          <w:rFonts w:ascii="Times New Roman" w:cs="Times New Roman" w:eastAsia="Times New Roman" w:hAnsi="Times New Roman"/>
          <w:sz w:val="18"/>
          <w:szCs w:val="18"/>
          <w:color w:val="auto"/>
        </w:rPr>
        <w:t>: Our Captives underwriting division provides group captive solutions by drawing on our underwriting and claims expertise from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underwriting divisions to create group captives for companies seeking to self-insure. By leveraging our underwriting, claims, technology, and analytical expertise across our Company, we are able to broaden our market reach and write additional profitable business with limited additional expense. Our Captive underwriting division writes group A&amp;H, property, general liability, commercial auto, excess liability, and workers’ compensation lines of business on an E&amp;S and an admitted basis. We often administer this business through partnerships with third-party captive managers.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Global Property and Agriculture</w:t>
      </w:r>
      <w:r>
        <w:rPr>
          <w:rFonts w:ascii="Times New Roman" w:cs="Times New Roman" w:eastAsia="Times New Roman" w:hAnsi="Times New Roman"/>
          <w:sz w:val="18"/>
          <w:szCs w:val="18"/>
          <w:color w:val="auto"/>
        </w:rPr>
        <w:t>: Our Global Property underwriting unit provides property-only solutions to large multi-jurisdictional entities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complex property exposures. The business is written entirely on an E&amp;S basis. We distribute this product through retail brokers and select wholesale brokers. Our book and position with our customers and distribution partners has been curated over more than ten years, and we have become an important partner to the brokers that place this business and an equally important part of our insureds’ risk transfer program. Our Global Agriculture underwriting unit provides secondary and reinsurance solutions for crop, livestock and other renewable resources.</w:t>
      </w:r>
    </w:p>
    <w:p>
      <w:pPr>
        <w:spacing w:after="0" w:line="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Industry Solutions</w:t>
      </w:r>
      <w:r>
        <w:rPr>
          <w:rFonts w:ascii="Times New Roman" w:cs="Times New Roman" w:eastAsia="Times New Roman" w:hAnsi="Times New Roman"/>
          <w:sz w:val="18"/>
          <w:szCs w:val="18"/>
          <w:color w:val="auto"/>
        </w:rPr>
        <w:t>: Our Industry Solutions underwriting division includes three underwriting units that each provide multiple coverages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they serve: Construction, Energy and Specialty Trucking. Our Construction and Energy underwriting units provide general liability, excess liability, commercial auto, workers’ compensation, and inland marine solutions, written principally on an admitted basis, to a broad range of middle market construction and energy production and servicing customers. Our Specialty Trucking unit writes on an E&amp;S basis commercial auto and general liability solutions to mid-sized intermodal trucking companies. The industry segments we seek to underwrite often have high severity exposures that our teams of skilled and experienced underwriters and claims professionals are able to address quickly and creatively, frequently with multi-line solutions. We distribute these products through retail agents and brokers and a select network of wholesalers.</w:t>
      </w:r>
    </w:p>
    <w:p>
      <w:pPr>
        <w:spacing w:after="0" w:line="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Professional Lines</w:t>
      </w:r>
      <w:r>
        <w:rPr>
          <w:rFonts w:ascii="Times New Roman" w:cs="Times New Roman" w:eastAsia="Times New Roman" w:hAnsi="Times New Roman"/>
          <w:sz w:val="18"/>
          <w:szCs w:val="18"/>
          <w:color w:val="auto"/>
        </w:rPr>
        <w:t>: Our Professional Lines underwriting division includes three underwriting units: Management Liability, Professional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cyber insurance), and Allied Health. Professional Liability and Allied Health provide E&amp;S primary and excess claims-made liability products distributed exclusively through wholesale brokers, while our Management Liability unit provides both E&amp;S and admitted products distributed through both wholesale and retail brokers.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Programs</w:t>
      </w:r>
      <w:r>
        <w:rPr>
          <w:rFonts w:ascii="Times New Roman" w:cs="Times New Roman" w:eastAsia="Times New Roman" w:hAnsi="Times New Roman"/>
          <w:sz w:val="18"/>
          <w:szCs w:val="18"/>
          <w:color w:val="auto"/>
        </w:rPr>
        <w:t>: Our Programs underwriting division partners with program administrators focused on certain markets that align with our expertise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We believe partnering with a program administrator in certain circumstances is the optimal way for us to participate profitably or extend our reach in certain markets. Typically, the program administrators possess a competitive advantage (owing to their scale in a particular market niche and/or proprietary technology) that we believe would be difficult for us to replicate on our own. For example, certain of our program administrator partners have developed proprietary technology to optimize risk selection and pricing in specific markets. We believe the combination of our underwriting and claims expertise with their scale and/or technology creates a more powerful partnership than either party could present to the market on its own. Our Programs underwriting division writes property, general liability, commercial auto liability, excess liability, and workers’ compensation lines of business on an E&amp;S and an admitted basis.</w:t>
      </w:r>
    </w:p>
    <w:p>
      <w:pPr>
        <w:spacing w:after="0" w:line="7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Surety</w:t>
      </w:r>
      <w:r>
        <w:rPr>
          <w:rFonts w:ascii="Times New Roman" w:cs="Times New Roman" w:eastAsia="Times New Roman" w:hAnsi="Times New Roman"/>
          <w:sz w:val="18"/>
          <w:szCs w:val="18"/>
          <w:color w:val="auto"/>
        </w:rPr>
        <w:t>: Our Surety underwriting division provides contract, commercial and transactional surety solutions to a range of trade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requiring bonding. We principally focus on small to medium sized enterprises with aggregate bond programs up to approximately $50.0 million for contract and $75.0 million for commercial and transactional. Our underwriting and claims professionals differentiate themselves through their technical capabilities and decision making speed. We write this business on an admitted basis and distribute through retail agents and brokers.</w:t>
      </w:r>
    </w:p>
    <w:p>
      <w:pPr>
        <w:spacing w:after="0" w:line="6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Transactional E&amp;S</w:t>
      </w:r>
      <w:r>
        <w:rPr>
          <w:rFonts w:ascii="Times New Roman" w:cs="Times New Roman" w:eastAsia="Times New Roman" w:hAnsi="Times New Roman"/>
          <w:sz w:val="18"/>
          <w:szCs w:val="18"/>
          <w:color w:val="auto"/>
        </w:rPr>
        <w:t>: Our Transactional E&amp;S underwriting division provides primary and excess non-catastrophe prone property and general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with particular emphasis on risks that are considered hard to place because of the complexity of the underlying exposure, loss history, and/or limited operating history (i.e., start up and newer businesses). Success in our target market is determined by technical underwriting, thoughtful coverage provisions and pricing, and high-quality broker service. We access the market in this division exclusively through wholesale brokers.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continuing business, there are business units and lines of business that we previously exited and placed into run-off. We refer to these lines and businesses as our “exited business.”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Strategy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seek to lead in our chosen market niches and establish sustainable competitive positions in these markets. The following key elements underpin our strategy and approach to our business:</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differentiated products, services and solutions that meet the unique needs of our target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exceptional underwriting and claims talent and incentivizing our professionals in a manner that aligns with our organization and corporate goals;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Amplifying the expertise of our people with advanced technology and analytics that enable superior risk selection, pricing and claims management;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our underwriting and claims teams with considerable authority to make decisions and apply their expertise;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culture that promotes nimbleness and responsiveness to market opportunities and dislocation.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refer to this strategy as “Rule Our Niche” and it forms the basis of our approach to building a strong defensible market position, creating a competitive moat, and winning in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competitive strengths include: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profitable niches of the market that require technical underwriting and claims management as barriers to entry</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the niche areas of the commercial lines P&amp;C markets we have selected are a highly attractive subset of the P&amp;C insurance market and present an opportunity to generate attractive risk-adjusted returns. We actively target markets that are underserved, dislocated or for which standard, commoditized products are insufficient or inadequate to meet the needs of our customers. The unique characteristics of the risks within our core markets require each account to be efficiently and individually underwritten, in order for us to generate an acceptable, sustainable underwriting profit. Many carriers have chosen to reject businesses that they deem to be too complex, or that requires thoughtful individual underwriting; or, alternatively, have focused on simple account risks for which more automated underwriting can be effective. Instead, we have chosen to build our underwriting divisions around deeply experienced underwriters who we empower with appropriate authority to make underwriting decisions. This structure enables us to offer innovative and unique products and solutions to our distribution partners and customers, regardless of how challenging or complex a risk may be. Further, we augment our underwriters’ experience with data and predictive analytics that are intended to differentiate risk selection and pricing decision-making while enhancing efficiency.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skilled underwriters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focus on hiring underwriting and technical staff who help differentiate our company through their expertise and experience. Our underwriting teams are knowledgeable, experienced, and empowered — characteristics which are critical to operate successfully in the markets we serve, especially since many of the risks we underwrite are particularly difficult to automate. We do not impose strict underwriting rules (i.e., we are not “box” underwriters), but rather allow our professionals the freedom to use their expertise and judgment when evaluating and pricing risks. Simply put, we give our people the tools and appropriate authority to make decisions and do what they do best — profitably underwrite complex risks.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Claims Staff and Operations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cultivated a best-in-class and highly specialized team of claims professionals who are highly knowledgeable about the niches we serve and the lines of business we write. Our claims professionals systematically address first party claims with fair and equitable solutions and third-party claims with holistic and comprehensive responses, in each case seeking to ensure consistent and early loss recognition of indemnity and loss adjustment expenses (“LAE”).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respond quickly when a claim is submitted with specialized adjusters, who are armed with expertise, advanced technology and analytics, to assist them in the claims resolution process. We embed technology deeply into our claims process and leverage our technology-enabled platform and tools from first notice of loss to investigation to settlement. Our analytics capabilities used by our senior leadership and claims teams include real-time, detailed information on open claims and benchmarks against closed claims. We believe that our industry expertise, nimble culture, and technology-embedded claims processes enables us to reach fair and appropriate claims outcomes for our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business intelligence platform.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SkyBI, our business intelligence platform, focuses on providing our senior leadership, as well as our 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technology and new risk data for underwriting and claims.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fundamentally believe that every underwriting and claims decision can be augmented with the use of new types of risk data and advanced technology. While our underwriting decisions are backed by reliable historical data and in-depth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evaluation of risks resulting from intentional investment in data collection and processing capabilities, we amplify our underwriting and claims prowess by combining this data with new forms of risk data and predictive analytics.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Diversified business that allows us to respond to, and capitalize on, changes in market conditions across P&amp;C cycles.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been successful in building a diversified group of underwriting divisions spanning multiple product lines, industries, geographies and distribution channels. We aim to evolve with, and adapt to, the market growing certain lines of business when market conditions are favorable and limiting our exposure to certain markets when conditions are less favorable. We believe the diversity of our book allows us to respond to, and capitalize on, market opportunities and dislocations across P&amp;C insurance market and pricing cycles resulting in a durable insurance franchise.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Attractive and winning culture.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evidenced by our internal surveys, public information such as that available on Glassdoor and LinkedIn, and our selection as a “Best Places to Work in Insurance,” we have built a distinctive winning culture. Key to our culture and operating approach is a flat structure of communication and decision-making. We trust our staff to make decisions that produce or exceed our desired financial results, and we support our staff with a clear system of measurement to gauge performance. We have chosen to adopt a hybrid work schedule which provides our employees with the flexibility for remote working. We pride ourselves on maintaining an entrepreneurial environment that encourages and rewards a proactive approach to capitalize on market disruption. This environment is not only consistent with our identity as a specialty insurer but also a foundation for our success in attracting great talent and our objective of delivering best-in-class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High-quality, experienced leadership team that is aligned with our shareholders.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Led by our CEO, Andrew Robinson, we have an experienced, innovative and entrepreneurial executive leadership team with a track record of success in senior management roles at industry leading property and casualty companies as well as in starting and building new businesses in our industry.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entire senior leadership’s compensation is directly aligned with our shareholders. Each of our leaders have a material portion of their compensation in the form of long-term and short-term incentives tied to delivering sustainable, best-in-class underwriting returns. Our executive leadership team have additional long-term incentive targets tied directly to growth in book value per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in Action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everything we do, from recruiting to marketing to underwriting to loss adjusting and claims resolution,  we seek to follow the core tenets of our “Rule Our Niche” strategy, as described above. We believe our “Rule Our Niche” strategy will help us achieve our goal of generating best-in-class underwriting profitability for our niches while creating superior long-term shareholder value through growth in book value per share. The core tenets of our “Rule Our Niche” strategy include: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and retain blue-chip underwriting and claims talent to expand and enhance our market position.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hire the most talented technical underwriting professionals who have long-standing industry relationships with distribution partners and claims professionals with expertise in the niches we write. These relationships are key to getting steady access to our preferred business. We believe that we have become a company of choice for the best talent in our industry and, as such, we will continue to grow our market position by bringing on world-class talent in our chosen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our technology DNA to further distance ourselves from the competition.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demonstrated a differentiated ability to utilize new forms of risk data and advanced technology within the more complex, higher severity risk categories of the specialty P&amp;C insurance market. SkyBI gives us the ability to promptly sense and quickly respond to market changes, while our core operating platforms allow us to move into new markets efficiently and without the complexity of burdensome systems. We believe our technological advantage positions us for profitable growth and expansion into additional specialty market niches where we can establish a strong and defensible market position.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Profitably grow existing lines of business and expand with new underwriting divisions.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we are well-positioned to take advantage of several trends impacting our customers in the United States and globally. One such trend is the continued rise in demand for specialized insurance solutions because of increasing risks, as well as the complexity of risks, due to climate change/increased frequency of severe weather events, supply chain uncertainty, financial inflation risk, cyber risk, emergence of novel health risks, increased level of litigation, attorney involvement and jury awards, and healthcare delivery and cost. Another such noticeable market trend is the emergence 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 cycles and micro dislocations” where different pockets of the P&amp;C insurance market experience hardening and softening at different times. We have demonstrated our ability to react quickly in response to these trends by launching new underwriting units, entering underserved markets, partnering with others with advanced technology, and launching new captive solutions. We believe our gross written premium growth and profitability is indicative of our momentum and provides a powerful reference for the positioning of our Company to continue to expand and grow in the markets we seek to serve.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Differentiate on daily excellence to drive best-in-class underwriting performance.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ability to meet our long-term goals, including achieving best-in-class underwriting returns and growth in book value per share, relies on how well we execute our day-to-day operations across all of our functional departments, including but not limited to underwriting, product management, and claims management. SkyBI provides the foundation by which our senior management can monitor our performance, whether it is renewal rates, new business pricing and portfolio performance for an individual underwriter, or claims aging and reserving practices and outcomes by claims adjusters. Our focus on the fundamentals that drive underwriting excellence is at the center of our strategy. Furthermore, our cross functional collaboration ensures that our underwriting, claims, actuarial and product management teams regularly review performance and trends so that portfolio, pricing and coverage changes can be implemented quickly.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our balance sheet to capture a larger part of the market we serve.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establishing and maintaining a strong balance sheet, starting with conservative loss reserves and strong capitalization ratios. We believe this is imperative to maintain the confidence of customers, distribution partners, reinsurers, regulators, rating agencies and shareholders. We have strengthened our claims case reserves practices with the aim to reserve to the expected ultimate loss within 90 days of the first notice of loss. In addition, we increase the level of IBNR reserves held above our claims case reserves. We believe our conservative reserve philosophy positions us well for consistently strong underwriting profitability in the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approach to marketing and distribution mirrors our approach to underwriting and is a key facet of our “Rule Our Niche” strategy. Our underwriting teams, as well as the Company as a whole, have strong and well-established relationships with our distribution partners and equally strong reputations that provide a foundation to establish affiliations with new distribution partners. We believe we win with distribution partners because of our deep expertise in niche markets, high caliber underwriters, culture of innovation, thoughtful product line-up and product design, and speed and quality of responsiveness, among other factors. All of our underwriting divisions invest meaningful time and effort into sustaining and expanding distribution partner loyalty and long-term relationships.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Just as we tailor underwriting to the individual needs of the insureds, we tailor our choice of distribution partners to access the particular business we seek to write. Accordingly, we distribute our products, through retail agents, wholesale brokers, select program administrators, and captive managers. This approach allows us to access the business we target effectively and efficiently based on the needs and dynamics of a particular market niche.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approach to underwriting is deeply embedded in our “Rule Our Niche” strategy and is core to how we win in the market. Within the eight divisions, we further specialize underwriting teams with a focus on specific niches within the markets the eight divisions serve. Kirby Hill, our President of Industry Solutions, Captives and Programs underwriting divisions, has more than 30 years of experience spanning multiple facets of the insurance business, John Burkhart, our President of Specialty Lines overseeing the Professional Lines, Surety, Transactional E&amp;S and A&amp;H underwriting divisions, has approximately 30 years of underwriting experience, and Doug Davies, our Senior Vice President of the Global Property and Agriculture Underwriting Division, has approximately 20 years of underwriting experience.</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underwriting approach is underpinned by hiring highly experienced, best-in-class and diverse teams of technical underwriters with established track records in specific specialty niche markets. We then amplify our underwriters’ skill sets with advanced technology and data analytics and empower them with appropriate authority to make decisions. We believe this approach is key to superior risk selection and pricing, and producing sustainable best-in-class underwriting results across market cycles.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augment the capabilities and experience of our underwriting professionals using new forms of data and analytics for risk selection and pricing. Our underwriting data is captured in our business intelligence platform, SkyBI. This comprehensive data repository forms the foundation of our reporting, analytics, and other data capabilities and is a key tool for our senior management team and business leaders. See the section entitled “Technology” below for more information on SkyBI.</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highly selective in the policies we choose to bind. If our underwriters cannot reasonably expect to bind coverage at the combination of premium and coverage terms that meets our standard, we encourage them to move on quickly to other prospective opportunities.</w:t>
      </w:r>
    </w:p>
    <w:p>
      <w:pPr>
        <w:spacing w:after="0" w:line="54"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When accepting risks, we are careful to establish terms and price that are suited to the underlying exposure. When writing in the admitted market, we endeavor to ensure that our approved forms and filed rates are appropriate and adequate for the risks we are accepting while also allowing us the flexibility to address specific and/or unique exposures. When writing in the E&amp;S market, we use our freedom of rate and form to ensure risk and coverage are appropriate to the unique needs and exposure that are presented in this market. We endeavor to craft policies that offer affordable and appropriate protection to address our insureds’ exposures while also constructing coverage such that potential losses are more predictable and claims cost can be best managed.</w:t>
      </w:r>
    </w:p>
    <w:p>
      <w:pPr>
        <w:spacing w:after="0" w:line="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Underwriting teams are supported by active engagement and collaboration with our Claims, Actuarial, Product Management, Legal and Compliance and Finance departments so that trends in the business, legal and tort developments, and competitor and regulatory actions are analyzed, shared, and acted upon in a timely manner. We view our underwriters as the center of our company and all support functions are incented and measured to support the achievement of our underwriting profitability targets. This structure serves to surface both opportunities and issues early and forms a key part of our nimbleness and ability to take advantage of market disruptions. Finally, our underwriting controls and procedures are regularly reviewed to ensure our underwriters are acting with clear line of sight to profitably underwrite each of the markets we serve.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Management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Skyward’s claims department is guided by the following principles: (1) prompt and comprehensive claim investigations, considering all aspects of each loss, and using advanced analytics and technology to improve efficiency, accuracy and speed of response; (2) providing our customers with quality claims handling service while engaging customers through the entire claims resolution process; (3) promptly establishing reserves reflective of our best estimate of ultimate loss; (4) effectively pursuing contribution and subrogation where appropriate and warranted; (5) detecting and preventing fraud activity throughout the claims handling process using a variety of tools; and (6) disciplined litigation management to provide our customers with a superior legal defense while closely monitoring legal costs. To this end, we provide continuous training to our claim staff on claim evaluation, strategy, litigation management, good-faith claims handling and best practices. Our ultimate goal is to achieve timely and optimal claim outcomes.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handle the majority of our claims in-house. In certain instances, we utilize Third Party Administrators (TPAs), to handle claims on Skyward’s behalf, when needed. Specifically, we may utilize TPAs for programs, captives, occupational accident, workers compensation and Loss Portfolio Transfer (LPT) runoff claims. We actively manage and oversee our TPAs and monitor their individual claims-handling activities, to be in accordance with our claims handling and reserving guidelines and general best practices. We regularly audit our TPAs to ensure compliance with these guidelines and practices.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the retention of counsel is warranted for a liability claim made against an insured, we retain independent legal counsel to defend and represent an insured. We select defense counsel based on their geographical location and expertise to ensure that they have the requisite experience and legal knowledge to defend our insureds effectively and efficiently. We have developed carefully crafted litigation guidelines for both our claims professionals and our outside counsel to follow. Adherence to these guidelines ensures that counsel is providing the appropriate defense to our insureds. Finally, to ensure that legal costs are reasonable, and customary within the respective defense counsel’s geography and practice area, we employ a legal spend management solution to analyze legal invoices for adherence to case handling and billing practice standards.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leveraging technology to gain efficiencies in the claims-handling process. For example, we launched a technology solution to speed up the process of creating claims correspondence and to automate routine tasks behind the scenes, such as vendor payments. Similarly, we are piloting the use of artificial intelligence to route claims to the best-suited claims handler based on likely severity. We are also developing a Large Language Model to identify claims with early indicators for potential severity, unusual types of exposures or the propensity for legal representation by third party claimants.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always looking for opportunities to resolve our claims as efficiently and effectively as possible. For example, for commercial auto, we have implemented a “quick strike” program to respond to claim reports. This program involves deploying experienced investigators and other appropriate vendors to the scene of a reported auto accident, ideally within two hours of the accident, regardless of the location. This quick response assists us in evaluating the facts and circumstances of the accident to begin our investigation as quickly as possible. If appropriate, our program aids us in resolving any third-party claims as quickly as possible.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Finally, our claims handlers and managers are organized by line of business to ensure that the right expertise is brought to bear in handling claims. The managers and adjusters work very closely with their underwriting partners to keep them apprised of legal trends and emerging claims issues of note. The goal is to educate our underwriters on emerging areas of loss experience to assist them in their risk selection processes.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technology is at the heart of everything we do and every decision we make, helping us to win over the long-term. We deploy technology across our organization to drive competitive advantages in three primary functional ways:</w:t>
      </w:r>
    </w:p>
    <w:p>
      <w:pPr>
        <w:spacing w:after="0" w:line="50" w:lineRule="exact"/>
        <w:rPr>
          <w:sz w:val="20"/>
          <w:szCs w:val="20"/>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Superior Business Intelligence Platform. </w:t>
      </w:r>
      <w:r>
        <w:rPr>
          <w:rFonts w:ascii="Times New Roman" w:cs="Times New Roman" w:eastAsia="Times New Roman" w:hAnsi="Times New Roman"/>
          <w:sz w:val="18"/>
          <w:szCs w:val="18"/>
          <w:color w:val="auto"/>
        </w:rPr>
        <w:t>SkyBI, our business intelligence platform, focuses on providing our senior leadership, as well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Predictive Analytics Technology. </w:t>
      </w:r>
      <w:r>
        <w:rPr>
          <w:rFonts w:ascii="Times New Roman" w:cs="Times New Roman" w:eastAsia="Times New Roman" w:hAnsi="Times New Roman"/>
          <w:sz w:val="18"/>
          <w:szCs w:val="18"/>
          <w:color w:val="auto"/>
        </w:rPr>
        <w:t>We strive to augment the capabilities of our employees daily using new forms of risk data and the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predictive analytics including artificial intelligence for risk selection, pricing and claims handling. Within every underwriting division, our actions are intentional to “Rule Our Niche.” We aim to innovate constantly, and our actions are specific to each of the divisions/markets we serve.</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Core Transactional Platforms. </w:t>
      </w:r>
      <w:r>
        <w:rPr>
          <w:rFonts w:ascii="Times New Roman" w:cs="Times New Roman" w:eastAsia="Times New Roman" w:hAnsi="Times New Roman"/>
          <w:sz w:val="18"/>
          <w:szCs w:val="18"/>
          <w:color w:val="auto"/>
        </w:rPr>
        <w:t>Our core operating platforms, including our policy administration, billing and claims systems, are intentionally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enable nimble scaling and expansion of our business. We generally use, third-party vendor developed core operating applications that we have customized for our company. Our core platform organization is used for all business except for Accident &amp; Health, Global Property and Surety as the unique features of these underwriting divisions require select dedicated core processing components. Data gathered from our core operating platforms from all divisions flows to our SkyBI platform with comparable data quality and granularity regardless of underwriting division.</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use of advanced technology for underwriting and claims, SkyBI and core operating platforms provide our business with a flywheel effect allowing our underwriters to better select risk, our claims professionals to better adjudicate claims, our unit leaders to better communicate with reinsurance and third-party partners, and our senior leadership team to better evaluate trends in our business. These tools also have the added advantage of allowing us to communicate with our distribution partners, reinsurers, and other third-party partners more accurately, effectively, and efficiently.</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Like other companies, we face external threats to our information technology systems, including the possibility of system failure, attempts to steal our customer data, and ransomware attacks. We designed our technology infrastructure to function through almost any major disruption. We replicate our data in real time to a third-party cloud disaster recovery site for use in the event of a major system failure. We also back-up our data daily for system restoration if needed. Additional actions we take to prevent disruptions to our systems and data include: actively monitoring Cybersecurity and Infrastructure Security Agency’s (CISA) cybersecurity directives, taking immediate action on any vulnerability identified in a directive; conducting monthly vulnerability scans on all network attached devices, at all locations, with patching applied whenever needed; requiring two-factor authentication for access to any of our systems; conducting monthly security training for all employees; implementing endpoint detection agents for threat detection and response; performing desktop scenarios to practice responses to breaches involving our cybersecurity insurance partners and retained security consultants; and performing annual penetration testing. We constantly review our security breach posture and regularly implement updated processes, best practices and tools.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June.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37"/>
        </w:trPr>
        <w:tc>
          <w:tcPr>
            <w:tcW w:w="8400" w:type="dxa"/>
            <w:vAlign w:val="bottom"/>
            <w:tcBorders>
              <w:bottom w:val="single" w:sz="8" w:color="CCEEFF"/>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$0.88 million per occurrence</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$1.0 million per occurrence</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Cyber</w:t>
            </w:r>
          </w:p>
        </w:tc>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$2.69 million per occurrence</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$1.24 million per occurrence</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million per occurrence</w:t>
            </w:r>
          </w:p>
        </w:tc>
      </w:tr>
      <w:tr>
        <w:trPr>
          <w:trHeight w:val="27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$2.7 million per occurrence</w:t>
            </w: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 million per occurrence</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$2.5 million per occurrence</w:t>
            </w:r>
          </w:p>
        </w:tc>
      </w:tr>
      <w:tr>
        <w:trPr>
          <w:trHeight w:val="27"/>
        </w:trPr>
        <w:tc>
          <w:tcPr>
            <w:tcW w:w="84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million per occurrence</w:t>
            </w:r>
          </w:p>
        </w:tc>
      </w:tr>
      <w:tr>
        <w:trPr>
          <w:trHeight w:val="31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$2.33 million per occurrence</w:t>
            </w:r>
          </w:p>
        </w:tc>
      </w:tr>
    </w:tbl>
    <w:p>
      <w:pPr>
        <w:ind w:left="180" w:hanging="154"/>
        <w:spacing w:after="0" w:line="224"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Legal defense expenses can force exposure above the maximum company retention for Excess Casualty, Commercial Auto and General Liability.</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191"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Reinsurance is subject to a loss ratio cap or aggregate level of loss cover that exceeds a modeled 1:250-year PML event.</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191"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Catastrophe loss protection is purchased up to $28.0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property insurance represented 27% of our gross written premiums. We actively manage and continuously monitor our aggregation of property writings by geographic area to limit our potential for aggregation of loss resulting from severe events such as hurricanes, convective storms, and earthquakes. We buy catastrophe reinsurance to further mitigate an aggregation of property losses due to a single event or series of events. To inform our purchase of catastrophe reinsurance, we use third-party stochastic and our own deterministic models to analyze the risk of aggregation of losses from such events. These models provide a quantitative view of PML events, which is an estimate of the level of loss we would expect to experience once in a given number of years (referred to as the return period). Based upon our modeling, it would take an event beyond our 1 in 250-year PML to exhaust our $28.0 million property catastrophe coverage. Additionally, we seek to expose no more than 3.0% of our stockholders’ equity to a catastrophic loss that is less than a 1 in 250-year event. We believe our current reinsurance program provides coverage well in excess of our theoretical losses from any recorded historical event.</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reinsurance programs for our continuing business, during 2020, we entered into a LPT retroactive reinsurance agreement with a third-party reinsurer domiciled in Bermuda for liabilities (including claim payments, allocated losses and LAE reserves and certain extra-contractual obligations) related to certain policies issued or assumed for policy years 2017 and prior so as to limit the volatility associated with the business written during those years. For additional information about the LPT, see Item 7 of this Form 10-K, “Management’s Discussion and Analysis of Financial Condition and Results of Operations - Results of Operations - Losses and LAE.”</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purchase reinsurance from reinsurers that are rated at least “A-” (“Excellent”) or better by A.M. Best. As of December 31, 2023, 99% of our reinsurance recoverables were either derived from reinsurers rated “A-” (Excellent) by A.M. Best, or better, or were collateralized for our reinsurance recoverable by the reinsurer. While we only select reinsurers whom we believe to have acceptable credit and A.M. Best ratings, if our reinsurers are unable to pay the claims for which they are responsible, we ultimately retain primary liability to our policyholders. Hence, failure of the reinsurer to honor its obligations could result in losses to us, and therefore, we establish allowances for amounts considered uncollectible. At December 31, 2023 and 2022, our allowance for uncollectible reinsurance was $2.3 million and $0.0 million,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most significant reinsurers by amount of reinsurance recoverables, as well as the reinsurers A.M. Best rating, if applicable,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Reinsurer</w:t>
            </w:r>
          </w:p>
        </w:tc>
        <w:tc>
          <w:tcPr>
            <w:tcW w:w="12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Reinsurance Recoverables</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 Best Rating</w:t>
            </w:r>
          </w:p>
        </w:tc>
      </w:tr>
      <w:tr>
        <w:trPr>
          <w:trHeight w:val="37"/>
        </w:trPr>
        <w:tc>
          <w:tcPr>
            <w:tcW w:w="75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Everest Reinsurance Co.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121,832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eCaptive PC1-IC (and PC2-IC), Inc</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121,805</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Unrated</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RGA Reinsurance Company</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37,070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Reinsurance Co. of the US</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23,381</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7"/>
        </w:trPr>
        <w:tc>
          <w:tcPr>
            <w:tcW w:w="7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Swiss Reinsurance America Corp</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Reinsurance Corp</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21,548</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r>
      <w:tr>
        <w:trPr>
          <w:trHeight w:val="27"/>
        </w:trPr>
        <w:tc>
          <w:tcPr>
            <w:tcW w:w="7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Randall &amp; Quilter (R&amp;Q Bermuda (SAC) Ltd)</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20,859</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Unrated</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 (Chubb Property &amp; Casualty Insurance Company)</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7"/>
        </w:trPr>
        <w:tc>
          <w:tcPr>
            <w:tcW w:w="7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Aspen Insurance UK Limited</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Munich Reinsurance America Inc.</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14,817</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7"/>
        </w:trPr>
        <w:tc>
          <w:tcPr>
            <w:tcW w:w="7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Top 10 Total</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414,471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181,863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596,334</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4"/>
                <w:szCs w:val="24"/>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p>
      <w:pPr>
        <w:ind w:left="180" w:hanging="154"/>
        <w:spacing w:after="0"/>
        <w:tabs>
          <w:tab w:leader="none" w:pos="1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reinsurer facilitates our eMaxx captive; we hold collateral in a statutory trust of $150.8 million on our reinsurance recoverables</w:t>
      </w:r>
    </w:p>
    <w:p>
      <w:pPr>
        <w:spacing w:after="0" w:line="55" w:lineRule="exact"/>
        <w:rPr>
          <w:rFonts w:ascii="Times New Roman" w:cs="Times New Roman" w:eastAsia="Times New Roman" w:hAnsi="Times New Roman"/>
          <w:sz w:val="19"/>
          <w:szCs w:val="19"/>
          <w:color w:val="auto"/>
          <w:vertAlign w:val="superscript"/>
        </w:rPr>
      </w:pPr>
    </w:p>
    <w:p>
      <w:pPr>
        <w:ind w:left="20" w:right="320" w:firstLine="6"/>
        <w:spacing w:after="0" w:line="248" w:lineRule="auto"/>
        <w:tabs>
          <w:tab w:leader="none" w:pos="16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reinsurer facilitates our LPT reinsurance agreement; we maintain the right of offset of our recoverables for premiums we owe to the reinsurer, we held collateral in a statutory trust of $23.0 million on our net reinsurance recoverables.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enterprise risk management (“ERM”) is embedded in nearly every aspect of our company and guides our day-to-day activities. At the highest level, our approach to ERM is to ensure we achieve an acceptable risk adjusted return for our shareholders; as such we are intentional in our underwriting and asset portfolio construction. As an example, we aim to balance liability duration of our underwriting portfolio, and we use reinsurance to manage volatility from a single loss and for cumulative losses tied to a single event or series of events. Our investment strategy is similarly set out to have a diversified target portfolio that balances portfolio yield, liquidity, volatility, and potential for principal loss.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Chief Risk Officer oversees several critical ERM processes as well as chairing our cross-functional corporate ERM Committee. We formalize our own view of risk and solvency in terms of potential economic loss using our Economic Capital Model (“ECM”). We use the output of our ECM to measure potential earnings and capital loss for a range of scenarios. These outputs are measured against risk tolerances that are set out and updated annually by the ERM Committee and discussed with the Risk Committee of our Board. More specifically, our ECM provides a probabilistic modeled view of earnings and capital loss that brings together the potential loss from catastrophes, reserving, underwriting, market, credit risk, strategic and operational risks.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Aside from maintaining our ECM and overseeing our risk tolerance framework, our Chief Risk Officer works with our ERM Committee to review and maintain a comprehensive risk register with accountabilities to ensure appropriate mitigations are in place and are monitored for any change. The top 10 risks are further identified and quantified by the Chief Risk Officer and the ERM Committee and reviewed every quarter. The Chief Risk Officer and the ERM Committee submit these reports to the Risk Committee on a regular basis.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construct our operational processes and controls with a view to identify, assess and manage key risks on an ongoing basis. For example, our Underwriting Committee is responsible for overseeing changes in risk appetite, and product line and division expansion. Within Claims, we diligently monitor our claims handling practices against guidelines through regular internal audits, conduct monthly large loss reviews, and maintain and monitor a watchlist of potential high severity claims. Within Actuarial, we perform quarterly reserve studies, and our Reserve Committee meets each quarter to review and respond to trends in loss emergence. Any key observations are subsequently discussed with the CEO. Monthly and quarterly our underwriting divisions assess rate change and retention on existing business, new business quality and pricing adequacy, and loss emergence as compared to expected. Our SkyBI platform provides real-time portfolio, underwriting, claims and actuarial analytics which is critical to ensuring that the above processes achieve the desired outcome.</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Altogether, our ERM is at the center of our decision making and our day-to-day activities. It is a central component to our strategy to achieve market leading risk adjusted returns for our shareholders.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reserves for specific claims incurred and reported, IBNR reserves and reserves for uncollectible reinsurance when appropriate. Our ultimate liability may be greater or less than the current reserves. In the insurance industry, there is always the risk that reserves may prove inadequate. We continually monitor reserves using new information on reported claims and a variety of statistical analyses. Anticipated inflation is reflected implicitly in the reserving process through analysis of cost trends and the review of historical development. We do not discount our reserves for losses and LAE to reflect estimated present value.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a claim is reported, we establish a case reserve for the estimated amount of the ultimate payment after an appropriate assessment of coverage, damages and other investigation as applicable. The estimate is based on our reserving practices and on the claims adjuster’s experience and knowledge of the nature and value of the specific type of claim. Case reserves are revised periodically based on subsequent developments associated with each claim. See the section entitled “Claims Management” included in this Item 1 for more information.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establish IBNR reserves in accordance with industry practice to provide for (i) the estimated amount of future loss payments on incurred claims not yet reported, and (ii) potential development on reported claims. IBNR reserves are estimated based on generally accepted actuarial reserving techniques that take into account quantitative loss experience data and, where appropriate, qualitative factors.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regularly review our loss reserves using a variety of actuarial techniques. We also update the reserve estimates as historical loss experience develops, additional claims are reported and/or settled and new information becomes available. A reserve can be increased or decreased over time as claims move towards settlement, which can impact earnings in the form of either adverse development or reserve releases. For additional information regarding our loss reserves, see Item 7 of this Form 10-K, “Management’s Discussion and Analysis of Financial Condition and Results of Operations - “Results of Operations - Losses and LAE” and “Critical Accounting Policies.”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a balanced investment portfolio predominantly composed of investments that generate predictable and stable returns, augmented by select strategic investments that generate attractive risk-adjusted returns. Our investment allocation strategy utilizes an Enterprise Based Asset Allocation model. This model, which is embedded in our Economic Capital Model (see ERM discussion included in this Item 1), allows us to understand the impact of our investment allocation decisions on our capital, liquidity and risk profile across a range of market scenarios.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actively manage and monitor our investment risk to balance the goals of stable growth and liquidity with our need to comply with the insurance regulatory and rating agency frameworks within which we operate. Our portfolio is mainly comprised of cash and cash equivalents and investment-grade fixed-maturity securities, supplemented by additional investments that fit our risk appetite.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Investment Committee of our Board of Directors reviews and approves our investment policy and strategy. This committee meets on a regular basis to review and consider investment activities, tactics, and new investment opportunities as they arise. The portfolio is directed internally and includes both self-managed investments and portfolios managed by select third-party investment management firms.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opportunistic fixed income portfolio is managed by Arena Investors, LP (“Arena”), which is affiliated with The Westaim Corporation (“Westaim”), the Company’s largest shareholder.</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discussion regarding our investments, including the market risks related to our investment portfolio, see Item 7 of this Form 10-K, “Management’s Discussion and Analysis of Financial Condition and Results of Operations—Investments.”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specialty lines property &amp; casualty insurance market consists of many markets and sub-markets. Each market is characterized by distinct customer needs and product and services to meet those needs, and specific economic and structural features. We face competition in our underwriting divisions from other specialty and standard insurers as well as program administrators. Competition is based on many factors including pricing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the underwriting and claims teams. Given the diversity of our underwriting divisions, our competition is broad and certain competitors may be specific to only a subset of our divisions. Some of our notable competitors include: Markel Corporation; W.R. Berkley Corporation; American Financial Group Inc.; Tokio Marine Holdings, Inc.; CNA Financial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540"/>
        <w:spacing w:after="0" w:line="375" w:lineRule="auto"/>
        <w:rPr>
          <w:sz w:val="20"/>
          <w:szCs w:val="20"/>
          <w:color w:val="auto"/>
        </w:rPr>
      </w:pPr>
      <w:r>
        <w:rPr>
          <w:rFonts w:ascii="Times New Roman" w:cs="Times New Roman" w:eastAsia="Times New Roman" w:hAnsi="Times New Roman"/>
          <w:sz w:val="18"/>
          <w:szCs w:val="18"/>
          <w:color w:val="auto"/>
        </w:rPr>
        <w:t xml:space="preserve">Corporation; Hiscox, Ltd.; RLI Corp.; Intact Finance Corporation; Kinsale Capital Group, Inc.; and James River Group Holdings, Ltd. </w:t>
      </w:r>
      <w:r>
        <w:rPr>
          <w:rFonts w:ascii="Times New Roman" w:cs="Times New Roman" w:eastAsia="Times New Roman" w:hAnsi="Times New Roman"/>
          <w:sz w:val="18"/>
          <w:szCs w:val="18"/>
          <w:b w:val="1"/>
          <w:bCs w:val="1"/>
          <w:color w:val="auto"/>
        </w:rPr>
        <w:t>Our Structure</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 our operations principally through four insurance companies: Houston Specialty Insurance Company (“HSIC”), our largest insurance subsidiary, underwrites multiple lines of insurance on a surplus lines basis in 50 states, the District of Columbia and select foreign countries. Imperium Insurance Company (“IIC”), a subsidiary of HSIC, underwrites on an admitted basis in all 50 states and the District of Columbia. Great Midwest Insurance Company (“GMIC”), a subsidiary of IIC underwrites multiple lines of insurance on an admitted basis in all 50 states, the District of Columbia and is a certified surety bond company listed with the Department of the Treasury. Oklahoma Specialty Insurance Company (“OSIC”), a subsidiary of GMIC, is an approved surplus lines company in 49 states and the District of Columbia.</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geographic distribution of our gross written premiums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7106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54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95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11.4 %</w:t>
            </w:r>
          </w:p>
        </w:tc>
      </w:tr>
      <w:tr>
        <w:trPr>
          <w:trHeight w:val="243"/>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27"/>
        </w:trPr>
        <w:tc>
          <w:tcPr>
            <w:tcW w:w="9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w:t>
            </w:r>
          </w:p>
        </w:tc>
      </w:tr>
      <w:tr>
        <w:trPr>
          <w:trHeight w:val="243"/>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27"/>
        </w:trPr>
        <w:tc>
          <w:tcPr>
            <w:tcW w:w="9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43"/>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7"/>
        </w:trPr>
        <w:tc>
          <w:tcPr>
            <w:tcW w:w="9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Jersey</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43"/>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7"/>
        </w:trPr>
        <w:tc>
          <w:tcPr>
            <w:tcW w:w="9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43"/>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7"/>
        </w:trPr>
        <w:tc>
          <w:tcPr>
            <w:tcW w:w="9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39.9</w:t>
            </w:r>
          </w:p>
        </w:tc>
      </w:tr>
      <w:tr>
        <w:trPr>
          <w:trHeight w:val="263"/>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95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
        </w:trPr>
        <w:tc>
          <w:tcPr>
            <w:tcW w:w="9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primary insurance companies, we also own Skyward Re, a wholly-owned captive reinsurance company domiciled in the Cayman Islands that was incorporated on January 7, 2020. Skyward Re was established to facilitate the LPT. For additional information about the LPT, see Item 7 of this Form 10-K, “Management’s Discussion and Analysis of Financial Condition and Results of Operations - Results of Operations - Loss and LAE.” We also operate two non-insurance companies: Skyward Underwriters Agency, Inc., a licensed agent, managing general agent and reinsurance broker, and Skyward Service Company, which provides various administrative services to our subsidiaries.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organizational structure is set forth below. Each entity is wholly-owned by its immediate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85725</wp:posOffset>
            </wp:positionV>
            <wp:extent cx="5143500" cy="257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insurance group, Skyward Specialty Insurance Group, Inc. currently has a rating of “A-” (Excellent) with positive outlook from A.M. Best, which rates insurance companies based on factors of concern to policyholders. A.M. Best currently assigns 16 ratings to insurance companies, which currently range from “A++” (Superior) to “F” (In Liquidation). The “A-” (Excellent) rating is the fourth highest rating. In evaluating a company’s financial and operating performance, A.M. Best reviews a company’s profitability, leverage, and liquidity, as well as its book of business, the adequacy and soundness of its reinsurance, the quality and estimated market value of its assets, the adequacy of its losses and loss expense reserves, the adequacy of its surplus, its capital structure, the experience and competence of its management and its market presence. A.M. Best’s ratings reflect its opinion of an insurance company’s financial strength, operating performance, and ability to meet its obligations to policyholders. These ratings are based on factors relevant to policyholders, agents, insurance brokers and intermediaries and are not specifically related to securities issued by the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Regulation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regulated by insurance regulatory authorities in the states in which we conduct business. State insurance laws and regulations generally are designed to protect the interests of policyholders, consumers and claimants rather than stockholders or other investors. The nature and extent of state regulation varies by jurisdiction, and state insurance regulators generally have broad administrative power relating to, among other matters, setting capital and surplus requirements, licensing of insurers and insurance producers, review and approval of product forms and rates, establishing standards for reserve adequacy, prescribing statutory accounting methods and the form and content of statutory financial reports, regulating certain transactions with affiliates and prescribing types and amounts of investments.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Regulation of insurance companies constantly changes as governmental agencies and legislatures react to real or perceived issues. In recent years, the state insurance regulatory framework has come under increased federal scrutiny, and some state legislatures have considered or enacted laws that alter and, in many cases, increase, state authority to regulate insurance companies and insurance holding company systems. Further, the National Association of Insurance Commissioners (“NAIC”) and some state insurance regulators are re-examining existing laws and regulations specifically focusing on issues relating to the solvency of insurance companies, interpretations of existing laws and the development of new laws. Although the federal government does not directly regulate the business of insurance, federal initiatives often affect the insurance industry in a variety of ways. In addition, the Federal Insurance Office (the “FIO”) was established within the U.S. Department of the Treasury by the Dodd-Frank Wall Street Reform and Consumer Protection Act (the “Dodd-Frank Act”) in July 2010. The FIO monitors all aspects of the insurance industry, including identifying issues or gaps in the regulation of insurers that could contribute to a systemic crisis in the insurance industry or the U.S. financial system, although the FIO has no express regulatory authority over insurance companies or other insurance industry participants.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Holding Company Regulation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as an insurance holding company system and are subject to the insurance holding company laws of the State of Texas, the state in which our primary insurance companies are domiciled, as well as those of Oklahoma.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 These statutes also provide that all transactions among members of a holding company system must be fair and reasonable. Transactions between insurance subsidiaries and their parents and affiliates generally must be disclosed to the state regulators, and notice to or prior approval of the applicable state insurance regulator generally is required for any material or extraordinary transaction.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applied for various trademark registrations in the United States at both federal and state levels. We will pursue additional trademark registrations and other intellectual property protection to the extent we believe it would be beneficial and cost effective.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monitor our trademarks and service marks and protect them from unauthorized use as necessary.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515 employees. Our employees are not subject to any collective bargaining agreement, and we are not aware of any current efforts to implement such an agreement. We believe we have good working relations with our employees. We aim to be an employer of choice, and not just for insurance. As such, we strive to create a culture committed to fostering a rich diversity of thought, background and perspective.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embrace diversity, equity and inclusion initiatives as a way to improve workplace culture and demonstrate the importance of valuing our employees as people, not just as workers. We strive to cultivate an exceptional workforce to perpetuate our ownership culture and continue to achieve superior business results. Our goal is to attract, develop and retain the best talent from diverse backgrounds, while promoting a culture where different viewpoints are valued and individuals feel respected, are treated fairly and have an opportunity to excel in their chosen careers.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and maintain a competitive benefits package designed to support the well-being of our employees, including, but not limited to, medical, dental and vision insurance, a 401(k) plan, paid time off, family leave, employee assistance programs as well as an employee stock purchase plan available to all employees. We also emphasize the training and development of our employees and provide opportunities to further their education and professional development. We know that we cannot win at our business unless we first win with our people.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report, including our consolidated financial statements and related notes, as well as in our other filings with the SEC, in evaluating our business and before investing in our common stock. The risks and uncertainties described below are not the only ones we face. Additional risks and uncertainties that are not expressly stated, that we are unaware of, or that we currently believe are not material, may also become important factors that affect us. If any of the following risks occur, our business, operating results, financial condition and prospects could be materially harmed. In that event, the price of our common stock could decline, and you could lose part or all of your investment.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Among others, these risks relate to:</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could be materially adversely affected if we do not accurately assess our underwriting risk;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business in our industry is intense;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depends on insurance retail agents and brokers, wholesalers and program administrators, we are exposed to certain risks arising out of our reliance on these distribution channels that could adversely affect our results;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losses and loss expense reserves may be inadequate to cover our actual losses, which could have a material adverse effect on our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may adversely affect the amount of business we write;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reimburse us for claims on a timely basis, or at all, which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and timely pay claims could materially and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business is historically cyclical in nature, which may affect our financial performance and cause our operating results to vary from quarter to quarter and may not be indicative of future performance;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 failure to comply with these regulations could subject us to penalties, including fines and suspensions, which may adversely affect our financial condition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adversely affected by the loss of one or more key personnel or by an inability to attract and retain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achieve and maintain effective internal controls, our operating results and financial condition could be impacted and the market price of our common stock may be negatively affected;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will increase significantly as a result of operating as a public company, and our management will be required to devote substantial time to complying with public company regulations.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materially adversely affected if we do not accurately assess our underwriting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underwriting success is dependent on our ability to accurately assess the risks associated with the business we write and retain. We rely on the experience of our underwriting staff in assessing those risks. If we misunderstand the nature or extent of the risks, we may fail to establish appropriate premium rates which could adversely affect our financial results. In addition, our employees, including members of management and underwriters, make decisions and choices in the ordinary course of business that involve exposing us to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In particular, competition in the insurance industry is based on many factors, including price of coverage, the general reputation and perceived financial strength of the company, relationships with distribution partners, terms and conditions of products offered, ratings assigned by independent rating agencies, speed of claims payment and reputation, and the experience and reputation of the members of our underwriting team in the particular lines of insurance and reinsurance we seek to underwrite. In recent years, the insurance industry has undergone increasing consolidation, which may further increase competition. In addition, some of our competitors are larger and have greater financial, marketing, and other resources than we do, in addition to being able to absorb large losses more easily. Other competitors have longer operating history and more market recognition than we do in certain lines of business.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number of new, proposed or potential industry or legislative developments could further increase competition in our industry. For example, there has been an increase in capital-raising by companies with whom we compete, which could result in new entrants to our markets and an excess of capital in the industry. Additionally, the possibility of federal regulatory reform of the insurance industry could increase competition from standard carriers.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retail agents, brokers, wholesalers and program administrators, we are exposed to certain risks arising out of our reliance on these distribution channels that could adversely affect our results.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our products are ultimately distributed through independent retail agents and brokers who have the principal relationships with policyholders. Retail agents and brokers generally own the “renewal rights,” and thus our business model is dependent on our relationships with, and the success of, the retail agents and brokers with whom we do business. Further, we are also dependent on the relationships our wholesalers and program administrators maintain with the agents and brokers from whom they source their business.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relationship with our retail agents, brokers, wholesalers and program administrators may be discontinued at any time. Even if the relationships do continue, they may not be on terms that are profitable for us. For example, as insurance distribution firms continue to consolidate, their ability to influence commission rates may increase as may the concentration of business we have with a particular broker. Further, certain premiums from policyholders, where the business is produced by brokers, are collected directly by the brokers and remitted to us. In certain jurisdictions, when the insured pays its policy premium to its broker for payment on behalf of our insurance subsidiary, the premium might be considered to have been paid under applicable insurance laws and regulations. Accordingly, the insured would no longer be liable to us for those amounts, whether or not we have actually received the premium from that broker. Consequently, we assume a degree of credit risk associated with the brokers with which we work.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Similarly, if we are limited in our ability to cancel policies for non-payment, our underwriting profits may decline and our financial condition and results of operations could be materially and adversely affected.</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review the financial condition of potential new brokers before we agree to transact business with them, and we periodically review the agencies, brokers, wholesalers and program administrators with whom we do business to identify those that do not meet our profitability standards or are not aligned with our business objectives. Following these periodic reviews, we may restrict such distributors’ access to certain types of products or terminate our relationship with them, subject to applicable contractual and regulatory requirements that limit our ability to terminate agents or require us to renew policies. Even through the utilization of these measures, we may not achieve the desired results.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rely on these distributors as our sales channel, any deterioration in the relationships with our distributors or failure to provide competitive compensation could lead our distributors to place more premium with other carriers and less premium with us. In addition, we could be adversely affected if the distributors with whom we do business exceed their granted authority, fail to transfer collected premium to us or breach the obligations that they owe to us. Although we routinely monitor our distribution relationships, such actions could expose us to liability.</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Also, if insurance distribution firm consolidation continues at its current pace or increases in the future, our sales channels could be materially affected in a number of ways, including loss of market access or market share in certain geographic areas. Specifically, we could be negatively affected due to loss of talent as the people most knowledgeable about our products and with whom we have developed strong working relationships exit the business following an acquisition, or, increases in our commission costs as larger distributors acquire more negotiating leverage over their fees. Any such disruption that materially affects our sales channel could have a negative impact on our results of operations and financial condition.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speed of digitization accelerates, we are subject to risks associated with both our distributors and their ability to keep pace. In an increasingly digital world, distributors who cannot provide a digital or technology-driven experience risk losing customers who demand such an experience, and such customers may choose to utilize more technology-driven distributors.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Reinsurance involves transferring, or ceding, a portion of our risk exposure on policies that we write to another insurer, the reinsurer, in exchange for a cost. If we are unable to renew our expiring contracts, enter into new reinsurance arrangements 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acceptable terms or expand our coverage, our loss exposure could increase, which would increase our potential losses related to loss events. If we are unwilling to bear an increase in loss exposure, we may need to reduce the level of our underwriting commitments, both of which could materially adversely affect our business, financial condition and results of operations.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situations in which reinsurers may exclude certain coverages from, or alter terms in, the reinsurance contracts we enter into with them. As a result, we, like other insurance companies, could write insurance policies which to some extent do not have the benefit of reinsurance protection. These gaps in reinsurance protection expose us to greater risk and greater potential losses.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losses and loss expense reserves may be inadequate to cover our actual losses, which could have a material adverse effect on our financial condition, results of operations and cash flows.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accurately assess the risks related to the businesses and people that we insure. We establish losses and LAE reserves for the best estimate of the ultimate payment of all claims that have been incurred, or could be incurred in the future, and the related costs of adjusting those claims, as of the date of our financial statements. Reserves do not represent an exact calculation of liability. Rather, reserves represent an estimate of what we expect the ultimate settlement and administration of claims will cost us, and our ultimate liability may be greater or less than our estimate.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part of the reserving process, we review historical data and consider the impact of such factors as:</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inflation, which is the sustained increase in cost of raw materials, labor, medical services and other components of claims cost;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development patterns by line of business, as well as frequency and severity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economic patterns;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judicial and regulatory trends.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variables are affected by both internal and external events that could increase our exposure to losses, and we continually monitor our loss reserves using new information on reported claims and a variety of statistical techniques and modeling simulations. This process assumes that past experience, adjusted for the effects of current developments, anticipated trends and market conditions, is an appropriate basis for predicting future events. There is, however, no precise method for evaluating the impact of any specific factor on the adequacy of loss reserves, and actual results may deviate, perhaps substantially, from our reserve estimates. For instance, the following uncertainties may have an impact on the adequacy of our reserves:</w:t>
      </w:r>
    </w:p>
    <w:p>
      <w:pPr>
        <w:spacing w:after="0" w:line="75"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claim is received, it may take considerable time to appreciate fully the extent of the covered loss suffered by the insured and, consequently, estimates of loss associated with specific claims can increase over time. Consequently, estimates of loss associated with specified claims can change as new information emerges, which could cause the reserves for the claim to become inadequate.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theories of liability are enforced retroactively from time to time by courts. The failure of any of the loss limitations or exclusions we employ, or changes in other claims or coverage issues, could have a material adverse effect on our financial condition or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financial markets, economic events and other external factors may result in an increase in the number of claims and/or severity of the claims reported. In addition, elevated inflationary conditions would, among other things, cause loss costs to increase. 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due to “social inflation,” including continued increase of medical costs, more costly technology in vehicles, supply chain disruptions, more involvement of attorneys in claims matters, third-party financing of litigation, lawsuit abuse and other factors, all of which could increase the frequency and severity of claims and affect the adequacy of our loss reserves.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claims were to become more frequent, even if we had no liability for those claims, the cost of evaluating such potential claims could escalate beyond the amount of the reserves we have established. As we enter new lines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business, or as a result of new theories of claims, we may encounter an increase in claims frequency and greater claims handling costs than we had anticipated.</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any of our reserves should prove to be inadequate, we will be required to increase our reserves resulting in a reduction in our net income and stockholders’ equity in the period in which the deficiency is identified.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loss experience substantially in excess of established reserves could also have a material adverse effect on our future earnings and liquidity and our financial rating.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the date of this filing, A.M. Best has assigned a financial strength rating of “A-” (Excellent) with positive outlook to us. A.M. Best assigns ratings that are intended to provide an independent opinion of an insurance company’s ability to meet its obligations to policyholders and is not an evaluation directed to investors and is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at their discretion based primarily on its analyses of our balance sheet strength, operating performance and business profile. There are specific building blocks A.M. Best reviews, including capital adequacy, operating performance, operating profile and ERM, as well as other factors that could affect their analyses such as:</w:t>
      </w:r>
    </w:p>
    <w:p>
      <w:pPr>
        <w:spacing w:after="0" w:line="8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 our liquidity is limited;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assurances that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could nullify or void a limitation or exclusion or legislation could be enacted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modifying or barring the use of such limitations or exclusions. These types of governmental actions could result in higher than anticipated losses and LAE,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reimburse us for claims on a timely basis, or at all, which may materially adversely affect our business, financial condition and results of operations.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reinsurance contracts that we enter into to help manage our risks require us to pay premiums to the reinsurance carriers who will in turn reimburse us for a portion of covered policy claims. In many cases, a reinsurer will be called upon to reimburse us for policy claims many years after we paid insurance premiums to the insurer. Although reinsurance makes the reinsurer liable to us to the extent the risk is transferred or ceded to the reinsurer, it does not relieve us (the ceding insurer) of our primary liability to our policyholders. Our current reinsurance program is designed to limit our financial risk. However, our reinsurers may not pay claims we incur on a timely basis, or they may not pay some or all of these claims. For example, reinsurers may default in their financial obligations to us as the result of insolvency, lack of liquidity, operational failure, political and/or regulatory prohibitions,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These risks could cause us to incur increased net losses, and, therefore, adversely affect our financial condition. As of December 31, 2023, we had $596.3 million of aggregate reinsurance recoverables.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pay claims could materially and adversely affect our business, financial condition, results of operations, and prospects.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TPAs, the effectiveness of our management, and our ability to develop or select and implement appropriate procedures and systems to support our claims functions and other factors. Our failure to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operating margins.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Severe weather conditions, including the effects of climate change, catastrophes, pandemic, as well as man-made event events may adversely affect our business, results of operations and financial condition.</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exposed to the risk of severe weather conditions, earthquakes and man-made catastrophes. Catastrophes can be caused by various events, including natural events such as severe winter weather, severe convective storms/tornadoes, windstorms, earthquakes, hailstorms, severe thunderstorms and fires, or man-made events such as explosions, war, terrorist attacks and riots.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incidence and severity of catastrophes and severe weather conditions are inherently unpredictable. We manage our exposure to losses by analyzing the probability and severity of the occurrence of loss events and the impact of such events on our overall underwriting and investment portfolio. In addition, our inability to obtain reinsurance coverage at reasonable rates and in amounts adequate to mitigate the risks associated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severe weather conditions and other catastrophes could have a material adverse effect on our business and results of operations.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also exposed to the risk of pandemics, outbreaks, public health crises, and geopolitical and social events, and their related effects. While policy terms and conditions in the lines of business written by us would be expected to preclude coverage for virus-related claims, like the COVID-19 pandemic, court decisions and governmental actions may challenge the validity of any exclusions or our interpretation of how such terms and conditions operate.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pre-established guidelines, our results of operations could be adversely affected.</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they in turn, sell our insurance products to insureds through retail agents and brokers. These program administrators can bind certain risks without our initial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LAE. Such actions could adversely affect our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contracts do not meet expectations, our written premium in future years and our future results of operations could be materially adversely affected.</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of our contracts are written for a one-year term. In our financial forecasting process, we make assumptions about the rates of renewal of our prior year’s contracts. The insurance and reinsurance industries have historically been cyclical businesses with intense competition, often based on price. If actual renewals do not meet expectations or if we choose not to write renewals because of pricing conditions, our written premium in future years and our future operations would be materially adversely affected.</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public attention to environmental, social and governance matters may expose us to negative public perception, cause reputational harm, impose additional costs on our business or impact our stock price.</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Recently, more attention is being directed towards publicly traded companies regarding environmental, social and governance (“ESG”) matters. A failure, or perceived failure, to respond to investor or customer expectations related to ESG concerns could cause harm to our business and reputation. For example, our insureds include a wide variety of industries, including potentially controversial industries. Damage to our reputation as a result of our provision of policies to certain insureds could result in decreased demand for our insurance products and could have a material adverse effect on our business, operational results and financial results, as well as require additional resources to rebuild our reputation, competitive position and brand strength.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are required to comply with statutory accounting principles, or SAP. SAP and various components of SAP are subject to constant review by the NAIC and its task forces and committees, as well as state insurance departments, in an effort to address emerging issues and otherwise improve financial reporting. Various proposals are pending before committees and task forces of the NAIC, some of which, if enacted and adopted on a state level,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and Economic Conditions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Factors, such as business revenue,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existing insurance policies, modify their coverage or not renew the policies they hold with us. Existing policyholders may exaggerate or even falsify claims to obtain higher claims payments. In addition, if certain segments of the economy, such as the construction or energy production and servicing segments (which would affect several of our underwriting divisions at one time) were to significantly collapse, it could adversely affect our results. These outcomes would reduce our underwriting profit to the extent these factors are not reflected in the rates we charge.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business is historically cyclical in nature, which may affect our financial performance and cause our operating results to vary from quarter to quarter and may not be indicative of future performance.</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insurance carriers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(soft market cycle) as well as periods when shortages of capacity increased premium levels (hard market cycle).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an individual insurance company’s financial performance depends on its own specific business characteristics, the profitability of most P&amp;C insurance companies tends to follow this cyclical market pattern with higher gross written premium growth and improved profitability during hard market cycles. Further, this cyclical market pattern can be more pronounced in the E&amp;S market than in the standard insurance market. When the standard insurance market hardens, the E&amp;S market typically hardens, and growth in the E&amp;S market can be significantly more rapid than growth in the standard insurance market. Similarly, when conditions begin to soften, many customers that were previously driven into the E&amp;S market may return to the admitted market, exacerbating the effects of rate decreases on our financial results. At present, we believe we are experiencing a relatively hard market cycle, however, we cannot predict the timing or duration of changes in the market cycle because the cyclicality is due in large part to the actions of our competitors and general economic factors. As a result, our operating results are subject to fluctuation and have historically varied from quarter to quarter. We expect our quarterly results will continue to fluctuate in the future due to a number of factors, including the general economic conditions in the markets where we operate, the frequency of occurrence or severity of catastrophe or other insured events, fluctuating interest rates, claims exceeding our loss reserves, competition in our industry, deviations from expected premium retention rates of our existing policies and contracts, adverse investment performance, and the cost of reinsurance coverage.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routinely reviewed by our Investment Committee. However, our investments are subject to general economic conditions and market risks as well as risks inherent to specific securities. Our primary market risk exposures are to changes in interest rates and equity prices. See the section entitled “Management’s Discussion and Analysis of Financial Condition and Results of Operations - Investments - Market Risk.”</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significant amount of our investment portfolio is invested in fixed maturity securities, or separately managed accounts and limited partnerships invested primarily in fixed maturity securities. Interest rates rose materially during 2022 and 2023. Should the recent rate increases decline, including as a result of steps taken by the federal government to slow inflation, such as the passage of the Inflation Reduction Act of 2022, a low interest rate environment would place pressure on our net investment income, particularly as it relates to these securities and short-term investments, which, in turn, may adversely affect our operating results. Recent and future increases in interest rates could cause the values of our fixed income securities portfolios to decline, with the magnitude of the decline depending on the duration of securities included in our portfolio and the amount by which interest rates increase. Some fixed income securities have call or prepayment options, which create possible reinvestment risk in declining rate environments. Other fixed income securities, such as mortgage-backed and other asset-backed securities, carry prepayment risk or, in a rising interest rate environment, may not prepay as quickly as expected.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fixed maturity securities, including those held in separately managed accounts and limited partnerships, are subject to credit risk. Credit risk is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maturity securities (where rated) could also have a significant negative effect on the market valuation of such securities.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invest in marketable preferred and common equity securities and exchange traded funds. These securities are carried on the balance sheet at fair market value and are subject to potential losses and declines in market value.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above market and credit risks could reduce our net investment income and result in realized investment losses. Our investment portfolio is subject to increased valuation uncertainties when investment markets are illiquid, as is the case with our fixed maturity securities held to maturity, separately managed accounts, and limited partnership investments. The valuation of investments is more subjective when markets are illiquid, thereby increasing the risk that the estimated fair value (i.e., the carrying amount) of the securities we hold in our portfolio do not reflect prices at which actual transactions would occur.</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Texas Department of Insurance, and the Oklahoma Department of Insurance. In addition, our Investment Committee periodically reviews our Enterprise Based Asset Allocation models to assist in overall risk management.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LAE reserves to provide sufficient liquidity and avoid having to liquidate investments to fund claims. Risks such as inadequate losses and LAE reserves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primary insurance subsidiaries, HSIC, IIC, and GMIC, are subject to extensive regulation in Texas, their state of domicile, and to a lesser degree, the other states in which they operate. 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of our business objectives.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are part of an “insurance holding company system” within the meaning of applicable Texas statutes and regulations. As a result of such status, certain transactions between our insurance subsidiaries and one or more of their affiliates may not be effected unless the insurer has provided notice of that transaction to the Texas Department of Insurance. These prior notification requirements may result in business delays and additional business expenses. If our insurance subsidiaries fail to file a required notification or fail to comply with other applicable insurance regulations in Texas, we may be subject to significant fines and penalties and our working relationship with the Texas Department of Insurance may be impaired.</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or revoke licenses for various reasons, including the violation of regulations. In some instances, where there is uncertainty as to applicability, we follow practices based 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in their state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are subject to risk-based capital requirements, based upon the “risk based capital model” adopted by the NAIC, and other minimum capital and surplus restrictions imposed under Texas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to maintain our risk-based capital at the required levels could adversely affect the ability of our insurance subsidiary to maintain regulatory authority to conduct our business and our A.M. Best Rating.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which may have a material adverse impact on our business.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currently derive revenues from customers in the cannabis industry. As such, any risks related to the cannabis industry, including but not limited to cannabis being deemed a controlled substance under federal laws, may adversely impact our clients, and potential clients, which may in turn, impact our services. The legality of cannabis could be reversed in one or more states, which might force businesses, including our customers, to cease operations in one or more states entirely. A change in the legal status of, or the enforcement of federal laws related to, the cannabis industry could negatively impact us and lead to a decrease in our revenue through the loss of current and potential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gross federal income tax net operating losses, or NOLs, of approximately $49.4 million available to offset our future taxable income, if any, prior to consideration of annual limitations that may be imposed under Section 382 of the Internal Revenue Code of 1986, as amended, or the Code, or otherwise. These NOLs are set to expire beginning in 2030.</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Section 382 of the Code, if a corporation undergoes an “ownership change” (very generally defined as a greater than 50% change, by value, in the corporation’s equity ownership by certain stockholders or groups of stockholders over a rolling three-year period), the corporation’s ability to use its pre-ownership change NOLs to offset its post-ownership change income may be limited. We may experience ownership changes in the future as a result of subsequent shifts in our stock ownership, some of which may be outside of our control. Future regulatory changes could also limit our ability to utilize our NOLs. To the extent we are not able to offset future taxable income with our NOLs, our net income and cash flows may be adversely affected.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of our operations are conducted by our insurance subsidiaries, our ability to achieve liquidity at the holding company, including the ability to pay dividends and service our debt obligations, depends on our ability to obtain cash dividends or other permitted payments from our insurance subsidiaries.</w:t>
      </w:r>
    </w:p>
    <w:p>
      <w:pPr>
        <w:spacing w:after="0" w:line="5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Accordingly, we do not intend to declare and pay cash dividends on shares of our common stock in the foreseeable future. Because we are a holding company with no business operations of our own, our ability to pay dividends to stockholders and meet our debt payment obligations largely depends on dividends and other distributions from our primary insurance subsidiaries, HSIC, IIC and GMIC. State insurance laws, including the laws of Texas restrict the ability of HSIC, IIC and GMIC to determine how we declare stockholder dividends. State insurance regulators require insurance companies to maintain specified levels of statutory capital and surplus. Dividend payments are further limited to that part of available policyholder surplus that is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our insurance subsidiaries may in the future adopt statutory provisions more restrictive than those currently in effect.</w:t>
      </w: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contractual restrictions pursuant to our debt agreements,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applicable Texas insurance laws and regulations, no person may acquire control of a domestic insurer until written approval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 Texas insurance laws and regulations pertaining to changes of control apply to both the direct and indirect acquisition of ten percent or more of the voting stock of a Texas-domiciled insurer. Accordingly, the acquisition of ten percent or more of our common stock would be considered an indirect change of control of Skyward Specialty and would trigger the applicable change of control filing requirements under Texas insurance laws and regulations, absent a disclaimer of control filing and its acceptance by the Texas Insurance Department. These requirements may discourage potential acquisition proposals and may delay, deter or prevent a change of control of Skyward Specialty, including through transactions that some or all of the stockholders of Skyward Specialty might consider to be desirable.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Liquidity and Access to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To the extent that cash flows generated by our operations are insufficient to fund future operating requirements and cover claim losses, or that our capital position is adversely impacted by a decline in the fair value of our investment portfolio, losses from catastrophe events or otherwise, we may need to raise additional funds through financings or curtail our growth. Many factors will affect the amount and timing of our capital needs, including our growth rate and profitability, our claims experience, and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may be subject to covenants that restrict our ability to freely operate our business. In any case, such securities may have rights, preferences and privileges that are senior to those of the shares of common stock offered hereby. If we cannot obtain adequate capital on favorable terms or at all, we may not have sufficient funds to implement our operating plans and our business, financial condition or results of operations could be materially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personnel or by an inability to attract and retain qualified personnel.</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and seasoned personnel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Should any of our key personnel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cyberattacks, and other information technology failures could disrupt our operations, damage our reputation, and adversely affect our business, operations, and financial results.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systems. We rely on these systems to interact with brokers and insureds, to underwrite business, to prepare policies and process premiums, to perform actuarial and other modeling functions, to process claims and make claims payments, and to prepare internal and external financial statements. Some of these systems may include or rely on third-party systems not located on our premises or under our control. Events such as natural catastrophes, terrorist attacks, industrial accidents, computer viruses and other cyber-attacks may cause our systems to fail or be inaccessible for extended periods of time. While we have implemented business contingency plans and other reasonable plans to protect our systems, whether housed internally or through third-party cloud services,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Computer viruses, hackers, employee misconduct, and other external hazards could expose our systems to security breaches, cyber-attacks or other disruptions. While we have implemented security measures designed to protect against breaches of security and other interference with our systems and networks, our systems and networks may be subject to breaches or interference and we, and our third-party service providers, will likely continue to experience cybersecurity incidents of varying degrees. Any such event may result in operational disruptions as well as unauthorized access to, the disclosure of,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or other damage to our business. 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spacing w:after="0" w:line="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Third parties to whom we outsource certain of our functions are also subject to these risks. While we review and assess our third-party providers’ cybersecurity controls, as appropriate, and make changes to our business processes to manage these risks, we cannot ensure that our attempts to keep such information confidential will always be successful. Moreover, our increased use of third-party services (e.g. cloud technology and software as a service) can make it more difficult to identify and respond to cyberattacks in any of the above situations due to the dynamic nature of these technologies. These risks could increase as vendors adopt and use more cloud-based software services rather than software services which can be run within our data centers.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systems development and skilled personnel. However, we must be able to meet our capital needs, expand our systems and our internal controls effectively, allocate our human resources optimally, identify, hire, train and develop qualified employees and effectively incorporate the components of any business we may acquire in our effort to achieve growth. The failure to manage our growth effectively could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out-of-the-ordinary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key vendor relationships or failure of a vendor to protect our data, confidential and proprietary information could affect our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services and products provided by many vendors in the United States and abroad. These include, for example, vendors of computer hardware and software, and vendors and/or outsourcing of services such as claim adjustment services, human resource benefits management services and investment management services. In the event that any vendor suffers a bankruptcy or otherwise becomes unable to continue to provide products or services, or fails to protect our confidential, proprietary, and other information, we may suffer operational impairments and financial losses. In addition,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we generally monitor vendor risk, including the security and stability of our critical vendors, we may fail to properly assess and understand the risks and costs involved in the third-party relationships, and our financial condition and results of operations could be materially and adversely affected.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we will continue to rely on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or be unable to protect our intellectual property rights for our proprietary technology platform and brand, or we may be sued by third parties for alleged infringement of their proprietary rights.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brand and our proprietary technology used in certain of our product lines. We primarily rely on copyright and trade secret laws, and confidentiality agreements with our employees, customers, service providers, partners and others to protect our intellectual property rights. However, the steps we take to protect our intellectual property may be inadequate.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also in part on our not infringing on the intellectual property rights of others. Our competitors, as well as a number of other entities and individuals, may own or claim to own intellectual property relating to our industry or the Company.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expect to continue to incur increased costs as a result of operating as a public company, and our management devotes substantial time to compliance initiatives. We are subject to financial reporting and other requirements for which our accounting and other management systems and resources may not be adequately prepared.</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incurred and will continue to incur significant legal, accounting and other expenses. In addition, the federal securities laws, including the Sarbanes-Oxley Act, the Dodd-Frank Act, and rules and regulations subsequently implemented by the SEC and Nasdaq have imposed various requirements on public companies, including requirements to file annual, quarterly and event-driven reports with respect to our business and financial condition, and to establish and maintain effective disclosure and financial controls and corporate governance practices. These rules and regulations will increase our legal and financial compliance costs, make certain activities more time-consuming and costly, and require our management and other personnel to devote a substantial amount of time to compliance initiatives. Despite our best efforts, we may not be able to produce reliable financial statements or file such financial statements as part of a periodic report in a timely manner with the SEC or comply with Nasdaq listing requirements. We also expect that these rules and regulations may make it more difficult and more expensive for us to obtain director and officer liability insurance.</w:t>
      </w:r>
    </w:p>
    <w:p>
      <w:pPr>
        <w:spacing w:after="0" w:line="80" w:lineRule="exact"/>
        <w:rPr>
          <w:sz w:val="20"/>
          <w:szCs w:val="20"/>
          <w:color w:val="auto"/>
        </w:rPr>
      </w:pPr>
    </w:p>
    <w:p>
      <w:pPr>
        <w:jc w:val="both"/>
        <w:ind w:firstLine="500"/>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beginning January 18, 2024. However, while we remain an emerging growth company, we will not be required to include an attestation report on internal control over financial reporting issued by our independent registered public accounting firm. To achieve compliance with Section 404 of the Sarbanes-Oxley Act, we will be engaged in a process to document and evaluate our internal control over financial reporting, which is both costly and challenging. We will need to continue to dedicate internal resources,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This could result in an adverse reaction in the financial markets due to a loss of confidence in the reliability of our financial statements. We could also become subject to investigations by the SEC or other regulatory authorities, which could require additional financial and management resources.</w:t>
      </w:r>
    </w:p>
    <w:p>
      <w:pPr>
        <w:spacing w:after="0" w:line="68" w:lineRule="exact"/>
        <w:rPr>
          <w:sz w:val="20"/>
          <w:szCs w:val="20"/>
          <w:color w:val="auto"/>
        </w:rPr>
      </w:pPr>
    </w:p>
    <w:p>
      <w:pPr>
        <w:jc w:val="both"/>
        <w:ind w:firstLine="500"/>
        <w:spacing w:after="0" w:line="253" w:lineRule="auto"/>
        <w:rPr>
          <w:sz w:val="20"/>
          <w:szCs w:val="20"/>
          <w:color w:val="auto"/>
        </w:rPr>
      </w:pPr>
      <w:r>
        <w:rPr>
          <w:rFonts w:ascii="Times New Roman" w:cs="Times New Roman" w:eastAsia="Times New Roman" w:hAnsi="Times New Roman"/>
          <w:sz w:val="18"/>
          <w:szCs w:val="18"/>
          <w:color w:val="auto"/>
        </w:rPr>
        <w:t>As a public company, we are also required to maintain disclosure controls and procedures.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rules and forms of the SEC. We do not expect that our disclosure controls and procedures or our internal control over financial reporting will prevent or detect all errors and all fraud. We believe a control system, no matter how well-designed and operated, can provide only reasonable, not absolute, assurance that the control system’s objectives will be met. Due to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any design may not succeed in achieving its stated goals under all potential future conditions. Over time, controls may become inadequate because of changes in conditions or deterioration in the degree of compliance with policies or procedures. Accordingly, because of the inherent limitations in our control system, misstatements due to error or fraud may occur and not be detected.</w:t>
      </w:r>
    </w:p>
    <w:p>
      <w:pPr>
        <w:spacing w:after="0" w:line="45"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-360680</wp:posOffset>
            </wp:positionV>
            <wp:extent cx="6413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404(a) of the Sarbanes-Oxley Act, which requires annual assessments by management of the effectiveness of our internal control over financial reporting. We are an emerging growth company, and thus we are exempt from the auditor attestation requirement of Section 404(b) of Sarbanes-Oxley until such time as we no longer qualify as an emerging growth company.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and any decision on our part to comply with reduced reporting and disclosure requirements applicable to emerging growth companies could make our common stock less attractive to investors.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and, for as long as we continue to be an emerging growth company, we currently intend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of the Sarbanes-Oxley Act, reduced disclosure obligations regarding executive compensation in our registration statements,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last day of the fiscal year in which we have total annual gross revenues of $1.235 billion or more; (ii) the last day of our fiscal year following the fifth anniversary of the date of the IPO; (iii) the date on which we have issued more than $1 billion in nonconvertible debt during the previous three years; and (iv) the date on which we are deemed to be a large accelerated filer under the rules of the SEC.</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choose to rely on these exemptions while we are an emerging growth company. If some investors find our common stock less attractive as a result of any choices to reduce future disclosure, there may be a less active trading market for our common stock and the price of our common stock may be more volatile.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you could lose all or part of your investment.</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the market price of our common stock has been and is likely to continue to be highly volatile and may fluctuate substantially due to many factors, many of which are beyond our control.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You should consider an investment in our common stock to be risky, and you should invest in our common stock only if you can withstand a significant loss and wide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fluctuation in the market value of your investment. The market price of our common stock could be subject to significant fluctuations in response to the factors described in this “Risk Factors” section and other factors, many of which are beyond our control. Among the factors that could affect our stock price are:</w:t>
      </w:r>
    </w:p>
    <w:p>
      <w:pPr>
        <w:spacing w:after="0" w:line="6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 including social inflation;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actors of terrorism or responses to these events.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their purchase price. These broad market fluctuations, as well as general market, economic and political conditions, such as recessions, loss of investor confidence or interest rate changes, may negatively affect the market price of our common stock.</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by existing stockholders, or the perception that those sales may occur, could cause the market price of our common stock to decline.</w:t>
      </w:r>
    </w:p>
    <w:p>
      <w:pPr>
        <w:spacing w:after="0" w:line="51" w:lineRule="exact"/>
        <w:rPr>
          <w:sz w:val="20"/>
          <w:szCs w:val="20"/>
          <w:color w:val="auto"/>
        </w:rPr>
      </w:pPr>
    </w:p>
    <w:p>
      <w:pPr>
        <w:jc w:val="both"/>
        <w:ind w:right="120" w:firstLine="535"/>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stockholder approval, which could result in our pursuing a strategy or implementing underwriting guidelines that may be materially different from the strategy or underwriting guidelines described in the section entitled “Business” or elsewhere in this filing.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a change in management and limit our share price.</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Therefore, these provisions could adversely affect the price of our common stock. Among other things, our charter documents:</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with staggered, three-year terms and that directors may only be removed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consent action by other than unanimous written consent;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further provide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Furthermore, this application to Securities Act claims and Section 22 of the Securities Act create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regulations thereunder. However, this exclusive forum provision would not apply to suits brought to enforce a duty or liability created by the Exchange Act or any other claim for which the federal courts have exclusive jurisdiction.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Unresolved Staff Comments </w:t>
      </w:r>
      <w:r>
        <w:rPr>
          <w:rFonts w:ascii="Times New Roman" w:cs="Times New Roman" w:eastAsia="Times New Roman" w:hAnsi="Times New Roman"/>
          <w:sz w:val="18"/>
          <w:szCs w:val="18"/>
          <w:color w:val="auto"/>
        </w:rPr>
        <w:t>- 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(“IT Systems”) play a central role in running nearly all aspects of our business operations. Our IT Systems are used for a variety of critical business functions including, but not limited to, internal and external communications, managing our documents and records, and providing shared work environments across various business functions. Therefore, responding efficiently and effectively to cybersecurity incidents and threats is an important component of our overall ERM strategy. In order to respond to such incidents and threats, we have implemented a carefully designed Crisis Response Plan (“CRP”).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and information technology personnel have implemented processes and procedures for assessing, identifying, managing and escalating material risks from cybersecurity threats. These processes and procedures have been integrated into our overall risk management processes. For example, cybersecurity related risks are included in the risk universe that our enterprise risk management committee evaluates on an annual basis. To the extent the ERM process identifies a heightened cybersecurity related risk, risk owners are assigned to develop risk mitigation plans, which are then tracked to completion. Further, security events and data incidents are evaluated, ranked by severity and prioritized for response and remediation. Incidents are evaluated to determine materiality as well as operational and business impact and reviewed for privacy impact.</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leverages the National Institute of Standards and Technology framework, which organizes cybersecurity risks into five categories: identify, protect, detect, respond and recover. In addition, we have a set of Company-wide policies and procedures concerning cybersecurity matters, such as policies related to encryption standards, antivirus protection, remote access, multifactor authentication, confidential information and the use of the internet, social media and email. In the event of an incident, we intend to follow our detailed crisis response playbook.</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we have continued to expand investments in IT security, including additional end-user training, using layered defenses, identifying and protecting critical assets, strengthening monitoring and alerting,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The team also prepares a monthly cyber scorecard, regularly collects data on cybersecurity threats and risk areas and conducts an annual risk assessment. Further, we conduct periodic external penetration tests, red team testing and maturity testing to assess our processes and procedures and the threat landscape. These tests and assessments are useful tools for maintaining a robust cybersecurity program to protect our investors, customers, employees, vendors, and intellectual property. In the event of an incident, we have outside cybersecurity legal counsel who would consult and coordinate with other third parties in the, including communication and notification to third-parties as required; cybersecurity vendors that would perform various investigation services as well as assisting with the recovery and restoration of any impacted IT System services; cybersecurity experts who would assist with validation of the incident and assist with ransomware demands; and cybersecurity insurance providers.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also implemented processes to oversee and identify risks from cybersecurity threats associated with our use of key third-party service providers, including requiring third-party service providers to provide provisions of their SOC-1 or SOC-2 report and their cybersecurity/disaster recovery plans.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overseen by leaders from our Information Security Team with assistance from our Compliance and Legal teams. Such individuals have decades of experience in various roles involving information technology, including security, auditing, compliance, systems and programming. These individuals are informed about, and monitor the prevention, mitigation, detection and remediation of cybersecurity incidents through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their management of, and participation in, the cybersecurity risk management and strategy processes described above, including the operation of our crisis response plan, and report to the Risk Committee on any appropriate items.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its committee charter, the Risk Committee of our Board of Directors oversees our cybersecurity strategy, reviews our cybersecurity and other information technology risks, controls and procedures, and receives periodic updates from management regarding the adequacy and effectiveness of our cybersecurity measures. Included in this review is a thorough discussion of the risks from cybersecurity threats including the potential impact to our operations of such threats.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also instituted a separate process for communicating with the Risk Committee in the event we are the target of a specific cybersecurity incident. As part of our response to such an incident, members of the Crisis Management Team would provide an initial awareness communication of the incident to our Chief Executive Officer/Chair of the Board who would in turn inform the Chair of the Risk Committee. Following an initial assessment of the incident by senior management and IT Systems personnel, we would provide a follow-up communication to the CEO and Risk Committee Chair and determine whether further escalation to the full Board is warranted.</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the risks from cybersecurity threats have not materially affected our business strategy, results of operations or financial condition, it is possible that a cybersecurity incident resulting in a serious compromise of our IT Systems or a demand for payment to restore our IT Systems, could have a material adverse effect on us by negatively impacting our ability to operate our business effectively and by diverting the attention of our management and other resources, including financial resources, to address the cybersecurity incident.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lease our primary executive offices and insurance operations in Houston, Texas, and occupy approximately 20,000 square feet of office space. The lease for this space expires in 2029. We lease additional office space where appropriate. Management considers our office facilities suitable and adequate for our current levels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periodically party to legal proceedings which arise in the ordinary course of business. Currently, we are not involved in any legal proceedings which we believe could have a material adverse effect on our business or results of operation.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 Not applicable.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shares began trading on the NASDAQ Global Select Market under the symbol “SKWD” on January 13, 2023. Prior to that time, there was no public market for our common shares. As of March 27, 2024, there were approximately 15 holders of record of our common stock. Because many of our shares of common stock are held by brokers and other institutions on behalf of our stockholders, this number is not representative of the total number of stockholders represented by these stockholders of record.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Information about our equity compensation plans will be included in our definitive proxy statement to be filed with the SEC with respect to our 2024 Annual Meeting of Stockholders (“2024 Proxy Statement”)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securities issued or granted by us during the period covered by this Annual Report on Form 10-K that were not registered under the Securities Act. The information presented in this Item 5 gives effect to a 4-for-1 reverse stock split, which became effective on January 3, 2023.</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Issuance of Class A Common Stock upon Conversion of Preferred Stock and Class B Common Stock</w:t>
      </w:r>
    </w:p>
    <w:p>
      <w:pPr>
        <w:spacing w:after="0" w:line="11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completing the IPO, all preferred stock converted into 16,305,113 shares of common stock. The issuance of such common shares was exempt from the registration requirements of the Securities Act, pursuant to Section 3(a)(9) of the Securities Act, involving an exchange of securities exchanged by the issuer with its existing security holders exclusively where no commission or other remuneration was paid or given directly or indirectly for soliciting such exchange. No underwriters were involved in this issuance of shares.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Grants of Stock Awards and Issuance of Shares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 covered by this Annual Report on Form 10-K, pursuant to the Company’s 2020 Long-Term Incentive Plan, we granted 1,101,856 shares of restricted stock restricted stock units at a weighted average price of $16.07 per share and 759,990 stock options with a strike price of $15.00 to certain employees and directors. During the period covered by this Annual Report on Form 10-K, no shares of common stock were issued upon the exercise of stock options.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underwriters were involved in the foregoing issuance of securities. 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stock options or warrants are deemed to be restricted securities. All recipients either received adequate information about us or had access, through employment or other relationships, to such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18, 2023, we closed our IPO, in which we issued and sold 4,750,000 shares of common stock and the selling stockholders sold 4,202,383 shares. The underwriters also exercised in full their option to purchase 1,342,857 additional shares of common stock from the selling stockholders. The offer and sale of all of the shares in the IPO were registered under the Securities Act pursuant to a registration statement on Form S-1 (File No. 333-265326), which was declared effective by the SEC on January 12, 2023. Barclays Capital Inc. and Keefe, Bruyette &amp; Woods, Inc. acted as the representatives of the underwriters. The public offering price of the shares sold in the offering was $15.00 per share. The net proceeds to the Company were approximately $62.3 million, after deducting underwriting discounts and specific incremental expenses directly attributable to the IPO. All the proceeds from the IPO have been distributed to the Company’s insurance company subsidiaries.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period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in the foreseeable future. 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shareholder return of an investment in (1) our common stock, (2) the cumulative total returns to the Nasdaq Composite Index and (3) the cumulative total returns to the Nasdaq Insurance Index, for the period beginning January 13, 2023 (the date our common stock began trading on Nasdaq) through December 31, 2023.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graph assumes an initial investment of $100. Such returns are based on historical results and are not indicative of future performance.</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-22225</wp:posOffset>
            </wp:positionV>
            <wp:extent cx="4114800" cy="2297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148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13, 2023</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Skyward Specialty Insurance Group,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w:t>
            </w:r>
          </w:p>
        </w:tc>
      </w:tr>
      <w:tr>
        <w:trPr>
          <w:trHeight w:val="27"/>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Insurance Index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w:t>
            </w:r>
          </w:p>
        </w:tc>
      </w:tr>
      <w:tr>
        <w:trPr>
          <w:trHeight w:val="27"/>
        </w:trPr>
        <w:tc>
          <w:tcPr>
            <w:tcW w:w="7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[Reserved] </w:t>
      </w:r>
      <w:r>
        <w:rPr>
          <w:rFonts w:ascii="Times New Roman" w:cs="Times New Roman" w:eastAsia="Times New Roman" w:hAnsi="Times New Roman"/>
          <w:sz w:val="18"/>
          <w:szCs w:val="18"/>
          <w:color w:val="auto"/>
        </w:rPr>
        <w:t>- 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growing specialty insurance company delivering commercial P&amp;C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insured risks is highly diversified — we insure customers operating in a wide variety of industries; we distribute through multiple channels; we write multiple lines of business, including general liability, excess liability, professional liability (which includes cyber insurance), commercial auto, group accident and health, property, agriculture, surety and workers’ compensation; we insure both short and medium duration liabilities; and our business mix is balanced between E&amp;S and admitted markets. All of these factors enable us to respond to market opportunities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dislocations by deploying capital with attractive risk-adjusted returns. We believe this diversification, combined with our underwriting and claims expertise, will produce strong growth and consistent profitability across P&amp;C insurance pricing cycles.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seek to lead in our chosen market niches and establish sustainable competitive positions in these markets. We refer to this strategy as “Rule Our Niche” and it forms the basis of our approach to building a strong defensible market position, creating a competitive moat, and winning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7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1,459,829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1,143,952</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4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(549,138)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(468,409)</w:t>
            </w:r>
          </w:p>
        </w:tc>
      </w:tr>
      <w:tr>
        <w:trPr>
          <w:trHeight w:val="27"/>
        </w:trPr>
        <w:tc>
          <w:tcPr>
            <w:tcW w:w="7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910,691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675,543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829,143</w:t>
            </w: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615,994</w:t>
            </w:r>
          </w:p>
        </w:tc>
      </w:tr>
      <w:tr>
        <w:trPr>
          <w:trHeight w:val="27"/>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5,199</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515,237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402,512</w:t>
            </w:r>
          </w:p>
        </w:tc>
      </w:tr>
      <w:tr>
        <w:trPr>
          <w:trHeight w:val="27"/>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243,444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182,171</w:t>
            </w:r>
          </w:p>
        </w:tc>
      </w:tr>
      <w:tr>
        <w:trPr>
          <w:trHeight w:val="263"/>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76,526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36,510</w:t>
            </w:r>
          </w:p>
        </w:tc>
      </w:tr>
      <w:tr>
        <w:trPr>
          <w:trHeight w:val="21"/>
        </w:trPr>
        <w:tc>
          <w:tcPr>
            <w:tcW w:w="7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40,322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36,931</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11,072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(15,705)</w:t>
            </w:r>
          </w:p>
        </w:tc>
      </w:tr>
      <w:tr>
        <w:trPr>
          <w:trHeight w:val="27"/>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110,102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49,783</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85,984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39,396</w:t>
            </w:r>
          </w:p>
        </w:tc>
      </w:tr>
      <w:tr>
        <w:trPr>
          <w:trHeight w:val="27"/>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80,847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58,574</w:t>
            </w: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62.1 %</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7"/>
        </w:trPr>
        <w:tc>
          <w:tcPr>
            <w:tcW w:w="77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90.7 %</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7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 and LAE ratio</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62.3 %</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7"/>
        </w:trPr>
        <w:tc>
          <w:tcPr>
            <w:tcW w:w="77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9"/>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combined ratio</w:t>
            </w:r>
            <w:r>
              <w:rPr>
                <w:rFonts w:ascii="Times New Roman" w:cs="Times New Roman" w:eastAsia="Times New Roman" w:hAnsi="Times New Roman"/>
                <w:sz w:val="23"/>
                <w:szCs w:val="23"/>
                <w:color w:val="auto"/>
                <w:vertAlign w:val="superscript"/>
              </w:rPr>
              <w:t>(1)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90.9 %</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92.6 %</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equity</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7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tangible equity</w:t>
            </w:r>
            <w:r>
              <w:rPr>
                <w:rFonts w:ascii="Times New Roman" w:cs="Times New Roman" w:eastAsia="Times New Roman" w:hAnsi="Times New Roman"/>
                <w:sz w:val="23"/>
                <w:szCs w:val="23"/>
                <w:color w:val="auto"/>
                <w:vertAlign w:val="superscript"/>
              </w:rPr>
              <w:t>(1)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19.0 %</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7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equity</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14.9 %</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312"/>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return on tangible equity</w:t>
            </w:r>
            <w:r>
              <w:rPr>
                <w:rFonts w:ascii="Times New Roman" w:cs="Times New Roman" w:eastAsia="Times New Roman" w:hAnsi="Times New Roman"/>
                <w:sz w:val="23"/>
                <w:szCs w:val="23"/>
                <w:color w:val="auto"/>
                <w:vertAlign w:val="superscript"/>
              </w:rPr>
              <w:t>(1)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17.9 %</w:t>
            </w:r>
          </w:p>
        </w:tc>
        <w:tc>
          <w:tcPr>
            <w:tcW w:w="1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See “Reconciliation of Non-GAAP Financial Measures” in this Item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Before</w:t>
            </w:r>
          </w:p>
        </w:tc>
        <w:tc>
          <w:tcPr>
            <w:tcW w:w="2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After</w:t>
            </w:r>
          </w:p>
        </w:tc>
        <w:tc>
          <w:tcPr>
            <w:tcW w:w="26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Before</w:t>
            </w:r>
          </w:p>
        </w:tc>
        <w:tc>
          <w:tcPr>
            <w:tcW w:w="28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After</w:t>
            </w: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w:t>
            </w:r>
          </w:p>
        </w:tc>
        <w:tc>
          <w:tcPr>
            <w:tcW w:w="2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Income</w:t>
            </w:r>
          </w:p>
        </w:tc>
        <w:tc>
          <w:tcPr>
            <w:tcW w:w="26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w:t>
            </w:r>
          </w:p>
        </w:tc>
        <w:tc>
          <w:tcPr>
            <w:tcW w:w="28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Taxes</w:t>
            </w:r>
          </w:p>
        </w:tc>
        <w:tc>
          <w:tcPr>
            <w:tcW w:w="2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Taxes</w:t>
            </w:r>
          </w:p>
        </w:tc>
        <w:tc>
          <w:tcPr>
            <w:tcW w:w="26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Taxes</w:t>
            </w:r>
          </w:p>
        </w:tc>
        <w:tc>
          <w:tcPr>
            <w:tcW w:w="28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Taxes</w:t>
            </w:r>
          </w:p>
        </w:tc>
      </w:tr>
      <w:tr>
        <w:trPr>
          <w:trHeight w:val="27"/>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4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8,747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103,599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80,847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 (loss)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15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federal income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49,783</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43"/>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r>
      <w:tr>
        <w:trPr>
          <w:trHeight w:val="243"/>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(loss)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76,526</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36,510</w:t>
            </w:r>
          </w:p>
        </w:tc>
      </w:tr>
      <w:tr>
        <w:trPr>
          <w:trHeight w:val="21"/>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Loss Ratio / Adjusted Combined Ratio</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adjusted loss and LAE ratio and adjusted combined ratio to the loss and LAE ratio and combined ratio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7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829,143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615,994</w:t>
            </w:r>
          </w:p>
        </w:tc>
      </w:tr>
      <w:tr>
        <w:trPr>
          <w:trHeight w:val="256"/>
        </w:trPr>
        <w:tc>
          <w:tcPr>
            <w:tcW w:w="7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515,237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402,512</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net impact of loss portfolio transfer</w:t>
            </w:r>
          </w:p>
        </w:tc>
        <w:tc>
          <w:tcPr>
            <w:tcW w:w="3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8,572</w:t>
            </w:r>
          </w:p>
        </w:tc>
      </w:tr>
      <w:tr>
        <w:trPr>
          <w:trHeight w:val="27"/>
        </w:trPr>
        <w:tc>
          <w:tcPr>
            <w:tcW w:w="7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losses and LAE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516,664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393,940</w:t>
            </w:r>
          </w:p>
        </w:tc>
      </w:tr>
      <w:tr>
        <w:trPr>
          <w:trHeight w:val="20"/>
        </w:trPr>
        <w:tc>
          <w:tcPr>
            <w:tcW w:w="7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62.1 %</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impact of LPT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78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 ratio</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62.3 %</w:t>
            </w: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Combined ratio</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impact of LPT</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Adjusted combined ratio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90.7 %</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36830</wp:posOffset>
            </wp:positionV>
            <wp:extent cx="7115175"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88265</wp:posOffset>
            </wp:positionV>
            <wp:extent cx="7115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62865</wp:posOffset>
            </wp:positionV>
            <wp:extent cx="10369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94.0 %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1.4 %</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60325</wp:posOffset>
            </wp:positionV>
            <wp:extent cx="10204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8220" w:space="720"/>
            <w:col w:w="1020" w:space="720"/>
            <w:col w:w="540"/>
          </w:cols>
          <w:pgMar w:left="320" w:top="121" w:right="35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tangible stockholders’ equity to stockholders’ equity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421,662</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89,870</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572,596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Return on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return on equity to return on equity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7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adjusted 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80,847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58,574</w:t>
            </w: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541,347</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423,871</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equity</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54"/>
        </w:trPr>
        <w:tc>
          <w:tcPr>
            <w:tcW w:w="7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412"/>
        </w:trPr>
        <w:tc>
          <w:tcPr>
            <w:tcW w:w="7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Return on Tangible Equity</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9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Return on tangible equity for the years ended December 31, 2023 and 2022 reconciles to return on equity as follows: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5"/>
        </w:trPr>
        <w:tc>
          <w:tcPr>
            <w:tcW w:w="78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7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85,984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39,396</w:t>
            </w: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452,194</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333,268</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tangible equity</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54"/>
        </w:trPr>
        <w:tc>
          <w:tcPr>
            <w:tcW w:w="7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Adjusted return on tangible equity for the years ended December 31, 2023 and 2022 reconciles to return on equity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7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adjusted 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80,847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58,574</w:t>
            </w: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452,194</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333,268</w:t>
            </w:r>
          </w:p>
        </w:tc>
      </w:tr>
      <w:tr>
        <w:trPr>
          <w:trHeight w:val="27"/>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tangible equity</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54"/>
        </w:trPr>
        <w:tc>
          <w:tcPr>
            <w:tcW w:w="7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gross written premiums by underwriting division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Industry Solutions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267,628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Property &amp; Agriculture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205,081</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124,286</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93,011</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79,062</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continuing business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1,138,627</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4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Exited business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written premiums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1,459,829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1,143,952</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year over year increase in gross written premiums, when compared to 2022, was driven by double-digit premium growth in nearly all of our underwriting divisions, five of which grew over 30%. The gross written premium increases were primarily driven by (i) new business, (ii) rate increases, and (iii) retention. During 2023 we broadened our business portfolio, including (i) entry into inland marine and global agriculture, (ii) added an occupational accident offering in our industry solutions division, (iii) expanded our surety division to serve the SBA market and to provide judicial and fiduciary bonds, and (iv) expanded our accident &amp; health coverages to include individual providers. In addition to the expanded portfolio offerings, growth was also impacted by the addition of new underwriting teams and new tech-enabled partnerships.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earned premiums were $829.1 million for the year ended December 31, 2023, compared to $616.0 million for the same 2022 period, an increase of $213.1 million or 34.6%. The increase in net earned premiums was primarily driven by the same reasons that drove the increase in gross written premiums discussed above. For additional information regarding our reinsurance programs, see the discussion included in “Item 1 Business - Reinsurance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loss and LAE ratio and adjusted loss and LAE ratio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15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Losses</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Net Earned</w:t>
            </w:r>
          </w:p>
        </w:tc>
        <w:tc>
          <w:tcPr>
            <w:tcW w:w="22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 Earned</w:t>
            </w: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0"/>
                <w:szCs w:val="20"/>
                <w:color w:val="auto"/>
              </w:rPr>
            </w:pPr>
          </w:p>
        </w:tc>
        <w:tc>
          <w:tcPr>
            <w:tcW w:w="148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and LAE</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Premiums</w:t>
            </w:r>
          </w:p>
        </w:tc>
        <w:tc>
          <w:tcPr>
            <w:tcW w:w="2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and LAE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Premiums</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504,664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accident year development - LPT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losses and LAE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515,237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402,512</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257" w:lineRule="exact"/>
              <w:rPr>
                <w:sz w:val="20"/>
                <w:szCs w:val="20"/>
                <w:color w:val="auto"/>
              </w:rPr>
            </w:pPr>
            <w:r>
              <w:rPr>
                <w:rFonts w:ascii="Times New Roman" w:cs="Times New Roman" w:eastAsia="Times New Roman" w:hAnsi="Times New Roman"/>
                <w:sz w:val="18"/>
                <w:szCs w:val="18"/>
                <w:color w:val="auto"/>
              </w:rPr>
              <w:t>Adjusted losses and LAE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504,664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387,440</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8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losses and LAE</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516,664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393,940</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60" w:hanging="134"/>
        <w:spacing w:after="0"/>
        <w:tabs>
          <w:tab w:leader="none" w:pos="16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Current accident year</w:t>
      </w:r>
    </w:p>
    <w:p>
      <w:pPr>
        <w:spacing w:after="0" w:line="55" w:lineRule="exact"/>
        <w:rPr>
          <w:rFonts w:ascii="Times New Roman" w:cs="Times New Roman" w:eastAsia="Times New Roman" w:hAnsi="Times New Roman"/>
          <w:sz w:val="17"/>
          <w:szCs w:val="17"/>
          <w:color w:val="auto"/>
          <w:vertAlign w:val="superscript"/>
        </w:rPr>
      </w:pPr>
    </w:p>
    <w:p>
      <w:pPr>
        <w:ind w:left="180" w:hanging="154"/>
        <w:spacing w:after="0" w:line="221" w:lineRule="auto"/>
        <w:tabs>
          <w:tab w:leader="none" w:pos="1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"Reconciliation of Non-GAAP Financial Measures" included in this Item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loss ratio for the year ended 2023 improved 3.2 points when compared to the same 2022 period. The non-cat loss and LAE ratio improved 1.9 points when compared to the same 2022 period, driven by the shift in the mix of business and continued run-off of exited business. Catastrophe losses from second and third quarter convective storms and first quarter wind and hail events, including tornadoes, added 1.4 points to the loss ratio compared to 2022, which was impacted by 1.1 points of catastrophe losses from Hurricane Ian and Winter Storm Elliott. The loss ratio for the year ended 2022 included 1.4 points from the net impact of LPT reserve strengthening. Additional information regarding the LPT can be found in the “Loss Portfolio Transfer” discussion included in this Item 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 Development</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presentation of the development of the ultimate liability by accident year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15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Development</w:t>
            </w:r>
          </w:p>
        </w:tc>
        <w:tc>
          <w:tcPr>
            <w:tcW w:w="94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(Favorable) Adverse</w:t>
            </w:r>
          </w:p>
        </w:tc>
        <w:tc>
          <w:tcPr>
            <w:tcW w:w="940" w:type="dxa"/>
            <w:vAlign w:val="bottom"/>
          </w:tcPr>
          <w:p>
            <w:pPr>
              <w:spacing w:after="0"/>
              <w:rPr>
                <w:sz w:val="16"/>
                <w:szCs w:val="16"/>
                <w:color w:val="auto"/>
              </w:rPr>
            </w:pPr>
          </w:p>
        </w:tc>
      </w:tr>
      <w:tr>
        <w:trPr>
          <w:trHeight w:val="37"/>
        </w:trPr>
        <w:tc>
          <w:tcPr>
            <w:tcW w:w="8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Accident Year</w:t>
            </w:r>
          </w:p>
        </w:tc>
        <w:tc>
          <w:tcPr>
            <w:tcW w:w="340" w:type="dxa"/>
            <w:vAlign w:val="bottom"/>
          </w:tcPr>
          <w:p>
            <w:pPr>
              <w:spacing w:after="0"/>
              <w:rPr>
                <w:sz w:val="20"/>
                <w:szCs w:val="20"/>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30,141</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9,277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development on losses subject to LPT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development on losses excluding losses subject to LPT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8140" w:type="dxa"/>
            <w:vAlign w:val="bottom"/>
            <w:tcBorders>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favorable development related to prior years’ loss and loss expense reserves of $9.2 million in short tail/monoline specialty lines and adverse development of $11.9 million in multi-line solutions, respectively. The favorable development in short tail/monoline specialty lines was driven by property lines of business from the 2021 accident year. The adverse development in multi-line solutions was driven by higher than expected severity in general and auto liability lines of business primarily from the 2019 accident year.</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net incurred losses for accident years 2021 and prior developed adversely by $14.4 million which was related to losses subject to the LPT.</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exited lines, adverse development of $14.5 million was from the 2019 accident year primarily driven by increased frequency and severity in general and professional liability. The remaining $8.4 million of net adverse development was from other accident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Within multi-line solutions, favorable development of $10.8 million was from the 2020 through 2021 accident years and was driven by a reduction in frequency of claims in commercial auto and general liability. The remaining $2.3 million of net adverse development was from various other accident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Portfolio Transfer</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1, 2020 (“Inception Date”), with a valuation date of June 30, 2019 (“Valuation Date”), we entered into a LPT retroactive reinsurance agreement with R&amp;Q Bermuda (SAC) Limited, a third party reinsurer domiciled in Bermuda that specializes in assuming legacy blocks of insurance business and running them off. The LPT covers liabilities (including claim payments, allocated LAE and certain extra-contractual obligations) related to certain policies issued or assumed for policy years 2017 and prior. The LPT agreement covers the majority of our exited business. We believe purchasing this coverage reduces the volatility associated with the covered business produced in 2017 and prior, and has allowed our management team to focus on the continuing business which we believe provides the best path for continued profitable growth.</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Valuation Date, we agreed to cede $153.1 million of Net LPT Reserves for certain lines of business, primarily related to 2017 and prior policy years, subject to an aggregate cash deductible of $105 million which was withheld from the reinsurer. Subsequent to the Valuation Date but prior to the Inception Date, we strengthened the Net LPT Reserves by $5.5 million. This development resulted in an increase in the Net LPT Reserves of $5.5 million to $158.6 million. Consequently, at the Inception Date, the cash remitted to the third party reinsurer for the cession of the Net LPT reserves was $53.6 million (reflecting the $158.6 million of Net LPT Reserves less the $105.0 million cash deductible).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Inception Date, the LPT provided reinsurance protection of approximately $127.4 million above the Net LPT Reserves, subject to co-participations at specified amounts, detailed below. We paid $43.5 million in premium to the reinsurer for this reinsurance protection. This premium payment of $43.5 million combined with the $53.6 million remitted to the reinsurer resulted in a total cash transfer of $97.1 million on the Inception Date.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LPT is structured into two distinct sections with separate and independent reinsurance structures. Section A (representing $22.2 million of ceded net reserves at inception of the LPT) is the smaller section of the LPT covering claims from exited workers’ compensation and general liability lines of business primarily related to business written in policy years 2011 and prior. Section B (representing $130.9 million of ceded net reserves at inception of the LPT) is a substantially larger section, covering claims from other exited business and certain continuing business related to policies written in years 2017 and prior, principally comprised of general liability and commercial auto lines.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our net loss reserves subject to the LPT were $44.8 million compared to $68.6 million as of December 31, 2022. During 2022 we materially strengthened our reserves subject to the LPT. Since the inception of the LPT, as of December 31, 2023 we have reduced the number of open claims by 79.5%.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A</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 reserves on the Valuation Date, we ceded $22.2 million of net reserves related to Section A, subject to the aggregate cash deductible. The LPT provides 100% reinsurance coverage on the first $2.8 million of incurred losses and LAE above the ceded net reserves for Section A. Above the $2.8 million coverage layer is a further $5.0 million of reinsurance coverage for which we retain 50% of the incurred losses and LAE.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total incurred losses and LAE (including claims paid, case reserves and IBNR) were $38.2 million, which is $8.2 million in excess of our reinsurance coverage under Section A of the LPT. As a result, should new claims arise or existing claims develop adversely such that we need to increase our incurred losses and LAE on business covered by Section A, there would be no further reinsurance coverage on these policies subject to the LPT.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paid losses and LAE on policies subject to Section A of the LPT were $24.9 million, which is $5.1 million below our total reinsurance coverage under Section A. We believe the ratio of paid losses and LAE to total incurred losses and LAE of 65.1% as of December 31, 2023, on policies covered under Section A of the LPT, in combination with the age of the policies (primarily policy years 2011 and prior) and the declining number of open claims (Section A open claims have been reduced by 68.9% since the Valuation Date), underscores the strength of our reserve position on Section A.</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Section A reinsurance structure, the paid and incurred losses and LAE positions within the structure as of December 31, 2023, and the reduction in open claims from the Valuation Date through December 31,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6326505" cy="3857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2650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B</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reserves on the Valuation Date, we ceded $130.9 million of net reserves related to Section B, subject to the aggregate cash deductible. The LPT provides 100% reinsurance coverage on the first $19.1 million of incurred losses and LAE above the ceded net reserves for Section B. Above the $19.1 million layer, a further $70.0 million of reinsurance coverage is provided, for which we have a 50% co-participation on the incurred losses and LAE in the layer. There is a further $36.0 million of reinsurance that provides 100% coverage above the $70.0 million layer.</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total incurred losses and LAE (including claims paid, case reserves and IBNR) were $220.0 million with the entire $36.0 million of 100% coverage layer available should new claims arise or existing claims develop adversely. As of December 31, 2023, paid losses and LAE on policies subject to Section B were $188.5 million, which is $67.5 million below our total reinsurance coverage under Section B, which includes the co-participation amounts. As with Section A, we believe that the Section B ratio of paid losses and LAE to total incurred losses and LAE of 85.7% as of December 31, 2023 in combination with and the rapidly declining number of open claims (reduced by 81.9%) since the Valuation Date underscores the strength of our reserve position on Section B.</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chart sets forth the Section B reinsurance structure, the paid and incurred losses and LAE positions within the structure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the reduction in open claims from the Valuation Date through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6326505" cy="3857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2650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the expense ratio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Net Earned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Net Earned</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20"/>
                <w:szCs w:val="20"/>
                <w:color w:val="auto"/>
              </w:rPr>
            </w:pPr>
          </w:p>
        </w:tc>
        <w:tc>
          <w:tcPr>
            <w:tcW w:w="15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Expenses</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Premiums</w:t>
            </w:r>
          </w:p>
        </w:tc>
        <w:tc>
          <w:tcPr>
            <w:tcW w:w="220" w:type="dxa"/>
            <w:vAlign w:val="bottom"/>
          </w:tcPr>
          <w:p>
            <w:pPr>
              <w:spacing w:after="0"/>
              <w:rPr>
                <w:sz w:val="20"/>
                <w:szCs w:val="20"/>
                <w:color w:val="auto"/>
              </w:rPr>
            </w:pPr>
          </w:p>
        </w:tc>
        <w:tc>
          <w:tcPr>
            <w:tcW w:w="14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Premiums</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134,930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237,380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expense ratio was flat when compared to the same 2022 period. The increase in the net policy and acquisition expense ratio, when compared to the same 2022 period, was primarily driven by the shift in our mix of business offset by an improved other operating and general expense ratio, when compared to the same 2022 period, due to the increase in earned premiums.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(losses) gains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640" w:type="dxa"/>
            <w:vAlign w:val="bottom"/>
          </w:tcPr>
          <w:p>
            <w:pPr>
              <w:spacing w:after="0"/>
              <w:rPr>
                <w:sz w:val="20"/>
                <w:szCs w:val="20"/>
                <w:color w:val="auto"/>
              </w:rPr>
            </w:pPr>
          </w:p>
        </w:tc>
        <w:tc>
          <w:tcPr>
            <w:tcW w:w="208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5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short-term investments</w:t>
            </w:r>
            <w:r>
              <w:rPr>
                <w:rFonts w:ascii="Times New Roman" w:cs="Times New Roman" w:eastAsia="Times New Roman" w:hAnsi="Times New Roman"/>
                <w:sz w:val="23"/>
                <w:szCs w:val="23"/>
                <w:color w:val="auto"/>
                <w:vertAlign w:val="superscript"/>
              </w:rPr>
              <w:t>(1)</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11,353</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fixed income</w:t>
            </w:r>
          </w:p>
        </w:tc>
        <w:tc>
          <w:tcPr>
            <w:tcW w:w="6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32,572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16,544</w:t>
            </w:r>
          </w:p>
        </w:tc>
      </w:tr>
      <w:tr>
        <w:trPr>
          <w:trHeight w:val="27"/>
        </w:trPr>
        <w:tc>
          <w:tcPr>
            <w:tcW w:w="5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Opportunistic fixed income</w:t>
            </w:r>
          </w:p>
        </w:tc>
        <w:tc>
          <w:tcPr>
            <w:tcW w:w="6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6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7"/>
        </w:trPr>
        <w:tc>
          <w:tcPr>
            <w:tcW w:w="5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88"/>
        </w:trPr>
        <w:tc>
          <w:tcPr>
            <w:tcW w:w="5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r>
              <w:rPr>
                <w:rFonts w:ascii="Times New Roman" w:cs="Times New Roman" w:eastAsia="Times New Roman" w:hAnsi="Times New Roman"/>
                <w:sz w:val="23"/>
                <w:szCs w:val="23"/>
                <w:color w:val="auto"/>
                <w:vertAlign w:val="superscript"/>
              </w:rPr>
              <w:t>(1)</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39,763</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 still held</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11,130</w:t>
            </w:r>
          </w:p>
        </w:tc>
        <w:tc>
          <w:tcPr>
            <w:tcW w:w="100" w:type="dxa"/>
            <w:vAlign w:val="bottom"/>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7"/>
        </w:trPr>
        <w:tc>
          <w:tcPr>
            <w:tcW w:w="5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losses</w:t>
            </w:r>
          </w:p>
        </w:tc>
        <w:tc>
          <w:tcPr>
            <w:tcW w:w="64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63"/>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11,072</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(15,705)</w:t>
            </w:r>
          </w:p>
        </w:tc>
      </w:tr>
      <w:tr>
        <w:trPr>
          <w:trHeight w:val="21"/>
        </w:trPr>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180" w:hanging="141"/>
        <w:spacing w:after="0"/>
        <w:tabs>
          <w:tab w:leader="none" w:pos="180" w:val="left"/>
        </w:tabs>
        <w:numPr>
          <w:ilvl w:val="0"/>
          <w:numId w:val="19"/>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excludes income from operating cash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increase in income from our core fixed income portfolio for the year ended 2023, when compared to the same 2022 period, was due to (i) a larger asset base as we continued to increase our allocation to this part of our investment portfolio and (ii) a higher book yield of 4.5% at December 31, 2023 compared to 3.7% at December 31, 2022. The increase in income from short-term and money market investments for the year ended 2023, when compared to the same 2022 period, was due to a larger asset base and higher investment yields when compared to the same 2022 period. The opportunistic fixed income portfolio continued to be impacted by a decline in the fair value of limited partnership investments for the year ended 2023 when compared to the same 2022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71062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4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2022</w:t>
            </w: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6"/>
              </w:rPr>
              <w:t>Fair</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of</w:t>
            </w: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20"/>
                <w:szCs w:val="20"/>
                <w:color w:val="auto"/>
              </w:rPr>
            </w:pPr>
          </w:p>
        </w:tc>
        <w:tc>
          <w:tcPr>
            <w:tcW w:w="15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2"/>
              </w:rPr>
              <w:t>Value</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and money market investments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121,268</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Core fixed income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607,572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56.1 %</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Opportunistic 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196,021</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4"/>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1,613,687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1,082,367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fixed maturity securities, comprised of both core fixed income and opportunistic fixed income, comprised 73.8% and 74.2% of our total investment portfolio as of December 31, 2023 and 2022, respectively, and had a weighted average effective duration of 3.2 years and 3.1 years as of December 31, 2023 and 2022, respectively, and an average core fixed income credit rating of “AA-” and “AA” (Standard &amp; Poor’s) as of December 31, 2023 and 2022,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fixed income</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core fixed income portfolio consists primarily of investment grade fixed income securities which are predominantly highly-rated and liquid bonds. Our objective is to earn attractive risk-adjusted returns with a low risk of loss of principal. The portfolio is managed by third party managers. The average duration of the portfolio was approximately 4.4 years and 4.3 years, respectively,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core fixed income portfolio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4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2022</w:t>
            </w: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of Total</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44,166</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48,541</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383,420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37.7 %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235,129</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92,778</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57,727</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281,626</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29,934</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185,727</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fixed income securities, available for sale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607,572</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credit rating of the portfolio was “AA-” by Standard &amp; Poor’s Financial Services, LLC (“Standard &amp; Poor’s”) at December 31, 2023 and “AA” by Standard &amp; Poor’s at December 31, 2022. The following table sets forth the credit quality of our core fixed income portfolio at December 31, 2023 and 2022, as rated by Standard &amp; Poor’s or equivalent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15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4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2022</w:t>
            </w: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20"/>
                <w:szCs w:val="20"/>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of Total</w:t>
            </w:r>
          </w:p>
        </w:tc>
        <w:tc>
          <w:tcPr>
            <w:tcW w:w="20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283,733</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134,175</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154,096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88,369</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6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fixed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607,572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Opportunistic fixed income</w:t>
      </w:r>
    </w:p>
    <w:p>
      <w:pPr>
        <w:spacing w:after="0" w:line="11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opportunistic fixed income portfolio is managed by Arena which is affiliated with Westaim, our largest shareholder. The opportunistic fixed income portfolio consists of separately managed accounts, limited partnerships, promissory notes and equity interests. The underlying securities are primarily floating rate senior secured loans, comprised of short duration, collateralized, asset-oriented credit investments designed to generate attractive risk-adjusted returns. Investments contain strong covenants and are backed by a significant amount of collateral with a weighted average loan-to-value of 74%. The limited partnerships are subject to future increases or decreases in asset value and may exhibit volatile results as asset values are monetized and the resultant income is distributed. As of December 31, 2023, the opportunistic fixed income portfolio consisted of three components: diversified asset based lending (55.1%), commercial mortgage loans (29.0%) and cash and cash equivalents (15.9%). The diversified asset based lending portfolio includes floating rate senior secured asset-based loans with significant amounts of collateral and strong covenants.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components of our opportunistic fixed income portfolio by industry sector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4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2022</w:t>
            </w: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rPr>
              <w:t>Fair</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of</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Fair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Pr>
          <w:p>
            <w:pPr>
              <w:spacing w:after="0"/>
              <w:rPr>
                <w:sz w:val="20"/>
                <w:szCs w:val="20"/>
                <w:color w:val="auto"/>
              </w:rPr>
            </w:pPr>
          </w:p>
        </w:tc>
        <w:tc>
          <w:tcPr>
            <w:tcW w:w="15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2"/>
              </w:rPr>
              <w:t>Value</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Finance &amp; Insurance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sectors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7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15.9 %</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Opportunistic fixed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196,021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5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60" w:hanging="134"/>
        <w:spacing w:after="0"/>
        <w:tabs>
          <w:tab w:leader="none" w:pos="16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sectors primarily includes Aerospace &amp; Defense, Business Services, Retail, Commercial &amp; Industrial and Environmental.</w:t>
      </w:r>
    </w:p>
    <w:p>
      <w:pPr>
        <w:spacing w:after="0" w:line="142" w:lineRule="exact"/>
        <w:rPr>
          <w:rFonts w:ascii="Times New Roman" w:cs="Times New Roman" w:eastAsia="Times New Roman" w:hAnsi="Times New Roman"/>
          <w:sz w:val="17"/>
          <w:szCs w:val="17"/>
          <w:color w:val="auto"/>
          <w:vertAlign w:val="superscript"/>
        </w:rPr>
      </w:pPr>
    </w:p>
    <w:p>
      <w:pPr>
        <w:ind w:left="160" w:hanging="134"/>
        <w:spacing w:after="0"/>
        <w:tabs>
          <w:tab w:leader="none" w:pos="16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cash on settlements that have not yet been redeployed.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23" w:lineRule="exact"/>
        <w:rPr>
          <w:sz w:val="20"/>
          <w:szCs w:val="20"/>
          <w:color w:val="auto"/>
        </w:rPr>
      </w:pPr>
    </w:p>
    <w:p>
      <w:pPr>
        <w:ind w:right="1720" w:firstLine="360"/>
        <w:spacing w:after="0" w:line="375" w:lineRule="auto"/>
        <w:rPr>
          <w:sz w:val="20"/>
          <w:szCs w:val="20"/>
          <w:color w:val="auto"/>
        </w:rPr>
      </w:pPr>
      <w:r>
        <w:rPr>
          <w:rFonts w:ascii="Times New Roman" w:cs="Times New Roman" w:eastAsia="Times New Roman" w:hAnsi="Times New Roman"/>
          <w:sz w:val="18"/>
          <w:szCs w:val="18"/>
          <w:color w:val="auto"/>
        </w:rPr>
        <w:t xml:space="preserve">The average duration of the portfolio is approximately 1.3 years and 1.4 years as of December 31, 2023 and 2022, respectively. </w:t>
      </w:r>
      <w:r>
        <w:rPr>
          <w:rFonts w:ascii="Times New Roman" w:cs="Times New Roman" w:eastAsia="Times New Roman" w:hAnsi="Times New Roman"/>
          <w:sz w:val="18"/>
          <w:szCs w:val="18"/>
          <w:i w:val="1"/>
          <w:iCs w:val="1"/>
          <w:color w:val="auto"/>
        </w:rPr>
        <w:t>Equities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equities portfolio primarily consists of domestic preferred stocks, common equities, exchange traded funds, limited partnerships, limited liability corporations and other types of equity interests, 77.2% of which are publicly traded. During 2021, we initiated a tail-risk management strategy that is designed to provide some protection for the equity portfolio if there is a significant decline in the S&amp;P 500 within a 30 day period. We continued this strategy in 2023 and as of December 31, 2023, the annual cost of the strategy was approximately $1.0 million. The portfolio is directed internally and includes both self-managed investments and portfolios managed by third-party investment management firms.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equities portfolio by security type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4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2022</w:t>
            </w: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Fair</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of Total</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Fair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3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Pr>
          <w:p>
            <w:pPr>
              <w:spacing w:after="0"/>
              <w:rPr>
                <w:sz w:val="20"/>
                <w:szCs w:val="20"/>
                <w:color w:val="auto"/>
              </w:rPr>
            </w:pPr>
          </w:p>
        </w:tc>
        <w:tc>
          <w:tcPr>
            <w:tcW w:w="142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2"/>
              </w:rPr>
              <w:t>Value</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r>
      <w:tr>
        <w:trPr>
          <w:trHeight w:val="27"/>
        </w:trPr>
        <w:tc>
          <w:tcPr>
            <w:tcW w:w="5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common equities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76,929</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common equities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70"/>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34,883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22.8 %</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8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153,132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157,506</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60" w:hanging="134"/>
        <w:spacing w:after="0"/>
        <w:tabs>
          <w:tab w:leader="none" w:pos="16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includes limited partnerships, limited liability companies and other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interest rates, equity prices, foreign currency exchange rates and commodity prices. The primary components of market risk affecting us are credit risk and interest rate risk. We do not have significant exposure to foreign currency exchange rate risk or commodity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We have exposure to credit risk as a holder of debt instruments in our core fixed income and opportunistic fixed income portfolios. Our risk management strategy and investment policy is to invest primarily in debt instruments of high credit quality issuers and to limit the amount of credit exposure with respect to particular ratings categories and any one issuer. At December 31, 2023, our core fixed income portfolio had an average rating of “AA-,” with approximately 82% of securities in that portfolio rated “A” or better by at least one nationally recognized rating organization. Our policy is to invest in investment grade fixed income securities which are high quality and liquid, providing a stable income stream, supplemented by opportunistic fixed income and equity securities, with the objective of further enhancing the portfolio’s diversification and risk-adjusted returns. At December 31, 2023, approximately 3.0% of our core fixed income portfolio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 unrated or rated below investment-grade. Through our investment managers, we monitor the financial condition of all of the issuers of securities in our portfolio.</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are subject to credit risk with respect to our third-party reinsurers. Although our third-party reinsurers are obligated to reimburse us to the extent we cede risk to them, we are ultimately liable to our policyholders on all risks we have ceded. As a result, reinsurance contracts do not limit our ultimate obligations to pay claims covered under the insurance policies we issue, and we might not collect amounts recoverable from our reinsurers. We address this credit risk by seeking to purchase reinsurance from reinsurers that are rated at least “A-” (Excellent) or better by A.M. Best. We also perform, along with our reinsurance broker, periodic credit reviews of our reinsurers. At December 31, 2023, 99% of our reinsurance recoverables were either derived from reinsurers rated “A-” (Excellent) by A.M. Best, or better, or were collateralized through funds held, trusts and letters of credit by the reinsurer. If one of our reinsurers suffers a credit downgrade, we may consider various options to lessen the risk of asset impairment, including commutation, novation and letters of credit.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rate risk is the risk that we will incur economic losses due to adverse changes in interest rates. The primary market risk to our investment portfolio is interest rate risk associated with investments in fixed income securities. Fluctuations in interest rates have a direct effect on the market valuation of these securities. When market interest rates rise, the fair value of our securities decreases. Conversely, as interest rates fall, the fair value of our securities increases. We manage this interest rate risk by investing in securities with varied maturity dates and by managing the duration of our investment portfolio in directional relation to the duration of our reserves. Expressed in years, duration is the weighted average payment period of cash flows, where the weighting is based on the present value of the cash flows. We set duration targets for our core fixed income investment portfolio after consideration of the estimated duration of our liabilities and other factors. Our fixed maturity securities had a weighted average effective duration of 3.2 years as of December 31, 2023.</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fixed income securities that were subject to interest rate risk with a fair value of $1,017.7 million at December 31, 2023. Our opportunistic fixed income securities are excluded from our interest rate sensitivity analysis as they are primarily floating rate and treated as held to maturity securities.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what changes might occur in the value of our core fixed income portfolio given hypothetical changes in interest rates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Estimated %</w:t>
            </w:r>
          </w:p>
        </w:tc>
      </w:t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Estimated</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Increase</w:t>
            </w:r>
          </w:p>
        </w:tc>
      </w:t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Estimated</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Change</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(Decrease)</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in Fair Value</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in Fair Value</w:t>
            </w:r>
          </w:p>
        </w:tc>
      </w:tr>
      <w:tr>
        <w:trPr>
          <w:trHeight w:val="27"/>
        </w:trPr>
        <w:tc>
          <w:tcPr>
            <w:tcW w:w="6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 increase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887,124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(130,527)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929,996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(87,655)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7"/>
        </w:trPr>
        <w:tc>
          <w:tcPr>
            <w:tcW w:w="6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973,505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(44,146)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0.0 %</w:t>
            </w:r>
          </w:p>
        </w:tc>
      </w:tr>
      <w:tr>
        <w:trPr>
          <w:trHeight w:val="27"/>
        </w:trPr>
        <w:tc>
          <w:tcPr>
            <w:tcW w:w="6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decrease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1,062,433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44,782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basis point decrease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1,107,852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90,201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8.9 %</w:t>
            </w:r>
          </w:p>
        </w:tc>
      </w:tr>
      <w:tr>
        <w:trPr>
          <w:trHeight w:val="27"/>
        </w:trPr>
        <w:tc>
          <w:tcPr>
            <w:tcW w:w="6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 decrease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1,153,908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136,257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13.4 %</w:t>
            </w:r>
          </w:p>
        </w:tc>
      </w:tr>
      <w:tr>
        <w:trPr>
          <w:trHeight w:val="54"/>
        </w:trPr>
        <w:tc>
          <w:tcPr>
            <w:tcW w:w="6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interest rates will have an immediate effect on comprehensive income and stockholders’ equity but will not ordinarily have an immediate effect on net income. Actual results may differ from the hypothetical change in market rates assumed in the table above. This sensitivity analysis does not reflect the results of any action that we may take to mitigate such hypothetical losses in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price risk</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price risk represents the potential economic losses due to adverse changes in equity security prices. At December 31, 2023, approximately 11.4% of the fair value of our investment portfolio (excluding cash and cash equivalents and short-term investments) was invested in equity securities. We manage equity price risk through portfolio diversification and maintain a tail-risk management strategy that is designed to provide some protection for the equity portfolio if there is a significant decline in the S&amp;P 500 within a 30 day period.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was $24.1 million for the year ended December 31, 2023 compared to $10.4 million for the year ended December 31, 2022. Our effective tax rate was 21.9% for the year ended December 31, 2023, compared to 20.9% for the year ended December 31, 2022. The change in our effective tax rate in 2023, when compared to 2022, was primarily due to the relationship of taxable to non-taxable income. The Company’s provision for income taxes generally does not deviate substantially from the statutory tax rate. The effective tax rate may vary slightly from the statutory rate due to tax adjustments for tax-exempt income and dividends-received deduction.</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13, “Income Taxes” to our consolidated financial statements included in Item 8 of this Form 10-K for a reconciliation between our actual federal income tax expense and the amount computed at the indicated statutory rate for the years ended December 31, 2023 and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organized as a holding company with our operations primarily conducted by our wholly-owned insurance subsidiaries, HSIC, IIC, and GMIC, which are domiciled in Texas, and OSIC, which is domiciled in Oklahoma. Accordingly, the holding company may receive cash through (1) corporate service fees from our operating subsidiaries, (2) payments pursuant to our consolidated tax allocation agreement, (3) dividends from our subsidiaries, subject to certain limitations discussed below regarding dividends from our insurance subsidiaries, (4) loans from banks, (5) draws on a revolving loan agreement, and (6) issuance of equity and debt securities. We also may use the proceeds from these sources to contribute funds to insurance subsidiaries in order to support premium growth, pay dividends and taxes and for other business purposes.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Service Company receives corporate service fees from the operating subsidiaries to reimburse it for most of the operating expenses that it incurs. Reimbursement of expenses through corporate service fees is based on the actual costs that we expect to incur with no mark-up above our expected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file a consolidated U.S. federal income tax return with our subsidiaries, and under our corporate tax allocation agreement, each participant is charged or refunded taxes according to the amount that the participant would have paid or received had it filed on a separate return basis with the Internal Revenue Service (the “IRS”).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Applicable state insurance laws restrict the ability of the insurance subsidiaries to declare stockholder dividends without prior regulatory approval. Applicable state insurance regulators require insurance companies to maintain specified levels of statutory capital and surplus. Dividend payments are further limited to that part of available policyholder surplus which is derived from net profits on an insurer’s business.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 Our insurance subsidiaries did not pay dividends to us for the years ended December 31, 2023 or 2022. See Note 23, “Statutory Accounting Principles and Regulatory Matters” to our consolidated financial statements included in Item 8 of this Form 10-K for additional information regarding our insurance companies.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2023, our holding company had $3.0 million in cash and investments compared to $8.9 million at December 31, 2022.</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liquidity available to meet our operating cash needs and obligations and committed capital expenditures for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flows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338,187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208,938</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(193,381)</w:t>
            </w:r>
          </w:p>
        </w:tc>
      </w:tr>
      <w:tr>
        <w:trPr>
          <w:trHeight w:val="24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cash provided by operating activities in 2023 and 2022 was primarily due to the growth of the business, timing of premium receipts, claim payments and reinsurance activity. Cash flows from operations in each of the past two years were used primarily to fund investing activities.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net cash used in investing activities from 2023 to 2022 was primarily driven by an increase in the purchases of fixed maturity securities and short-term investments.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net cash provided by financing activities from 2023 to 2022 was primarily driven by proceeds received from the IPO and the November follow-on offering. See note 12, “Stockholders’ Equity”, to our consolidated financial statements included in Item 8 of this Form 10-K for additional information regarding the IPO and November follow-on offering.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29, 2023, we entered into an unsecured revolving credit facility (the “Revolving Credit Facility”) with a syndicate of participating banks. The Revolving Credit Facility provides us with up to a $150.0 million revolving credit facility, with an accordion that can increase the capacity by $50.0 million, and a letter of credit sub-facility of up to $30.0 million.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drew $50.0 million on the Revolving Credit Facility and used the proceeds to pay off the principal on our Term Loan (defined below). We subsequently terminated the Term loan and the Revolver (defined below).</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At December 31, 2023, the six-month SOFR on the Revolving Credit Facility was 5.47%, plus a margin of 1.60%.</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of December 31, 2023, we are in compliance with all covenants.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2024, we drew $50.0 million on the Revolving Credit Facility and used the proceeds and existing cash to fund the redemption of the Debentures (see “Debentures” below for additional information regarding the redemption). After the draw, we had $100.0 million outstanding under the Revolving Credit Facility with another $50.0 million of undrawn capacity.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2006, we received $58.0 million of proceeds from a debenture offering through a statutory trust, Delos Capital Trust (the “Trust”). The sole asset of the Trust consists of Fixed/Floating Rate Junior Subordinated Deferrable Interest Debentures (the “Debentures”) with a principal amount of $59.8 million issued by us and cash of $1.8 million from the issuance of Trust common shares purchased by us equal to 3% of the Trust capitalization. The Debentures are an unsecured obligation, are redeemable, and have a maturity date of September 15, 2036. Interest on the Trust Preferred is payable quarterly at an annual rate based on the three-month LIBOR (5.59% and 4.77% at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60"/>
        <w:spacing w:after="0" w:line="375" w:lineRule="auto"/>
        <w:rPr>
          <w:sz w:val="20"/>
          <w:szCs w:val="20"/>
          <w:color w:val="auto"/>
        </w:rPr>
      </w:pPr>
      <w:r>
        <w:rPr>
          <w:rFonts w:ascii="Times New Roman" w:cs="Times New Roman" w:eastAsia="Times New Roman" w:hAnsi="Times New Roman"/>
          <w:sz w:val="18"/>
          <w:szCs w:val="18"/>
          <w:color w:val="auto"/>
        </w:rPr>
        <w:t xml:space="preserve">respectively), plus 3.4%. On March 15, 2024, the Company redeemed the Debentures and paid $1.4 million of accrued interest. </w:t>
      </w:r>
      <w:r>
        <w:rPr>
          <w:rFonts w:ascii="Times New Roman" w:cs="Times New Roman" w:eastAsia="Times New Roman" w:hAnsi="Times New Roman"/>
          <w:sz w:val="18"/>
          <w:szCs w:val="18"/>
          <w:i w:val="1"/>
          <w:iCs w:val="1"/>
          <w:color w:val="auto"/>
        </w:rPr>
        <w:t>Subordinated Debt</w:t>
      </w:r>
    </w:p>
    <w:p>
      <w:pPr>
        <w:spacing w:after="0" w:line="1"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In May 2019, we issued unsecured subordinated notes (the “Notes”) with an aggregate principal amount of $20.0 million. Interest on the subordinated notes is 7.25% fixed for the first 8 years and 8.25% fixed thereafter. Early retirement of the debt ahead of the eight (8) year commitment requires all interest payments to be paid in full, as well as the return of all capital. Principal payment is due at maturity on May 24, 2039 and interest is payable quarterly.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11, 2019, we entered into a credit agreement with Prosperity Bank which provided us with a $50.0 million term loan (the “Term Loan”) and a $50.0 million revolving line of credit (the “Revolver”) with additional capacity up to $75.0 million.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the interest rate on the Term Loan was the one-month LIBOR (4.39% on December 31, 2022) plus the “Applicable Margin,” which was defined as 1.65%. In connection with our entry into the Revolving Credit Facility, we terminated the existing term loan and revolving line of credit.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2023 the ratio of total debt outstanding, including the Revolving Credit Facility, the Trust Preferred and the Notes, to total capitalization (defined as total debt plus stockholders’ equity) was 16.3% and at December 31, 2022, the ratio of total debt outstanding, including the Term Loan, the Revolver, the Trust Preferred and the Notes, to total capitalization was 23.4%. At March 15, 2024, capitalization remained unchanged as a result of the draw on the Revolving Credit Facility and subsequent redemption of the Debentures.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by due date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Payments due by period</w:t>
            </w:r>
          </w:p>
        </w:tc>
        <w:tc>
          <w:tcPr>
            <w:tcW w:w="12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Less Than</w:t>
            </w: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One Year</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One Year</w:t>
            </w:r>
          </w:p>
        </w:tc>
        <w:tc>
          <w:tcPr>
            <w:tcW w:w="26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or More</w:t>
            </w:r>
          </w:p>
        </w:tc>
      </w:tr>
      <w:tr>
        <w:trPr>
          <w:trHeight w:val="27"/>
        </w:trPr>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734,649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70,000</w:t>
            </w:r>
          </w:p>
        </w:tc>
      </w:tr>
      <w:tr>
        <w:trPr>
          <w:trHeight w:val="27"/>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98,788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4,113</w:t>
            </w:r>
          </w:p>
        </w:tc>
      </w:tr>
      <w:tr>
        <w:trPr>
          <w:trHeight w:val="27"/>
        </w:trPr>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1,559,275</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651,725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907,550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Reserves for losses and LAE represent our best estimate of the ultimate cost of settling reported and unreported claims and related expenses. Estimating reserves for losses and LAE is based on various complex and subjective judgments. Actual losses and settlement expenses paid may deviate, perhaps substantially, from the reserve estimates reflected in our financial statements. Similarly, the timing for payment of our estimated losses is not fixed and is not determinable on an individual or aggregate basis. The assumptions used in estimating the payments due by period are based on our own, industry and peer group claims payment experience. Due to the uncertainty inherent in the process of estimating the timing of such payments, there is a risk that the amounts paid in any period will be significantly different than the amounts disclosed above. Amounts disclosed above are gross of anticipated amounts recoverable from reinsurers. Reinsurance balances recoverable on reserves for losses and LAE are reported separately as assets, instead of being netted with the related liabilities, since reinsurance does not discharge us of our liability to policyholders. Reinsurance balances recoverable on reserves for paid and unpaid losses and LAE totaled $596.3 million and $581.4 million at December 31, 2023 and December 31, 2022,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consolidated financial statements. We evaluate our estimates regularly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using information that we believe to be relevant. For a detailed discussion of our accounting policies, see Note 2, “Summary of Significant Accounting Policies” to our consolidated financial statements included in Item 8 of this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unpaid losses and LAE</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reserves for unpaid losses and LAE is the largest and most complex estimate in our consolidated balance sheet. The reserves for unpaid losses and LAE represent our estimated ultimate cost of all unreported and reported but unpaid insured claims and the cost to adjust these losses that have occurred as of or before the balance sheet date. We do not discount our reserves for losses and LAE to reflect estimated present value. We estimate the reserves using individual case-basis valuations of reported claims and statistical analyses and various actuarial procedures. Those estimates are based on our historical information, industry and peer group information and our estimates of future trends in variable factors such as loss severity, loss frequency and other factors such as inflation. We regularly review our estimates and adjust them as necessary as experience develops or as new information becomes known to us. Additionally, during the loss settlement period, it often becomes necessary to refine and adjust the estimates of liability on a claim either upward or downward. Even after such adjustments, the ultimate liability may exceed or be less than the revised estimates. Accordingly, the ultimate settlement of losses and the related LAE may vary significantly from the estimate included in our financial statements.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categorize our reserves for unpaid losses and LAE into two types: case reserves and IBNR.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gross and net reserves for unpaid losses and LAE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Gross</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of Total</w:t>
            </w:r>
          </w:p>
        </w:tc>
        <w:tc>
          <w:tcPr>
            <w:tcW w:w="28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of Total</w:t>
            </w:r>
          </w:p>
        </w:tc>
        <w:tc>
          <w:tcPr>
            <w:tcW w:w="22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Gross</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of Total</w:t>
            </w:r>
          </w:p>
        </w:tc>
        <w:tc>
          <w:tcPr>
            <w:tcW w:w="2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 of Total</w:t>
            </w:r>
          </w:p>
        </w:tc>
        <w:tc>
          <w:tcPr>
            <w:tcW w:w="0" w:type="dxa"/>
            <w:vAlign w:val="bottom"/>
          </w:tcPr>
          <w:p>
            <w:pPr>
              <w:spacing w:after="0"/>
              <w:rPr>
                <w:sz w:val="1"/>
                <w:szCs w:val="1"/>
                <w:color w:val="auto"/>
              </w:rPr>
            </w:pPr>
          </w:p>
        </w:tc>
      </w:tr>
      <w:tr>
        <w:trPr>
          <w:trHeight w:val="37"/>
        </w:trPr>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reserves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561,474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318,863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269,273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4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753,027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540,154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656,614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436,498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859,017</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1,141,757</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705,771</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Case reserves are established for individual claims that have been reported to us. We are notified of losses by our insureds or their agents or our brokers. Based on the information provided, we establish case reserves by estimating the ultimate losses from the claim, including defense costs associated with the ultimate settlement of the claim. Our claims department personnel use their knowledge of the specific claim along with advice from internal and external experts, including underwriters and legal counsel, to estimate the expected ultimate losses. In limited circumstances, we utilize the services of TPAs to assist in the adjustment of claims. Our internal claims managers oversee TPA activities and monitor their individual claim handling activities to our prescribed standards.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IBNR reserves are developed in accordance with Actuarial Standards of Practice promulgated by the American Academy of Actuaries. Our reserve review is performed by our Reserve Committee that utilizes several accepted loss reserving methods to arrive at our best estimate of loss reserves. We give consideration to the relative strengths and weaknesses of each of the methods in deriving our actuarial best estimate of the liabilities. Where we have limited years of loss experience compared to the period over which we expect losses to be reported, we use industry and/or peer-group data in addition to our own data as a basis for selecting the parameters underlying our reserving methods. We monitor loss emergence daily. We carefully consider other internal or external factors such as underwriting, claims handling, economic, or environmental changes that could adversely affect the accuracy of the assumptions underlying our standard actuarial methods and when necessary we will adjust these assumptions, methods, and/or procedures to ensure that they appropriately reflect these changing conditions. The duration of loss reserves was 2.3 years as of December 31, 2023.</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Reserve Committee includes our Chief Actuary, Chief Risk Officer, Chief Financial Officer and Chief Claims Officer. The Reserve Committee meets quarterly to review the actuarial reserving recommendations made by the Chief Actuary and uses their best judgment to determine the best estimate to be recorded for the reserve for losses and LAE on our balance sheet. In establishing the quarterly actuarial recommendation for the reserves for losses and LAE, our actuary estimates an initial expected ultimate loss ratio for each of our underwriting divisions. Input from our underwriting and claims departments, including premium pricing assumptions and historical experience, is considered by our actuary in estimating the initial expected loss ratios. Multiple actuarial methods are used to estimate the reserve for losses and LAE. These methods utilize, to varying degrees, the initial expected loss ratio, detailed statistical analysis of past claims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payment patterns, claims frequency and severity, paid loss experience, industry loss experience, and changes in market conditions, policy forms, exclusions, and exposures. The actuarial methods used to estimate losses and LAE reserves are:</w:t>
      </w:r>
    </w:p>
    <w:p>
      <w:pPr>
        <w:spacing w:after="0" w:line="52" w:lineRule="exact"/>
        <w:rPr>
          <w:sz w:val="20"/>
          <w:szCs w:val="20"/>
          <w:color w:val="auto"/>
        </w:rPr>
      </w:pPr>
    </w:p>
    <w:p>
      <w:pPr>
        <w:jc w:val="both"/>
        <w:ind w:left="660" w:hanging="328"/>
        <w:spacing w:after="0" w:line="26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Reported and/or Paid Loss Development Methods — </w:t>
      </w:r>
      <w:r>
        <w:rPr>
          <w:rFonts w:ascii="Times New Roman" w:cs="Times New Roman" w:eastAsia="Times New Roman" w:hAnsi="Times New Roman"/>
          <w:sz w:val="18"/>
          <w:szCs w:val="18"/>
          <w:color w:val="auto"/>
        </w:rPr>
        <w:t>Ultimate losses are estimated based on historical reported and/or paid loss reporting patterns.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losses are the sum of paid and case losses. Industry development patterns are substituted for historical development patterns when sufficient historical data is not available.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Reported Bornhuetter-Ferguson Methods — </w:t>
      </w:r>
      <w:r>
        <w:rPr>
          <w:rFonts w:ascii="Times New Roman" w:cs="Times New Roman" w:eastAsia="Times New Roman" w:hAnsi="Times New Roman"/>
          <w:sz w:val="18"/>
          <w:szCs w:val="18"/>
          <w:color w:val="auto"/>
        </w:rPr>
        <w:t>Ultimate losses are estimated as the sum of cumulative reported losses and estimated IBNR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IBNR losses are estimated based on historical development patterns and one or more of the following: expected average severity and estimated ultimate claims counts, expected pure premium, and expected loss ratios underlying our loss cost multipliers.</w:t>
      </w:r>
    </w:p>
    <w:p>
      <w:pPr>
        <w:spacing w:after="0" w:line="65"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Paid Bornhuetter-Ferguson Method — </w:t>
      </w:r>
      <w:r>
        <w:rPr>
          <w:rFonts w:ascii="Times New Roman" w:cs="Times New Roman" w:eastAsia="Times New Roman" w:hAnsi="Times New Roman"/>
          <w:sz w:val="18"/>
          <w:szCs w:val="18"/>
          <w:color w:val="auto"/>
        </w:rPr>
        <w:t>Under this method, ultimate losses are estimated as the sum of cumulative paid losses and estimated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Unpaid losses are estimated based on the expected loss ratios underlying our loss cost multipliers, and selected industry development patterns of paid losses.</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utilize each of these methods in our comprehensive review of reserves. When evaluating reserves related to less mature policy years, we utilize the Bornhuetter-Ferguson Method as the primary method for our ultimate loss indications. As we move to more mature policy years, we transition to the Reported and/or Paid Loss Development Methods. We primarily rely on reported methods where case reserving is consistently applied across policy years, however, when there is a change in reserving philosophy we will blend both reported and paid methods in our evaluation of ultimate loss indications.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LAE may vary significantly from the estimates included in our financial statements. We regularly review our estimates and adjust them as necessary as experience develops or as new information becomes known to us. Such adjustments are included in the results of current operations.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amount by which estimated losses differ from those originally reported for a period is known as “development.” Development is unfavorable when the losses ultimately settle for more than the amount reserved or subsequent estimates indicate a basis for reserve increases on unresolved claims. Development is favorable when losses ultimately settle for less than the amount reserved or subsequent estimates indicate a basis for reducing loss reserves on unresolved claims. We reflect favorable or unfavorable development of loss reserves in the results of operations in the period the estimates are changed.</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5% change in net IBNR would result in a $27.0 million change in our reserves for losses and LAE and a $21.3 million change in net income and stockholders’ equity.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 billion in nonconvertible debt during the previous three years; and (iv) the date on which we are deemed to be a large accelerated filer under the rules of the SEC.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on Financial Instruments (Topic 326). ASU 2016-13 requires organizations to estimate credit losses on certain types of financial instruments, including receivables and available-for-sale debt securities, by introducing an approach based on expected losses. The expected loss approach will require entities to incorporate considerations of historical information, current information, and reasonable and supportable forecasts. The Company adopted ASU 2016-13 effective January 1, 2023 using the modified retrospective approach, by which a cumulative-effect adjustment was made to retained earnings as of the date of adoption. In connection with the adoption of ASU 2016-13, the Company elected the fair value option in accounting for mortgage loans effective January 1, 2023 as targeted transition relief. The adoption of ASU 2016-13 resulted in the Company recognizing an increase in the allowance for uncollectible reinsurance of $2.3 million and an increase, net of tax, in accumulated deficit of $2.3 million.</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(Topic 280). ASU 2023-07 requires segment disclosures for (i) significant segment expenses that are regularly provided to the chief operating decision maker (“CODM”), (ii) how the CODM uses the reported measure(s) of segment profitability in assessing segment performance and resource allocation and (iii) the title and position of the CODM. This update states that entities with a single reportable segment are required to provide full segment disclosures. The guidance is effective for fiscal years beginning after December 15, 2023, and interim periods within fiscal years beginning after December 15, 2024. This update is applied retrospectively to all prior periods presented. We are evaluating the effect of the amendments on our consolidated financial statements.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public companies, on an annual basis, provide enhanced rate reconciliation disclosures, including disclosures of specific categories and additional information that meet a quantitative threshold. This update also requires public companies to, among other things, disaggregate income taxes paid by federal, state and foreign taxes. The guidance is effective for fiscal years beginning after December 15, 2024. The Company is evaluating the effect of the amendments on its consolidated financial statements.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Qualitative and Quantitative Disclosures about Market Risk are included in Item 7 of this Form 10-K under “Investments—Market Risk.”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117" w:lineRule="exact"/>
        <w:rPr>
          <w:sz w:val="20"/>
          <w:szCs w:val="20"/>
          <w:color w:val="auto"/>
        </w:rPr>
      </w:pPr>
    </w:p>
    <w:p>
      <w:pPr>
        <w:ind w:right="336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Skyward Specialty Insurance Group,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Skyward Specialty Insurance Group, Inc. and subsidiaries</w:t>
      </w:r>
      <w:r>
        <w:rPr>
          <w:sz w:val="1"/>
          <w:szCs w:val="1"/>
          <w:color w:val="auto"/>
        </w:rPr>
        <w:drawing>
          <wp:inline distT="0" distB="0" distL="0" distR="0">
            <wp:extent cx="43180" cy="857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(the Company) as of December 31, 2023 and 2022, the related consolidated statements of operations and comprehensive income (loss), stockholders’ equity and cash flows for each of the two years in the period ended December 31, 2023, and the related notes and financial statement schedules listed in the Index at Item 15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36830</wp:posOffset>
            </wp:positionV>
            <wp:extent cx="19291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maturity securities, available-for-sale, at fair value (amortized cost of $1,047,713 and $662,616,</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607,572</w:t>
            </w:r>
          </w:p>
        </w:tc>
        <w:tc>
          <w:tcPr>
            <w:tcW w:w="0" w:type="dxa"/>
            <w:vAlign w:val="bottom"/>
          </w:tcPr>
          <w:p>
            <w:pPr>
              <w:spacing w:after="0"/>
              <w:rPr>
                <w:sz w:val="1"/>
                <w:szCs w:val="1"/>
                <w:color w:val="auto"/>
              </w:rPr>
            </w:pPr>
          </w:p>
        </w:tc>
      </w:tr>
      <w:tr>
        <w:trPr>
          <w:trHeight w:val="225"/>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$329 as of</w:t>
            </w: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42,986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w:t>
            </w: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120,169</w:t>
            </w:r>
          </w:p>
        </w:tc>
        <w:tc>
          <w:tcPr>
            <w:tcW w:w="0" w:type="dxa"/>
            <w:vAlign w:val="bottom"/>
          </w:tcPr>
          <w:p>
            <w:pPr>
              <w:spacing w:after="0"/>
              <w:rPr>
                <w:sz w:val="1"/>
                <w:szCs w:val="1"/>
                <w:color w:val="auto"/>
              </w:rPr>
            </w:pP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loans (at fair value as of December 31, 2023; at amortized cost as of December 31, 2022)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129,142</w:t>
            </w:r>
          </w:p>
        </w:tc>
        <w:tc>
          <w:tcPr>
            <w:tcW w:w="0" w:type="dxa"/>
            <w:vAlign w:val="bottom"/>
          </w:tcPr>
          <w:p>
            <w:pPr>
              <w:spacing w:after="0"/>
              <w:rPr>
                <w:sz w:val="1"/>
                <w:szCs w:val="1"/>
                <w:color w:val="auto"/>
              </w:rPr>
            </w:pP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270,226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121,158</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1,613,687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1,082,367</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79,573</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179,235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596,334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581,359</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68,938</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89,870</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82,846</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2,953,435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2,363,439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1,141,757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552,532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442,509</w:t>
            </w:r>
          </w:p>
        </w:tc>
        <w:tc>
          <w:tcPr>
            <w:tcW w:w="0" w:type="dxa"/>
            <w:vAlign w:val="bottom"/>
          </w:tcPr>
          <w:p>
            <w:pPr>
              <w:spacing w:after="0"/>
              <w:rPr>
                <w:sz w:val="1"/>
                <w:szCs w:val="1"/>
                <w:color w:val="auto"/>
              </w:rPr>
            </w:pPr>
          </w:p>
        </w:tc>
      </w:tr>
      <w:tr>
        <w:trPr>
          <w:trHeight w:val="243"/>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113,696</w:t>
            </w:r>
          </w:p>
        </w:tc>
        <w:tc>
          <w:tcPr>
            <w:tcW w:w="0" w:type="dxa"/>
            <w:vAlign w:val="bottom"/>
          </w:tcPr>
          <w:p>
            <w:pPr>
              <w:spacing w:after="0"/>
              <w:rPr>
                <w:sz w:val="1"/>
                <w:szCs w:val="1"/>
                <w:color w:val="auto"/>
              </w:rPr>
            </w:pPr>
          </w:p>
        </w:tc>
      </w:tr>
      <w:tr>
        <w:trPr>
          <w:trHeight w:val="243"/>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held for others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58,588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48,499</w:t>
            </w:r>
          </w:p>
        </w:tc>
        <w:tc>
          <w:tcPr>
            <w:tcW w:w="0" w:type="dxa"/>
            <w:vAlign w:val="bottom"/>
          </w:tcPr>
          <w:p>
            <w:pPr>
              <w:spacing w:after="0"/>
              <w:rPr>
                <w:sz w:val="1"/>
                <w:szCs w:val="1"/>
                <w:color w:val="auto"/>
              </w:rPr>
            </w:pPr>
          </w:p>
        </w:tc>
      </w:tr>
      <w:tr>
        <w:trPr>
          <w:trHeight w:val="243"/>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78,690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78,609</w:t>
            </w:r>
          </w:p>
        </w:tc>
        <w:tc>
          <w:tcPr>
            <w:tcW w:w="0" w:type="dxa"/>
            <w:vAlign w:val="bottom"/>
          </w:tcPr>
          <w:p>
            <w:pPr>
              <w:spacing w:after="0"/>
              <w:rPr>
                <w:sz w:val="1"/>
                <w:szCs w:val="1"/>
                <w:color w:val="auto"/>
              </w:rPr>
            </w:pPr>
          </w:p>
        </w:tc>
      </w:tr>
      <w:tr>
        <w:trPr>
          <w:trHeight w:val="237"/>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2,292,404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1,941,777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A preferred stock, $0.01 par value; 10,000,000 and 2,000,000 shares authorized, 0 and 1,969,660</w:t>
            </w:r>
          </w:p>
        </w:tc>
        <w:tc>
          <w:tcPr>
            <w:tcW w:w="340" w:type="dxa"/>
            <w:vAlign w:val="bottom"/>
          </w:tcPr>
          <w:p>
            <w:pPr>
              <w:spacing w:after="0"/>
              <w:rPr>
                <w:sz w:val="19"/>
                <w:szCs w:val="19"/>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3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$0.01 par value, 500,000,000 and 168,000,000 shares authorized, 39,863,756 and</w:t>
            </w: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16,832,955 shares issued,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$0.01 par value, 0 and 233,289 shares, respectively</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577,289</w:t>
            </w:r>
          </w:p>
        </w:tc>
        <w:tc>
          <w:tcPr>
            <w:tcW w:w="0" w:type="dxa"/>
            <w:vAlign w:val="bottom"/>
          </w:tcPr>
          <w:p>
            <w:pPr>
              <w:spacing w:after="0"/>
              <w:rPr>
                <w:sz w:val="1"/>
                <w:szCs w:val="1"/>
                <w:color w:val="auto"/>
              </w:rPr>
            </w:pP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notes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0" w:type="dxa"/>
            <w:vAlign w:val="bottom"/>
          </w:tcPr>
          <w:p>
            <w:pPr>
              <w:spacing w:after="0"/>
              <w:rPr>
                <w:sz w:val="1"/>
                <w:szCs w:val="1"/>
                <w:color w:val="auto"/>
              </w:rPr>
            </w:pP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(21,708)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661,031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421,662</w:t>
            </w:r>
          </w:p>
        </w:tc>
        <w:tc>
          <w:tcPr>
            <w:tcW w:w="0" w:type="dxa"/>
            <w:vAlign w:val="bottom"/>
          </w:tcPr>
          <w:p>
            <w:pPr>
              <w:spacing w:after="0"/>
              <w:rPr>
                <w:sz w:val="1"/>
                <w:szCs w:val="1"/>
                <w:color w:val="auto"/>
              </w:rPr>
            </w:pPr>
          </w:p>
        </w:tc>
      </w:tr>
      <w:tr>
        <w:trPr>
          <w:trHeight w:val="263"/>
        </w:trPr>
        <w:tc>
          <w:tcPr>
            <w:tcW w:w="8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2,953,435</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2,363,439</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8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893"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829,143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615,994</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4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0" w:type="dxa"/>
            <w:vAlign w:val="bottom"/>
          </w:tcPr>
          <w:p>
            <w:pPr>
              <w:spacing w:after="0"/>
              <w:rPr>
                <w:sz w:val="1"/>
                <w:szCs w:val="1"/>
                <w:color w:val="auto"/>
              </w:rPr>
            </w:pPr>
          </w:p>
        </w:tc>
      </w:tr>
      <w:tr>
        <w:trPr>
          <w:trHeight w:val="24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(loss) income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885,969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642,420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402,512</w:t>
            </w:r>
          </w:p>
        </w:tc>
        <w:tc>
          <w:tcPr>
            <w:tcW w:w="0" w:type="dxa"/>
            <w:vAlign w:val="bottom"/>
          </w:tcPr>
          <w:p>
            <w:pPr>
              <w:spacing w:after="0"/>
              <w:rPr>
                <w:sz w:val="1"/>
                <w:szCs w:val="1"/>
                <w:color w:val="auto"/>
              </w:rPr>
            </w:pPr>
          </w:p>
        </w:tc>
      </w:tr>
      <w:tr>
        <w:trPr>
          <w:trHeight w:val="24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4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775,867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592,637</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49,783</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23"/>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gains and losses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unrealized gains (losses) on investments, net of tax</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adjustment for (losses) gains on securities no longer held,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7"/>
        </w:trPr>
        <w:tc>
          <w:tcPr>
            <w:tcW w:w="8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36,031,907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16,568,393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38,317,534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32,653,194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173990</wp:posOffset>
            </wp:positionV>
            <wp:extent cx="7115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577,289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575,159</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710,855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577,289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 Notes Receivable: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6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(43,485)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w:t>
            </w:r>
          </w:p>
        </w:tc>
      </w:tr>
      <w:tr>
        <w:trPr>
          <w:trHeight w:val="26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(144,813)</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effect on adoption of ASU No. 2016-13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(105,417)</w:t>
            </w:r>
          </w:p>
        </w:tc>
      </w:tr>
      <w:tr>
        <w:trPr>
          <w:trHeight w:val="26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661,031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421,662</w:t>
            </w:r>
          </w:p>
        </w:tc>
      </w:tr>
      <w:tr>
        <w:trPr>
          <w:trHeight w:val="21"/>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43"/>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Undistributed loss (earnings) from 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w:t>
            </w:r>
          </w:p>
        </w:tc>
        <w:tc>
          <w:tcPr>
            <w:tcW w:w="0" w:type="dxa"/>
            <w:vAlign w:val="bottom"/>
          </w:tcPr>
          <w:p>
            <w:pPr>
              <w:spacing w:after="0"/>
              <w:rPr>
                <w:sz w:val="1"/>
                <w:szCs w:val="1"/>
                <w:color w:val="auto"/>
              </w:rPr>
            </w:pPr>
          </w:p>
        </w:tc>
      </w:tr>
      <w:tr>
        <w:trPr>
          <w:trHeight w:val="243"/>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Premiums receivable,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(45,032)</w:t>
            </w:r>
          </w:p>
        </w:tc>
        <w:tc>
          <w:tcPr>
            <w:tcW w:w="0" w:type="dxa"/>
            <w:vAlign w:val="bottom"/>
          </w:tcPr>
          <w:p>
            <w:pPr>
              <w:spacing w:after="0"/>
              <w:rPr>
                <w:sz w:val="1"/>
                <w:szCs w:val="1"/>
                <w:color w:val="auto"/>
              </w:rPr>
            </w:pPr>
          </w:p>
        </w:tc>
      </w:tr>
      <w:tr>
        <w:trPr>
          <w:trHeight w:val="24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Ceded unearned premium</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0" w:type="dxa"/>
            <w:vAlign w:val="bottom"/>
          </w:tcPr>
          <w:p>
            <w:pPr>
              <w:spacing w:after="0"/>
              <w:rPr>
                <w:sz w:val="1"/>
                <w:szCs w:val="1"/>
                <w:color w:val="auto"/>
              </w:rPr>
            </w:pPr>
          </w:p>
        </w:tc>
      </w:tr>
      <w:tr>
        <w:trPr>
          <w:trHeight w:val="24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162,208</w:t>
            </w:r>
          </w:p>
        </w:tc>
        <w:tc>
          <w:tcPr>
            <w:tcW w:w="0" w:type="dxa"/>
            <w:vAlign w:val="bottom"/>
          </w:tcPr>
          <w:p>
            <w:pPr>
              <w:spacing w:after="0"/>
              <w:rPr>
                <w:sz w:val="1"/>
                <w:szCs w:val="1"/>
                <w:color w:val="auto"/>
              </w:rPr>
            </w:pPr>
          </w:p>
        </w:tc>
      </w:tr>
      <w:tr>
        <w:trPr>
          <w:trHeight w:val="24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Unearned premiums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4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Funds held for others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0" w:type="dxa"/>
            <w:vAlign w:val="bottom"/>
          </w:tcPr>
          <w:p>
            <w:pPr>
              <w:spacing w:after="0"/>
              <w:rPr>
                <w:sz w:val="1"/>
                <w:szCs w:val="1"/>
                <w:color w:val="auto"/>
              </w:rPr>
            </w:pPr>
          </w:p>
        </w:tc>
      </w:tr>
      <w:tr>
        <w:trPr>
          <w:trHeight w:val="24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37"/>
        </w:trPr>
        <w:tc>
          <w:tcPr>
            <w:tcW w:w="8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338,187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208,938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fixed maturity securities, available-for-sale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(459,672)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(268,781)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illiquid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direct and indirect loans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of and distributions from unconsolidated 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short-term investments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 for securities sold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provided by deposit accounting</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(493,809)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(193,381)</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share purchases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Draw on revolving line of credit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term loan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equity offerings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beginning of year*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107,274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4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federal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*the sum of cash and cash equivalents and restricted cash from the consolidated balance sheets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540" w:firstLine="8"/>
        <w:spacing w:after="0" w:line="378" w:lineRule="auto"/>
        <w:tabs>
          <w:tab w:leader="none" w:pos="315" w:val="left"/>
        </w:tabs>
        <w:numPr>
          <w:ilvl w:val="0"/>
          <w:numId w:val="2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 xml:space="preserve">Summary of Significant Accounting Policies </w:t>
      </w:r>
      <w:r>
        <w:rPr>
          <w:rFonts w:ascii="Times New Roman" w:cs="Times New Roman" w:eastAsia="Times New Roman" w:hAnsi="Times New Roman"/>
          <w:sz w:val="18"/>
          <w:szCs w:val="18"/>
          <w:b w:val="1"/>
          <w:bCs w:val="1"/>
          <w:color w:val="231F20"/>
        </w:rPr>
        <w:t>A. Description of Business</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Specialty Insurance Group, Inc. (the “Company”), an insurance holding company, is a Delaware corporation that was organized in 2006. It is a specialty insurance company operating in one segment delivering commercial property and casualty products insurance coverages through its underwriting divisions.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four wholly owned insurance company subsidiaries based in the United States:</w:t>
      </w:r>
    </w:p>
    <w:p>
      <w:pPr>
        <w:spacing w:after="0" w:line="117"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Specialty Insurance Company (“HSIC”) underwrites insurance on a non-admitted basis.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Imperium Insurance Company (“IIC”), a subsidiary of HSIC, underwrites insurance on an admitted basis</w:t>
      </w:r>
    </w:p>
    <w:p>
      <w:pPr>
        <w:spacing w:after="0" w:line="9" w:lineRule="exact"/>
        <w:rPr>
          <w:rFonts w:ascii="Times New Roman" w:cs="Times New Roman" w:eastAsia="Times New Roman" w:hAnsi="Times New Roman"/>
          <w:sz w:val="18"/>
          <w:szCs w:val="18"/>
          <w:color w:val="auto"/>
        </w:rPr>
      </w:pPr>
    </w:p>
    <w:p>
      <w:pPr>
        <w:ind w:left="660" w:firstLine="320"/>
        <w:spacing w:after="0" w:line="250" w:lineRule="auto"/>
        <w:tabs>
          <w:tab w:leader="none" w:pos="13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Midwest Insurance Company (“GMIC”), a subsidiary of IIC, underwrites insurance on an admitted basis and is a certified surety bond company listed with the U.S. Department of the Treasury.</w:t>
      </w: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Oklahoma Specialty Insurance Company (“OSIC”), a subsidiary of GMIC, underwrites insurance on a non-admitted basis.</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wholly owned captive reinsurance company subsidiary, Skyward Re, that is domiciled in the Cayman Islands and assumes net reserves for certain divisions, related to a retroactive reinsurance contract, from the Company’s insurance companies and retrocedes the net reserves to a third-party reinsurer.</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non-risk bearing wholly owned subsidiaries, (i) Skyward Underwriters Agency, Inc. (“SUA”) is a managing general insurance agent and reinsurance broker for property and casualty risks in specialty niche markets, and (ii) Skyward Service Company provides various administrative services to the Company’s subsidiaries.</w:t>
      </w:r>
    </w:p>
    <w:p>
      <w:pPr>
        <w:spacing w:after="0" w:line="64"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Basis of Presentation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of America (“GAAP”), which differ in some respects from those followed in reports to insurance regulatory authorities. The consolidated financial statements includes the accounts of the holding company and its subsidiaries. All intercompany transactions and balances have been eliminated in consolidation.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the Company to make estimates and assumptions that affect amounts reported in the consolidated financial statements and accompanying notes. The Company’s actual results could differ from those estimates.</w:t>
      </w:r>
    </w:p>
    <w:p>
      <w:pPr>
        <w:spacing w:after="0" w:line="50"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fixed maturity securities with original maturities of three months or less. The carrying value of the Company’s cash and cash equivalents approximates fair value.</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with a legal restriction on withdrawal or use by the consolidated group is recorded as restricted cash. The carrying value of the Company’s restricted cash approximates fair value.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SUA collects premiums from clients, and after deducting commissions and any applicable fees, remits these premiums to the Company’s insurance companies, or to third-party insurance companies. SUA holds unremitted insurance premiums in a fiduciary capacity to third-party insurance companies, as restricted cash.</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required by state regulations to maintain assets on deposit with certain states and hold cash as collateral for certain reinsurance balances. Cash held in a depository account for others, or restricted by a state, is recorded as restricted cash.</w:t>
      </w:r>
    </w:p>
    <w:p>
      <w:pPr>
        <w:spacing w:after="0" w:line="50"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fixed maturities that are classified as available-for-sale are carried at fair value. For available-for-sale fixed maturities in an unrealized loss position, the Company first determines whether there is an intent to sell the security or if it is more likely than not that the Company will be required to sell the security before maturity or recovery of its cost basis. If either of these criteria were met, the amortized cost of the security is written down to fair value with the losses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recognized in net investment gains on the consolidated statements of operations. If neither of the these criteria were met, the Company determines whether unrealized losses are due to credit-related factors. If the unrealized losses are due to credit-related factors, an allowance for credit losses is determined using a present value of cash flows compared to the amortized cost of the security.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limited to the amount by which fair value is below amortized cost. Changes in the allowance for credit losses are recognized in net investment income on the consolidated statements of operations. Credit losses that are limited by the fair value of the security are recognized in stockholders’ equity, net of taxes, as a component of accumulated other comprehensive loss. Unrealized losses that are not credit-related continue to be recognized in stockholders’ equity, net of taxes, as a component of accumulated other comprehensive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to maturity</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fixed maturity securities that are held-to-maturity are carried at amortized cost net of an allowance for credit losses. The allowance for credit losses represents the current estimate of expected credit losses. The Company develops a historical loss rate from Moody’s multi-year cumulative loss rates for asset backed securities. The historical loss rate is adjusted for current conditions and reasonable and supportable forecasts. Changes in the allowance for credit losses are recognized in net investment income on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Other-than-Temporary Impairments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adoption of ASU 2016-13, Measurement of Credit Losses on Financial Instruments (Topic 326), on January 1, 2023, the Company evaluated declines in the market value of invested assets below amortized cost, for other-than-temporary impairment losses, on a quarterly basis. Impairment losses for declines in the value of its fixed maturity securities below amortized cost attributable to issuer-specific events were based on all relevant facts and circumstances for each investment and were recognized when appropriate. For all investments with unrealized losses due to market conditions or industry-related events where the Company did not had intent to sell the security and it had the ability to hold the investment for either a period of time sufficient to allow a market recovery or to maturity, declines in value below cost were not assumed to be other-than-temporary. When the Company considered the impairment of the value of an investment to be other-than-temporary, it reported the decrease in value in net income within the consolidated statements of operations and a corresponding reduction in carrying value on the consolidated balance sheet.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with a readily determinable fair value</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securities consists of common stock or preferred stock. Mutual funds, including those that invest mostly in debt securities, are classified as equity securities. Investments in equity securities with a readily determinable fair value are carried on the balance sheet at fair value using quoted market prices. Changes in the carrying value of equity securities are included in net investment gains (losses) within the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mortgage loans are classified as held for investment and carried on the balance sheet at cost adjusted for unamortized premiums, discounts and loan fees. When an amount is determined to be uncollectible, the Company writes off the uncollectible amount in the period it was determined to be uncollectible. Interest on the loans is recognized as interest receivable which the Company includes in other assets on the consolidated balance sheet.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in accounting for mortgage loans effective January 1, 2023 as targeted transition relief from the adoption of ASU 2016-13. Under the fair value option, mortgage loans are measured at fair value, and changes in unrealized gains and losses on mortgage loans are reported in net investment gains (losses) on the condensed consolidated statements of operations. Interest income and amortization continue to be recognized in net investment income on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long-term investments include investments in equity and equity securities of non-public entities and indirect investments in loans and loan collateral.</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equity investments in certain limited partnerships and corporations where it has significant influence but not control. The analysis of entities that are variable interest entities indicated the Company is not the primary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beneficiary, and would not have to consolidate these entities. Equity method is used to account for these investments in unconsolidated subsidiaries. Under the equity method, initial investment is recorded at cost and is subsequently adjusted based on its proportionate share of distributions and net income or loss of the equity method investee. The difference between the cost of an investment and its proportionate share of the underlying equity in net assets recorded on the investee’s books is a component of investment income. The Company amortizes the difference as an adjustment to its pro-rata share of equity method income over the useful life which is based on the underlying asset.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influence in its investments in equity securities of non-public entities. When these securities do not have a readily determinable fair value, the Company carries these investments at cost, minus impairment, if any, and changes resulting from observable price changes in orderly transactions for identical or similar investments of the same issuer.</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indirect collateralized loans and loan collateral are held through and accounted for as an ownership interest in an unconsolidated subsidiary. The Company’s ownership interests in unconsolidated subsidiaries consists of investments in entities such as partnerships, joint ventures, and special purpose investment vehicles. The Company has significant influence, but not control of these unconsolidated subsidiaries and uses the equity method to account for these investments.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consist primarily of money market funds and are carried at cost which approximates fair value.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 and Net Realized Gains and Losses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investment income consists of interest, dividends and equity in earnings (losses) of unconsolidated subsidiaries net of investment expenses such as investment management expenses. Interest income is recognized on the accrual basis, and dividends as earned at the ex-dividend date. Interest income on mortgage-backed and other asset-backed securities is recognized using the effective-yield method based on estimated principal repayments. Included in interest income is the amortization of premium and accretion of discounts on debt securities.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realized gains and losses on investments are recognized in net income based upon the specific identification method.</w:t>
      </w:r>
    </w:p>
    <w:p>
      <w:pPr>
        <w:spacing w:after="0" w:line="113"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Accounting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purchases prospective reinsurance for certain lines of business on a proportional, excess of loss and facultative basis. Proportional reinsurance requires the Company to share the losses and expenses with the reinsurer in exchange for a share of the premiums. Excess of loss reinsurance shares losses, either a proportion of or in its entirety, above a certain dollar threshold, in exchange for a negotiated cost. Facultative reinsurance covers specific risks and/or policies on either a proportional or excess of loss basis.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Ceded unearned premium and reinsurance balances recoverable—on paid and unpaid losses and settlement expenses—are reported separately as assets, instead of netting them with the related liabilities, since reinsurance does not relieve the Company of its legal liability to its policyholders. Reinsurance on unpaid losses and settlement expenses represent estimates of the portion of the liabilities recoverable from reinsurers. On the Consolidated Statements of Operations, net earned premiums, losses and loss adjustment expenses, net and underwriting, acquisition and insurance expenses are presented net of reinsurance ceded.</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purchases retroactive reinsurance on certain lines of business in the form of loss portfolio transfers (“LPT”) and adverse development covers. These contracts provide indemnification of losses related to past loss events where the reinsurer shares losses, either a proportion of or in its entirety, depending on certain dollar thresholds. Income generated from retroactive reinsurance contracts is deferred and amortized into net income over the settlement period and losses are charged to net income immediately. Subsequent changes in the measurement of the retroactive reinsurance contract are accounted for under a full retrospective method.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Accounting</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ceded reinsurance contracts, which management determines do not transfer significant insurance risk, are accounted for using the deposit method of accounting. The evaluation of the transfer of significant insurance risk involves an assessment of both timing risk and underwriting risk. Management may determine that a reinsurance contract does not transfer significant insurance risk if either underwriting risk or timing risk or both are not deemed to have been transferred. For those contracts that transfer only significant timing risk and do not transfer sufficient underwriting risk, a deposit asset is recorded equal to the initial cash outflow under the contract, which will then be offset by cash inflows received from the reinsurers. To the extent cash outflows are expected to differ from expected cash inflows, an accretion rate is established at inception of the contract based on actuarial estimates whereby the deposit accounting asset is increased/decreased to the estimated amount receivable over the contract term. The accretion of the deposit is based on the expected rate of return implied from the estimated cash inflows and outflows under the contract.</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Periodically, the Company reassesses the estimated ultimate receivable and the related expected rate of return on the deposit asset. The accretion of the deposit asset, including any changes in accretion resulting from changes in estimated cash flows, are reflected as part of investment income in the Company’s results of operations. Several reinsurance contracts require deposit accounting treatment due to not transferring sufficient underwriting risk. There were no reinsurance contracts that require deposit accounting treatment due to not transferring sufficient timing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Recoverables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Reinsurance recoverables are carried net of an allowance for credit losses. The allowance for credit losses represents the current estimate of expected credit losses. The Company develops a historical loss rate using the A.M. Best impairment rate and rating transition study which provides historical loss data of similarly rated reinsurance companies based on the expected duration of the receivables. The historical loss rate is adjusted for current conditions, reasonable and supportable forecasts and consideration of current economic conditions. Changes in the allowance for credit losses are recognized in underwriting, acquisition and insurance expenses on the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Reinsurance does not relieve the Company of its legal liability to its policyholders. The Company continuously monitors the financial condition of its reinsurers. As part of its monitoring efforts, the Company reviews the reinsurers’ annual financial statements. The Company also reviews insurance industry developments that may impact the financial condition of its reinsurers.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analyzes the credit risk associated with its reinsurance recoverables by monitoring the financial strength rating of its reinsurers from A.M. Best. It also assesses the adequacy of collateral obtained, where applicable. Should its reinsurers fail to fulfill their obligations, the Company has access to collateral from various reinsurers. As of December 31, 2023 and 2022, reinsurance collateral from reinsurers was $257.5 million and $253.9 million, respectively.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Reinsurance recoverables present potential exposures to individual reinsurers. Everest Reinsurance Co represented 20.4% and 28.2% of the Company’s reinsurance recoverable balances at December 31, 2023 and 2022, respectively, and was the only reinsurer that represented 10% or more of the Company’s reinsurance recoverable balances. Its financial strength rating from A.M. Best was A+ at December 31, 2023 and 2022.</w:t>
      </w:r>
    </w:p>
    <w:p>
      <w:pPr>
        <w:spacing w:after="0" w:line="64" w:lineRule="exact"/>
        <w:rPr>
          <w:sz w:val="20"/>
          <w:szCs w:val="20"/>
          <w:color w:val="auto"/>
        </w:rPr>
      </w:pPr>
    </w:p>
    <w:p>
      <w:pPr>
        <w:ind w:left="420" w:hanging="412"/>
        <w:spacing w:after="0"/>
        <w:tabs>
          <w:tab w:leader="none" w:pos="4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reinsurance recoverables, financial instruments that potentially subject us to concentrations of credit risk are primarily cash and cash equivalents, restricted cash, investments and premiums receivable.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equivalents and short-term investments include U.S. government securities and money market funds. Investments are diversified throughout many industries and geographic regions. The Company limits the amount of credit exposure with any one financial institution or issuer and believes no significant concentration of credit risk exists with respect to cash and investments. As of December 31, 2023 and 2022, outstanding premiums receivable are generally diversified due to the large number of entities comprising the Company’s customer base and their dispersion across many different lines of business and geographic regions. Failure by distribution sources to remit premiums could result in premium write-offs and a corresponding loss of income.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Policy acquisition costs consist of commissions and premium taxes that vary with and are directly related to the successful production of new or renewal business. The Company defers policy acquisition costs and related ceding commissions and charge or credit them to earnings in proportion with the premium earned over the life of the policy.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premium deficiency is recognized if the sum of expected losses, loss adjustment expenses, and unamortized acquisition costs exceed its related unearned premiums. The Company first recognizes a premium deficiency by charging any unamortized acquisition costs to expense to the extent required to eliminate the deficiency. If its premium deficiency is greater than unamortized acquisition costs, it accrues a liability for the excess deficiency. Anticipated investment income is considered in the determination of premium deficiencies. Management performed an analysis and determined no premium deficiency existed as of December 31, 2023 and 2022.</w:t>
      </w:r>
    </w:p>
    <w:p>
      <w:pPr>
        <w:spacing w:after="0" w:line="71" w:lineRule="exact"/>
        <w:rPr>
          <w:sz w:val="20"/>
          <w:szCs w:val="20"/>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Goodwill and Intangible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and intangible assets are recorded as a result of a business combination. Goodwill represents the excess of the purchase price over the fair value of the assets acquired and liabilities assumed. The Company reviews its purchase price allocation up to one year subsequent to an acquisition and may make adjustments within the one-year period. The Company amortizes identifiable intangible assets with a finite useful life over the period that the intangible asset is expected to contribute directly or indirectly to its future cash flows; however, it does not amortize indefinite lived intangible assets.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reviews goodwill and identifiable intangible assets for recoverability annually in the fourth quarter or on an interim basis should events or changes in circumstances indicate that a carrying amount may not be recoverable. Based upon this review, the Company did not have any goodwill impairment for the years ended December 31, 2023 and 2022.</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which is included in other assets on the consolidated balance sheets, is recorded at cost less accumulated depreciation.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recognized on a straight-line basis for financial statement purposes over periods ranging from three to seven years.</w:t>
      </w:r>
    </w:p>
    <w:p>
      <w:pPr>
        <w:spacing w:after="0" w:line="95"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Right-of-use (ROU) assets are included in other assets and lease liabilities are included in accounts payable and accrued liabilities on the consolidated balance sheets. For operating leases, the Company determines if a contract contains a lease at inception and recognizes the operating lease ROU assets and lease liabilities based on the present value of the future minimum lease payments at the commencement date. As the Company does not have the interest rate implicit in its leases, it uses its incremental borrowing rate based on the information available at the commencement date in determining the present value of future payments.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agreements may include options to extend or terminate. The options are exercised at the Company’s discretion and are included in operating lease liabilities if it is reasonably certain the option will be exercised. Lease agreements have lease and non-lease components, which are accounted for as a single lease component. Operating lease cost for future minimum lease payments is recognized on a straight-line basis over the lease term. Sublease income is recognized on a straight-line basis over the sublease term.</w:t>
      </w:r>
    </w:p>
    <w:p>
      <w:pPr>
        <w:spacing w:after="0" w:line="68"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Reserves for Losses and Loss Adjustment Expenses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Reserves for losses and loss adjustment expenses (“LAE”) represent the Company’s best estimate of the ultimate net cost of all reported and unreported losses that are unpaid as of the balance sheet dates. The estimates are based on certain actuarial and other assumptions related to the ultimate cost to settle such claims. Such assumptions are subject to occasional changes due to evolving economic, social and political conditions. Because of the nature of business the Company has historically written, management believes that it has limited exposure to environmental and other toxic tort type claim liabilities. All estimates are periodically reviewed and, as experience develops and new information becomes known, the reserves are adjusted as necessary. Such adjustments are reflected in the results of operations in the period in which they are determined. Due to the inherent uncertainty in estimating reserves for losses and settlement expenses, there can be no assurance that the ultimate liability will not exceed recorded amounts. If actual liabilities do exceed recorded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amounts, there will be an adverse effect. Furthermore, we may determine that recorded reserves are more than adequate to cover expected losses, which would lead to a reduction in our reserves.</w:t>
      </w:r>
    </w:p>
    <w:p>
      <w:pPr>
        <w:spacing w:after="0" w:line="50"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Premiums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earns and recognizes property and casualty and surety premiums on a pro-rata basis over the terms of the policies. The Company earns accident and health premiums as billed, based on census data. Gross premiums written are reduced by ceded premiums from proportional, facultative and excess of loss reinsurance costs for prospective reinsurance. Its premiums receivable includes deferred premiums, which represent installment payments the Company is due from insureds under the payment terms of their policies.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Premiums receivable are carried net of an allowance for credit losses. The allowance for credit losses represents the current estimate of expected credit losses. The Company develops a historical loss rate using historical write-offs and aging of receivables. This historical loss rate is adjusted for current conditions, reasonable and supportable forecasts and our ability to cancel coverage on a policy after premium is considered past due. Changes in the allowance for credit losses are recognized in underwriting, acquisition and insurance expenses on the consolidated statements of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Unearned premiums represent the portion of gross premiums written which is applicable to the unexpired terms of insurance policies or reinsurance contracts in force. Ceded unearned premiums represent the portion of ceded premiums written which is applicable to the unexpired terms of insurance policies or reinsurance contracts in force. These unearned premiums are calculated on a pro-rata basis over the terms of the policies for direct and ceded amounts.</w:t>
      </w:r>
    </w:p>
    <w:p>
      <w:pPr>
        <w:spacing w:after="0" w:line="68"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and Fee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SUA commission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SUA commission revenue is generated from the placement of insurance policies on reinsurance programs through a reinsurance broker which represents the Company’s single performance obligation. Its transaction price is fixed at contract inception and based on a percentage of premiums placed. The Company recognizes 100% of the transaction price as the associated performance obligation is satisfied at the point in time a policy is placed as it has no constraints on revenue.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SUA fee income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SUA fee income is generated from the placement of insurance policies with a third-party insurance company. The Company’s single performance obligation consists of the placement of the policy. Its transaction price is variable at contract inception and based on a percentage of premium based on risk factors that vary every month such as employee census data and worker roles. The Company estimates its transaction price over the life of the policy using the expected value method and recognizes revenue at the point in time the policy is placed. When there are changes in the estimate of variable consideration, it recognizes those changes in the month they occur.</w:t>
      </w:r>
    </w:p>
    <w:p>
      <w:pPr>
        <w:spacing w:after="0" w:line="71"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is accrued for the tax effects of transactions reported on the consolidated financial statements, and this provision for income taxes consists of taxes currently due plus deferred taxes resulting from temporary differences between amounts reported for financial statement and income tax purposes. A valuation allowance is established for any deferred tax asset not expected to be realized.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temporary differences are expected to be recovered or settled. The effect on deferred tax assets and liabilities from a change in tax rates is recognized in income in the period that includes the enactment date.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liability for uncertain tax positions is recorded where it is more likely-than-not that the tax position will not be sustained upon examination by the appropriate tax authority. Changes in the liability for uncertain tax positions are reflected in income tax expense in the period when a new uncertain tax position arises, judgment changes about the likelihood of an uncertainty, the tax issue is settled, or the statute of limitation expires. Any potential net interest income or expense and penalties related to uncertain tax positions are recorded on the Consolidated Statements of Operations.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in the United States and certain other state tax returns. Its admitted insurance subsidiaries pay premium taxes on gross written premiums in lieu of most state income or franchise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Premium tax expense is recognized within underwriting, acquisition and insurance expense on the Consolidated Statements of Operations.</w:t>
      </w:r>
    </w:p>
    <w:p>
      <w:pPr>
        <w:spacing w:after="0" w:line="113"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estimated for each class of financial instrument based on the framework established in the fair value accounting guidance. This guidance requires an entity to maximize the use of observable inputs and minimize the use of unobservable inputs when measuring fair value. Fair value hierarchy disclosures are based on the quality of inputs used to measure fair value. The hierarchy gives the highest priority to unadjusted quoted prices in active markets for identical assets or liabilities (Level 1 measurements) and the lowest priority to unobservable inputs (Level 3 measurements).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part of management’s process to determine fair value, the Company utilizes widely recognized, third-party pricing sources to determine the Company’s fair values of financial instruments. The Company has obtained an understanding of the third-party pricing sources’ valuation methodologies and inputs.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further details regarding fair value disclosures.</w:t>
      </w:r>
    </w:p>
    <w:p>
      <w:pPr>
        <w:spacing w:after="0" w:line="113"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expense the estimated fair value of employee stock options and similar awards. We measure compensation cost for awards of equity instruments to employees based on the grant-date fair value of those awards and recognize compensation expense over the service period that the awards are expected to vest. The tax effects related to share-based payments are made through net earnings. See note 18 for further discussion and related disclosures regarding stock-based compensation.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employee stock purchase plan (“ESPP”), offers all employees the option to purchase common stock at a discount. The Company recognizes compensation cost on a straight-line basis over the offering period.</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using the two-class method. Undistributed earnings are allocated to participating securities based on the extent to which each class may share in earnings as if all the earnings for the period have been distributed. Basic earnings per share is calculated by dividing net income attributable to common shareholders by the weighted-average number of common shares outstanding for the period. Common shares, when contingencies, such as vesting requirements, exist and have not been satisfied, are excluded from basic earnings per share.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common and preferred shares financed by stock notes are contingently issuable instruments where the holder must return, all or part of, the shares if the stock notes are not paid off. These instruments are excluded from basic and diluted earnings per share when the specified conditions are not met presuming the end of the period is the end of the contingency period. The impact of the contingently issuable instruments on diluted earnings per share was calculated using the treasury stock method and included in the reconciliation of the denominator of the basic and diluted earnings per share computations for the years ended December 31, 2023 and 2022.</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Instruments that are convertible into common shares are included in diluted weighted-average common shares outstanding on an if-converted basis based on the legal conversion rate for the respective period, if dilutive. Share-based awards to employees with only service conditions are included as potential common shares, weighted for the portion of the period they are unvested, if dilutive. Share-based awards to employees with performance and service or market conditions are included as potential common shares presuming the end of the period is the end of the contingency period, if dilutive.</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inclusion of common share adjustments increases the earnings per share or reduces the loss per share, the effect on earnings is anti-dilutive, and the diluted net earnings or net loss per share is computed excluding these common share equivalents.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Recent Accounting Pronouncements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elect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Adopted</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on Financial Instruments (Topic 326). ASU 2016-13 requires organizations to estimate credit losses on certain types of financial instruments, including receivables and available-for-sale debt securities, by introducing an approach based on expected losses. The expected loss approach will require entities to incorporate considerations of historical information, current information, and reasonable and supportable forecasts. The Company adopted ASU 2016-13 effective January 1, 2023 using the modified retrospective approach, by which a cumulative-effect adjustment was made to retained earnings as of the date of adoption. In connection with the adoption of ASU 2016-13, the Company elected the fair value option in accounting for mortgage loans effective January 1, 2023 as targeted transition relief. The adoption of ASU 2016-13 resulted in the Company recognizing an increase in the allowance for uncollectible reinsurance of $2.3 million and an increase, net of tax, in accumulated deficit of $2.3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(Topic 280). ASU 2023-07 requires segment disclosures for (i) significant segment expenses that are regularly provided to the chief operating decision maker (“CODM”), (ii) how the CODM uses the reported measure(s) of segment profitability in assessing segment performance and resource allocation and (iii) the title and position of the CODM. This update states that entities with a single reportable segment are required to provide full segment disclosures. The guidance is effective for fiscal years beginning after December 15, 2023, and interim periods within fiscal years beginning after December 15, 2024. This update is applied retrospectively to all prior periods presented. The Copmany is evaluating the effect of the amendments on its consolidated financial statements.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public companies, on an annual basis, provide enhanced rate reconciliation disclosures, including disclosures of specific categories and additional information that meet a quantitative threshold. This update also requires public companies to, among other things, disaggregate income taxes paid by federal, state and foreign taxes. The guidance is effective for fiscal years beginning after December 15, 2024. The Company is evaluating the effect of the amendments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Goodwill and Intangible Assets</w:t>
      </w:r>
    </w:p>
    <w:p>
      <w:pPr>
        <w:spacing w:after="0" w:line="121" w:lineRule="exact"/>
        <w:rPr>
          <w:rFonts w:ascii="Times New Roman" w:cs="Times New Roman" w:eastAsia="Times New Roman" w:hAnsi="Times New Roman"/>
          <w:sz w:val="18"/>
          <w:szCs w:val="18"/>
          <w:b w:val="1"/>
          <w:bCs w:val="1"/>
          <w:color w:val="231F20"/>
        </w:rPr>
      </w:pPr>
    </w:p>
    <w:p>
      <w:pPr>
        <w:ind w:left="34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The following tables set forth the carrying amount and changes in the balance of goodwill by reporting unit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Accident</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and Health</w:t>
            </w:r>
          </w:p>
        </w:tc>
        <w:tc>
          <w:tcPr>
            <w:tcW w:w="2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Surety</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Industry Solutions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7"/>
        </w:trPr>
        <w:tc>
          <w:tcPr>
            <w:tcW w:w="4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6"/>
              </w:rPr>
              <w:t>91,577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10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center"/>
              <w:ind w:left="315"/>
              <w:spacing w:after="0"/>
              <w:rPr>
                <w:sz w:val="20"/>
                <w:szCs w:val="20"/>
                <w:color w:val="auto"/>
              </w:rPr>
            </w:pPr>
            <w:r>
              <w:rPr>
                <w:rFonts w:ascii="Times New Roman" w:cs="Times New Roman" w:eastAsia="Times New Roman" w:hAnsi="Times New Roman"/>
                <w:sz w:val="18"/>
                <w:szCs w:val="18"/>
                <w:b w:val="1"/>
                <w:bCs w:val="1"/>
                <w:color w:val="auto"/>
              </w:rPr>
              <w:t>3,879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112,441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at December 31, 2022</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rPr>
              <w:t>(44,821)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w w:val="98"/>
              </w:rPr>
              <w:t>(1,886)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(46,707)</w:t>
            </w:r>
          </w:p>
        </w:tc>
        <w:tc>
          <w:tcPr>
            <w:tcW w:w="0" w:type="dxa"/>
            <w:vAlign w:val="bottom"/>
          </w:tcPr>
          <w:p>
            <w:pPr>
              <w:spacing w:after="0"/>
              <w:rPr>
                <w:sz w:val="1"/>
                <w:szCs w:val="1"/>
                <w:color w:val="auto"/>
              </w:rPr>
            </w:pPr>
          </w:p>
        </w:tc>
      </w:tr>
      <w:tr>
        <w:trPr>
          <w:trHeight w:val="264"/>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6"/>
              </w:rPr>
              <w:t>46,756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b w:val="1"/>
                <w:bCs w:val="1"/>
                <w:color w:val="auto"/>
              </w:rPr>
              <w:t>1,993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color w:val="auto"/>
              </w:rPr>
              <w:t>Accident</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and Health</w:t>
            </w:r>
          </w:p>
        </w:tc>
        <w:tc>
          <w:tcPr>
            <w:tcW w:w="26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Surety</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Industry Solutions</w:t>
            </w:r>
          </w:p>
        </w:tc>
        <w:tc>
          <w:tcPr>
            <w:tcW w:w="28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7"/>
                <w:szCs w:val="17"/>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7"/>
        </w:trPr>
        <w:tc>
          <w:tcPr>
            <w:tcW w:w="4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97"/>
              <w:spacing w:after="0"/>
              <w:rPr>
                <w:sz w:val="20"/>
                <w:szCs w:val="20"/>
                <w:color w:val="auto"/>
              </w:rPr>
            </w:pPr>
            <w:r>
              <w:rPr>
                <w:rFonts w:ascii="Times New Roman" w:cs="Times New Roman" w:eastAsia="Times New Roman" w:hAnsi="Times New Roman"/>
                <w:sz w:val="18"/>
                <w:szCs w:val="18"/>
                <w:color w:val="auto"/>
                <w:w w:val="96"/>
              </w:rPr>
              <w:t>91,577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at December 31, 2021</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(44,821)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8"/>
              </w:rPr>
              <w:t>(1,886)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w:t>
            </w:r>
          </w:p>
        </w:tc>
        <w:tc>
          <w:tcPr>
            <w:tcW w:w="0" w:type="dxa"/>
            <w:vAlign w:val="bottom"/>
          </w:tcPr>
          <w:p>
            <w:pPr>
              <w:spacing w:after="0"/>
              <w:rPr>
                <w:sz w:val="1"/>
                <w:szCs w:val="1"/>
                <w:color w:val="auto"/>
              </w:rPr>
            </w:pPr>
          </w:p>
        </w:tc>
      </w:tr>
      <w:tr>
        <w:trPr>
          <w:trHeight w:val="264"/>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6"/>
              </w:rPr>
              <w:t>46,756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carrying amount and changes in the balance of other intangible assets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Agent</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Relationships</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Non-competes</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Trademarks</w:t>
            </w:r>
          </w:p>
        </w:tc>
        <w:tc>
          <w:tcPr>
            <w:tcW w:w="24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Licenses</w:t>
            </w:r>
          </w:p>
        </w:tc>
        <w:tc>
          <w:tcPr>
            <w:tcW w:w="28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7"/>
        </w:trPr>
        <w:tc>
          <w:tcPr>
            <w:tcW w:w="46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40,693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at December 31, 2022</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(1,485)</w:t>
            </w:r>
          </w:p>
        </w:tc>
        <w:tc>
          <w:tcPr>
            <w:tcW w:w="0" w:type="dxa"/>
            <w:vAlign w:val="bottom"/>
          </w:tcPr>
          <w:p>
            <w:pPr>
              <w:spacing w:after="0"/>
              <w:rPr>
                <w:sz w:val="1"/>
                <w:szCs w:val="1"/>
                <w:color w:val="auto"/>
              </w:rPr>
            </w:pPr>
          </w:p>
        </w:tc>
      </w:tr>
      <w:tr>
        <w:trPr>
          <w:trHeight w:val="26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22,701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Agent</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Relationships</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Non-competes</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Trademarks</w:t>
            </w:r>
          </w:p>
        </w:tc>
        <w:tc>
          <w:tcPr>
            <w:tcW w:w="24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Licenses</w:t>
            </w:r>
          </w:p>
        </w:tc>
        <w:tc>
          <w:tcPr>
            <w:tcW w:w="28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7"/>
        </w:trPr>
        <w:tc>
          <w:tcPr>
            <w:tcW w:w="46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balance at December 31,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at December 31, 2021</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balance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indefinite lived intangible assets relate to insurance licenses and trademarks. Its finite lived intangible assets, which relate to policy renewals, agency relationships, within agent relationships, and non-compete/exclusivity agreements, within non-competes, have a weighted average useful life of approximately 15 years as of December 31,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$1.5 million in amortization expense for the years ended December 31, 2023 and 2022. The following table sets forth the estimated future net amortization expense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8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8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9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r>
      <w:tr>
        <w:trPr>
          <w:trHeight w:val="27"/>
        </w:trPr>
        <w:tc>
          <w:tcPr>
            <w:tcW w:w="9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r>
      <w:tr>
        <w:trPr>
          <w:trHeight w:val="27"/>
        </w:trPr>
        <w:tc>
          <w:tcPr>
            <w:tcW w:w="9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r>
      <w:tr>
        <w:trPr>
          <w:trHeight w:val="54"/>
        </w:trPr>
        <w:tc>
          <w:tcPr>
            <w:tcW w:w="9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Investments</w:t>
      </w:r>
    </w:p>
    <w:p>
      <w:pPr>
        <w:spacing w:after="0" w:line="121" w:lineRule="exact"/>
        <w:rPr>
          <w:rFonts w:ascii="Times New Roman" w:cs="Times New Roman" w:eastAsia="Times New Roman" w:hAnsi="Times New Roman"/>
          <w:sz w:val="18"/>
          <w:szCs w:val="18"/>
          <w:b w:val="1"/>
          <w:bCs w:val="1"/>
          <w:color w:val="231F20"/>
        </w:rPr>
      </w:pPr>
    </w:p>
    <w:p>
      <w:pPr>
        <w:ind w:left="34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The following tables set forth the amortized cost and the fair value of investments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8"/>
                <w:szCs w:val="18"/>
                <w:color w:val="auto"/>
              </w:rPr>
            </w:pPr>
          </w:p>
        </w:tc>
        <w:tc>
          <w:tcPr>
            <w:tcW w:w="10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3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8"/>
                <w:szCs w:val="18"/>
                <w:color w:val="auto"/>
              </w:rPr>
            </w:pPr>
          </w:p>
        </w:tc>
        <w:tc>
          <w:tcPr>
            <w:tcW w:w="10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3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Allowance for</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tcPr>
          <w:p>
            <w:pPr>
              <w:spacing w:after="0"/>
              <w:rPr>
                <w:sz w:val="20"/>
                <w:szCs w:val="20"/>
                <w:color w:val="auto"/>
              </w:rPr>
            </w:pPr>
          </w:p>
        </w:tc>
        <w:tc>
          <w:tcPr>
            <w:tcW w:w="10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Credit Losses</w:t>
            </w:r>
          </w:p>
        </w:tc>
        <w:tc>
          <w:tcPr>
            <w:tcW w:w="10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44,166</w:t>
            </w: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392,773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6,408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(15,761)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383,420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(6,143)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92,778</w:t>
            </w: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292,568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(14,498)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281,626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(1,926)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29,934</w:t>
            </w: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(3,504)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185,727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1,047,713</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(42,553)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spacing w:after="0"/>
              <w:rPr>
                <w:sz w:val="24"/>
                <w:szCs w:val="24"/>
                <w:color w:val="auto"/>
              </w:rPr>
            </w:pPr>
          </w:p>
        </w:tc>
        <w:tc>
          <w:tcPr>
            <w:tcW w:w="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(1,969)</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0" w:type="dxa"/>
            <w:vAlign w:val="bottom"/>
          </w:tcPr>
          <w:p>
            <w:pPr>
              <w:spacing w:after="0"/>
              <w:rPr>
                <w:sz w:val="1"/>
                <w:szCs w:val="1"/>
                <w:color w:val="auto"/>
              </w:rPr>
            </w:pPr>
          </w:p>
        </w:tc>
      </w:tr>
      <w:tr>
        <w:trPr>
          <w:trHeight w:val="237"/>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43,315</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(1,969)</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Gross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Gross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Amortized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Unrealized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Cost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Gains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Losses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50,416</w:t>
            </w:r>
          </w:p>
        </w:tc>
        <w:tc>
          <w:tcPr>
            <w:tcW w:w="840" w:type="dxa"/>
            <w:vAlign w:val="bottom"/>
            <w:tcBorders>
              <w:bottom w:val="single" w:sz="8" w:color="CCEEFF"/>
            </w:tcBorders>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48,541</w:t>
            </w: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255,116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65,836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57,727</w:t>
            </w: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134,844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40,129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116,275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109,824</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662,616</w:t>
            </w:r>
          </w:p>
        </w:tc>
        <w:tc>
          <w:tcPr>
            <w:tcW w:w="84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5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52,467</w:t>
            </w:r>
          </w:p>
        </w:tc>
        <w:tc>
          <w:tcPr>
            <w:tcW w:w="840" w:type="dxa"/>
            <w:vAlign w:val="bottom"/>
            <w:tcBorders>
              <w:bottom w:val="single" w:sz="8" w:color="CCEEFF"/>
            </w:tcBorders>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0" w:type="dxa"/>
            <w:vAlign w:val="bottom"/>
          </w:tcPr>
          <w:p>
            <w:pPr>
              <w:spacing w:after="0"/>
              <w:rPr>
                <w:sz w:val="1"/>
                <w:szCs w:val="1"/>
                <w:color w:val="auto"/>
              </w:rPr>
            </w:pPr>
          </w:p>
        </w:tc>
      </w:tr>
      <w:tr>
        <w:trPr>
          <w:trHeight w:val="236"/>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52,467</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fixed maturity securities, available for sale, at December 31, 2023 by contractual maturity are shown below. 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280,212</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159,863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49,771</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311,560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185,727</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1,047,713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 to maturity, at December 31, 2023 consist entirely of asset backed securities that are not due at a single maturity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gross unrealized losses and the corresponding fair values of investments, aggregated by length of time that individual securities have been in a continuous unrealized loss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Pr>
          <w:p>
            <w:pPr>
              <w:spacing w:after="0"/>
              <w:rPr>
                <w:sz w:val="16"/>
                <w:szCs w:val="16"/>
                <w:color w:val="auto"/>
              </w:rPr>
            </w:pPr>
          </w:p>
        </w:tc>
        <w:tc>
          <w:tcPr>
            <w:tcW w:w="24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color w:val="auto"/>
              </w:rPr>
              <w:t>Gross</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color w:val="auto"/>
              </w:rPr>
              <w:t>Gross</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14"/>
              <w:spacing w:after="0" w:line="160" w:lineRule="exact"/>
              <w:rPr>
                <w:sz w:val="20"/>
                <w:szCs w:val="20"/>
                <w:color w:val="auto"/>
              </w:rPr>
            </w:pPr>
            <w:r>
              <w:rPr>
                <w:rFonts w:ascii="Times New Roman" w:cs="Times New Roman" w:eastAsia="Times New Roman" w:hAnsi="Times New Roman"/>
                <w:sz w:val="14"/>
                <w:szCs w:val="14"/>
                <w:color w:val="auto"/>
              </w:rPr>
              <w:t>Gross</w:t>
            </w:r>
          </w:p>
        </w:tc>
        <w:tc>
          <w:tcPr>
            <w:tcW w:w="0" w:type="dxa"/>
            <w:vAlign w:val="bottom"/>
          </w:tcPr>
          <w:p>
            <w:pPr>
              <w:spacing w:after="0"/>
              <w:rPr>
                <w:sz w:val="1"/>
                <w:szCs w:val="1"/>
                <w:color w:val="auto"/>
              </w:rPr>
            </w:pPr>
          </w:p>
        </w:tc>
      </w:tr>
      <w:tr>
        <w:trPr>
          <w:trHeight w:val="175"/>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8"/>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tcPr>
          <w:p>
            <w:pPr>
              <w:spacing w:after="0"/>
              <w:rPr>
                <w:sz w:val="16"/>
                <w:szCs w:val="16"/>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37"/>
        </w:trPr>
        <w:tc>
          <w:tcPr>
            <w:tcW w:w="3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0" w:type="dxa"/>
            <w:vAlign w:val="bottom"/>
          </w:tcPr>
          <w:p>
            <w:pPr>
              <w:spacing w:after="0"/>
              <w:rPr>
                <w:sz w:val="1"/>
                <w:szCs w:val="1"/>
                <w:color w:val="auto"/>
              </w:rPr>
            </w:pP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174,947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(15,761)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64,084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(6,143)</w:t>
            </w:r>
          </w:p>
        </w:tc>
        <w:tc>
          <w:tcPr>
            <w:tcW w:w="0" w:type="dxa"/>
            <w:vAlign w:val="bottom"/>
          </w:tcPr>
          <w:p>
            <w:pPr>
              <w:spacing w:after="0"/>
              <w:rPr>
                <w:sz w:val="1"/>
                <w:szCs w:val="1"/>
                <w:color w:val="auto"/>
              </w:rPr>
            </w:pP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103,495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141,129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w:t>
            </w:r>
          </w:p>
        </w:tc>
        <w:tc>
          <w:tcPr>
            <w:tcW w:w="0" w:type="dxa"/>
            <w:vAlign w:val="bottom"/>
          </w:tcPr>
          <w:p>
            <w:pPr>
              <w:spacing w:after="0"/>
              <w:rPr>
                <w:sz w:val="1"/>
                <w:szCs w:val="1"/>
                <w:color w:val="auto"/>
              </w:rPr>
            </w:pP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103,140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(3,504)</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441,858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563,220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(42,553)</w:t>
            </w:r>
          </w:p>
        </w:tc>
        <w:tc>
          <w:tcPr>
            <w:tcW w:w="0" w:type="dxa"/>
            <w:vAlign w:val="bottom"/>
          </w:tcPr>
          <w:p>
            <w:pPr>
              <w:spacing w:after="0"/>
              <w:rPr>
                <w:sz w:val="1"/>
                <w:szCs w:val="1"/>
                <w:color w:val="auto"/>
              </w:rPr>
            </w:pPr>
          </w:p>
        </w:tc>
      </w:tr>
      <w:tr>
        <w:trPr>
          <w:trHeight w:val="261"/>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0" w:type="dxa"/>
            <w:vAlign w:val="bottom"/>
          </w:tcPr>
          <w:p>
            <w:pPr>
              <w:spacing w:after="0"/>
              <w:rPr>
                <w:sz w:val="1"/>
                <w:szCs w:val="1"/>
                <w:color w:val="auto"/>
              </w:rPr>
            </w:pPr>
          </w:p>
        </w:tc>
      </w:tr>
      <w:tr>
        <w:trPr>
          <w:trHeight w:val="234"/>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121,362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482,875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604,237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791210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Pr>
          <w:p>
            <w:pPr>
              <w:spacing w:after="0"/>
              <w:rPr>
                <w:sz w:val="16"/>
                <w:szCs w:val="16"/>
                <w:color w:val="auto"/>
              </w:rPr>
            </w:pPr>
          </w:p>
        </w:tc>
        <w:tc>
          <w:tcPr>
            <w:tcW w:w="24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Gross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Gross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rPr>
              <w:t>Gross</w:t>
            </w:r>
          </w:p>
        </w:tc>
        <w:tc>
          <w:tcPr>
            <w:tcW w:w="0" w:type="dxa"/>
            <w:vAlign w:val="bottom"/>
          </w:tcPr>
          <w:p>
            <w:pPr>
              <w:spacing w:after="0"/>
              <w:rPr>
                <w:sz w:val="1"/>
                <w:szCs w:val="1"/>
                <w:color w:val="auto"/>
              </w:rPr>
            </w:pPr>
          </w:p>
        </w:tc>
      </w:tr>
      <w:tr>
        <w:trPr>
          <w:trHeight w:val="176"/>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tcPr>
          <w:p>
            <w:pPr>
              <w:spacing w:after="0"/>
              <w:rPr>
                <w:sz w:val="15"/>
                <w:szCs w:val="15"/>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8"/>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3"/>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0" w:type="dxa"/>
            <w:vAlign w:val="bottom"/>
          </w:tcPr>
          <w:p>
            <w:pPr>
              <w:spacing w:after="0"/>
              <w:rPr>
                <w:sz w:val="1"/>
                <w:szCs w:val="1"/>
                <w:color w:val="auto"/>
              </w:rPr>
            </w:pP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408,939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552,669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599,440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As of December 31, 2023, the Company has 584 lots of fixed maturity securities in an unrealized loss position. The Company does not have an intent to sell these securities and it is not more likely than not that the Company will be required to sell these securities before maturity or recovery of its cost basis. The Company determined that no credit impairment existed in the gross unrealized holding losses because the credit ratings of these securities were consistent with the credit ratings when purchased and/or at origination, there were no adverse changes in financial condition of the issuer and no adverse credit quality events in underlying assets. The Company attributed the unrealized losses to the changes in interest rates.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gains (losses)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(15,705)</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8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debt and equity securities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37,177</w:t>
            </w:r>
          </w:p>
        </w:tc>
      </w:tr>
      <w:tr>
        <w:trPr>
          <w:trHeight w:val="81"/>
        </w:trPr>
        <w:tc>
          <w:tcPr>
            <w:tcW w:w="9660" w:type="dxa"/>
            <w:vAlign w:val="bottom"/>
            <w:tcBorders>
              <w:bottom w:val="single" w:sz="8" w:color="auto"/>
            </w:tcBorders>
            <w:gridSpan w:val="3"/>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398"/>
        </w:trPr>
        <w:tc>
          <w:tcPr>
            <w:tcW w:w="9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years ended December 31, 2023 and 2022: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8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34,703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loans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r>
      <w:tr>
        <w:trPr>
          <w:trHeight w:val="26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gains (losses) on the Company’s investment portfolio, net of deferred income taxes, included in other comprehensive income (loss)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25,952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(60,918)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(5,420)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12,793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20,532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(48,125)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Various state regulations require the Company to maintain cash, investment securities or letters of credit on deposit with the states in a depository account. At December 31, 2023 and 2022, cash and investment securities on deposit had fair values of approximately $62.3 million and $60.2 million, respectively.</w:t>
      </w:r>
    </w:p>
    <w:p>
      <w:pPr>
        <w:spacing w:after="0" w:line="64"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2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90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3.25 %</w:t>
            </w:r>
          </w:p>
        </w:tc>
      </w:tr>
      <w:tr>
        <w:trPr>
          <w:trHeight w:val="27"/>
        </w:trPr>
        <w:tc>
          <w:tcPr>
            <w:tcW w:w="90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7.05 %</w:t>
            </w:r>
          </w:p>
        </w:tc>
      </w:tr>
      <w:tr>
        <w:trPr>
          <w:trHeight w:val="54"/>
        </w:trPr>
        <w:tc>
          <w:tcPr>
            <w:tcW w:w="90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investments within the fair value hierarchy at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44,166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44,166</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383,420</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92,778</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281,626</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29,934</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185,727</w:t>
            </w:r>
          </w:p>
        </w:tc>
      </w:tr>
      <w:tr>
        <w:trPr>
          <w:trHeight w:val="237"/>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44,166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973,485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r>
      <w:tr>
        <w:trPr>
          <w:trHeight w:val="27"/>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r>
      <w:tr>
        <w:trPr>
          <w:trHeight w:val="27"/>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discretionary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staples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14,015</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24,267</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12,170</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technology</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5,192</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Materials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3,782</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2,499</w:t>
            </w:r>
          </w:p>
        </w:tc>
      </w:tr>
      <w:tr>
        <w:trPr>
          <w:trHeight w:val="27"/>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common stocks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67,425</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staples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5,061</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r>
      <w:tr>
        <w:trPr>
          <w:trHeight w:val="27"/>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preferred stocks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7,358</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5,405</w:t>
            </w:r>
          </w:p>
        </w:tc>
      </w:tr>
      <w:tr>
        <w:trPr>
          <w:trHeight w:val="24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37,546</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r>
      <w:tr>
        <w:trPr>
          <w:trHeight w:val="237"/>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mutual funds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43,466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43,466</w:t>
            </w:r>
          </w:p>
        </w:tc>
      </w:tr>
      <w:tr>
        <w:trPr>
          <w:trHeight w:val="27"/>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110,891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118,249</w:t>
            </w: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r>
      <w:tr>
        <w:trPr>
          <w:trHeight w:val="27"/>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270,226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270,226</w:t>
            </w: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425,283</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980,843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1,497,213</w:t>
            </w:r>
          </w:p>
        </w:tc>
      </w:tr>
      <w:tr>
        <w:trPr>
          <w:trHeight w:val="81"/>
        </w:trPr>
        <w:tc>
          <w:tcPr>
            <w:tcW w:w="59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791210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48,541</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235,129</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57,727</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119,856</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36,495</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109,824</w:t>
            </w:r>
          </w:p>
        </w:tc>
      </w:tr>
      <w:tr>
        <w:trPr>
          <w:trHeight w:val="237"/>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48,541</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607,572</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46,771</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discretionary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staples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technology</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Materials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common stocks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55,996</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staples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preferred stocks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49,773</w:t>
            </w: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7"/>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mutual funds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55,402</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120,169</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52,842</w:t>
            </w: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121,158</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281,097</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948,512</w:t>
            </w:r>
          </w:p>
        </w:tc>
      </w:tr>
      <w:tr>
        <w:trPr>
          <w:trHeight w:val="81"/>
        </w:trPr>
        <w:tc>
          <w:tcPr>
            <w:tcW w:w="5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changes in the fair value of instruments carried at fair value with a Level 3 measurement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Mortgage Loans</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52,842</w:t>
            </w:r>
          </w:p>
        </w:tc>
        <w:tc>
          <w:tcPr>
            <w:tcW w:w="0" w:type="dxa"/>
            <w:vAlign w:val="bottom"/>
          </w:tcPr>
          <w:p>
            <w:pPr>
              <w:spacing w:after="0"/>
              <w:rPr>
                <w:sz w:val="1"/>
                <w:szCs w:val="1"/>
                <w:color w:val="auto"/>
              </w:rPr>
            </w:pPr>
          </w:p>
        </w:tc>
      </w:tr>
      <w:tr>
        <w:trPr>
          <w:trHeight w:val="243"/>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27,642</w:t>
            </w:r>
          </w:p>
        </w:tc>
        <w:tc>
          <w:tcPr>
            <w:tcW w:w="0" w:type="dxa"/>
            <w:vAlign w:val="bottom"/>
          </w:tcPr>
          <w:p>
            <w:pPr>
              <w:spacing w:after="0"/>
              <w:rPr>
                <w:sz w:val="1"/>
                <w:szCs w:val="1"/>
                <w:color w:val="auto"/>
              </w:rPr>
            </w:pPr>
          </w:p>
        </w:tc>
      </w:tr>
      <w:tr>
        <w:trPr>
          <w:trHeight w:val="243"/>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(30,029)</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480" w:type="dxa"/>
            <w:vAlign w:val="bottom"/>
            <w:vMerge w:val="continue"/>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0" w:type="dxa"/>
            <w:vAlign w:val="bottom"/>
          </w:tcPr>
          <w:p>
            <w:pPr>
              <w:spacing w:after="0"/>
              <w:rPr>
                <w:sz w:val="1"/>
                <w:szCs w:val="1"/>
                <w:color w:val="auto"/>
              </w:rPr>
            </w:pPr>
          </w:p>
        </w:tc>
      </w:tr>
      <w:tr>
        <w:trPr>
          <w:trHeight w:val="23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2023, the Company determined the fair value of these instruments using the income approach utilizing inputs that are unobservable (Level 3).</w:t>
      </w:r>
    </w:p>
    <w:p>
      <w:pPr>
        <w:spacing w:after="0" w:line="6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two debt instruments, the Junior Subordinated Interest Debentures, due September 15, 2036,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Subordinated Notes, due May 24, 2039. The carrying value of the Junior Subordinated Interest Debentures approximates the estimated fair value as the instrument accrues interest at current market rates plus a spread. Unsecured Subordinated Notes have a fixed interest rate. The Company determines the fair value of these instruments using the income approach utilizing inputs that are observable (Level 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0"/>
                <w:szCs w:val="20"/>
                <w:color w:val="auto"/>
              </w:rPr>
            </w:pPr>
          </w:p>
        </w:tc>
        <w:tc>
          <w:tcPr>
            <w:tcW w:w="27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7"/>
        </w:trPr>
        <w:tc>
          <w:tcPr>
            <w:tcW w:w="5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Fair</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Pr>
          <w:p>
            <w:pPr>
              <w:spacing w:after="0"/>
              <w:rPr>
                <w:sz w:val="18"/>
                <w:szCs w:val="18"/>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7"/>
        </w:trPr>
        <w:tc>
          <w:tcPr>
            <w:tcW w:w="5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interest debentures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59,186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59,794</w:t>
            </w:r>
          </w:p>
        </w:tc>
      </w:tr>
      <w:tr>
        <w:trPr>
          <w:trHeight w:val="27"/>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w:t>
            </w:r>
          </w:p>
        </w:tc>
      </w:tr>
      <w:tr>
        <w:trPr>
          <w:trHeight w:val="26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78,690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81,172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78,728</w:t>
            </w:r>
          </w:p>
        </w:tc>
      </w:tr>
      <w:tr>
        <w:trPr>
          <w:trHeight w:val="21"/>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exempt from fair value disclosure requirements.</w:t>
      </w:r>
    </w:p>
    <w:p>
      <w:pPr>
        <w:spacing w:after="0" w:line="113"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Mortgage Loans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managed by Arena Investors, LP (“Arena”), which is affiliated with The Westaim Corporation (“Westaim”) who is the Company’s largest stockholder. As of December 31, 2023 and 2022, the Company held direct investments in mortgage loans from various creditors through SMA1 and SMA2.</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mature in approximately 1 to 3 years from loan origination and the principal amounts of the loans range between 61% to 90% of the property’s appraised value at the time the loans were made. Mortgage loan participations are carried at fair value as of December 31, 2023 and cost adjusted for unamortized premiums, discounts, and loan fees as of December 31, 2022.</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Company’s mortgage loans as of December 31,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gross investment income for the years ended December 31, 2023 and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8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for the years ended December 31, 2023 and 2022.</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approximately $7.1 million and $6.4 million of mortgage loans, respectively, were in the process of foreclosure.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$6.8 million of mortgage loans were not producing income for the previous 12 months.</w:t>
      </w:r>
    </w:p>
    <w:p>
      <w:pPr>
        <w:spacing w:after="0" w:line="95"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Other Long-Term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Subsidiaries - Equity Method Investments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ownership interests in most of its equity method investments range from approximately 3% to less than 50% where the Company has significant influence but not control.</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owns investment products issued by Arena Special Opportunities Partners (Feeder) I, LP (“Arena SOP”), managed by Arena, which is affiliated with Westaim. The investment products include senior and junior notes issued by the Arena SOP to raise capital from limited partners to fund purchases of investments. The return on the investments is used to pay interest on the senior and junior notes based on target returns of each class. The senior and junior notes are debt securities classified as held to maturity and presented on the balance sheet within fixed maturity securities, held to maturity. Income in excess of return targets on the senior and junior notes is allocated to the investment in Arena SOP.</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entered into an agreement for limited partnership interests in Brewer Lane Ventures Fund II, L.P. During the years ended December 31, 2023 and 2022, the Company invested $0.4 million and $0.2 million, respectively, in Brewer Lane Ventures Fund II, L.P. and $0.9 million and $1.3 million, respectively, in Hudson Ventures Fund 2, LP.</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equity method investments at December 31, 2023 and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41,046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44,504</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20,061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 Black Swan LP units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74,628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3"/>
        </w:trPr>
        <w:tc>
          <w:tcPr>
            <w:tcW w:w="101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Equity in (loss) income from unconsolidated subsidiaries for the years ended December 31, 2023 and 2022 is summarized as follows:</w:t>
            </w:r>
          </w:p>
        </w:tc>
        <w:tc>
          <w:tcPr>
            <w:tcW w:w="1100" w:type="dxa"/>
            <w:vAlign w:val="bottom"/>
          </w:tcPr>
          <w:p>
            <w:pPr>
              <w:spacing w:after="0"/>
              <w:rPr>
                <w:sz w:val="24"/>
                <w:szCs w:val="24"/>
                <w:color w:val="auto"/>
              </w:rPr>
            </w:pPr>
          </w:p>
        </w:tc>
      </w:tr>
      <w:tr>
        <w:trPr>
          <w:trHeight w:val="135"/>
        </w:trPr>
        <w:tc>
          <w:tcPr>
            <w:tcW w:w="8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 Black Swan LP units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80"/>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unfunded commitment of equity method investments at December 31, 2023 and 2022 is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8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37"/>
        </w:trPr>
        <w:tc>
          <w:tcPr>
            <w:tcW w:w="8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5,844</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which is amortized over a 15-year useful life.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recorded investment in RISCOM compared to its share of underlying equity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6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4,121</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amortizes the difference in net assets in JVM Funds LLC over the 7-year estimated useful life of the investment in rental properties.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recorded investment in JVM Funds LLC compared to its share of underlying equity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Subsidiaries - Investment in Bank Holding Companies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carries a $2.0 million investment in Captex Bancshares, a Texas bank holding company, at cost, less impairment or observable changes in price. The Company does not have significant influence over the investee. The Company reviews these investments for impairment or observable changes in price during each reporting period. There was no impairment or observable change in price during the years ended December 31, 2023 and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Subsidiaries - Investment in Indirect Loans and Loan Collateral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 Company held indirect investments in collateralized loans and loan collateral through SMA1 and SMA2.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December 31, 2023 and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Subsidiaries - Investment in Trust</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carries its investment in the common stock of the Delos Capital Trust n/k/a HIIG Capital Trust I (“Trust”) at cost. The Company does not have significant influence over the investee. There was no impairment or observable change in price during the years ended ended December 31, 2023 and 2022.</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further information on the Trust.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Allowance for Credit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Receivable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the allowance for expected credit losses on premiums receivable for the year ended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Allowance for Estimated</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60" w:type="dxa"/>
            <w:vAlign w:val="bottom"/>
          </w:tcPr>
          <w:p>
            <w:pPr>
              <w:spacing w:after="0"/>
              <w:rPr>
                <w:sz w:val="20"/>
                <w:szCs w:val="20"/>
                <w:color w:val="auto"/>
              </w:rPr>
            </w:pPr>
          </w:p>
        </w:tc>
        <w:tc>
          <w:tcPr>
            <w:tcW w:w="2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Uncollectible Premiums</w:t>
            </w:r>
          </w:p>
        </w:tc>
      </w:tr>
      <w:tr>
        <w:trPr>
          <w:trHeight w:val="27"/>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139,215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w:t>
            </w:r>
          </w:p>
        </w:tc>
      </w:tr>
      <w:tr>
        <w:trPr>
          <w:trHeight w:val="24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effect of adoption of ASU 2016-13 at January 1, 2023</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premiums</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r>
      <w:tr>
        <w:trPr>
          <w:trHeight w:val="24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 of uncollectible premiums receivable</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6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179,235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Recoverables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analyzes the credit risk associated with its reinsurance recoverables by monitoring the financial strength rating of its reinsurers from A.M. Best, a widely recognized rating agency with an exclusive insurance industry focus. The Company assesses the financial strength rating annually and throughout the year as A.M. Best provides updates on ratings and outlooks. The Company assesses the adequacy of various forms of credit enhancements such as reinsurance payables, letters of credit and funds held. The following table sets forth the Company’s reinsurance recoverables net of credit enhancements by A.M. Best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 Best Rating</w:t>
            </w:r>
          </w:p>
        </w:tc>
        <w:tc>
          <w:tcPr>
            <w:tcW w:w="2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90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and above</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98.5 %</w:t>
            </w:r>
          </w:p>
        </w:tc>
      </w:tr>
      <w:tr>
        <w:trPr>
          <w:trHeight w:val="243"/>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 to B+</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7"/>
        </w:trPr>
        <w:tc>
          <w:tcPr>
            <w:tcW w:w="90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 to B -</w:t>
            </w:r>
          </w:p>
        </w:tc>
        <w:tc>
          <w:tcPr>
            <w:tcW w:w="2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rated</w:t>
            </w: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0.8</w:t>
            </w:r>
          </w:p>
        </w:tc>
      </w:tr>
      <w:tr>
        <w:trPr>
          <w:trHeight w:val="81"/>
        </w:trPr>
        <w:tc>
          <w:tcPr>
            <w:tcW w:w="90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reinsurance balances to be past due when they are 90 days past due. The following table sets forth the changes in the allowance for estimated uncollectible reinsurance for the year ended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Reinsurance Recoverables,</w:t>
            </w:r>
          </w:p>
        </w:tc>
        <w:tc>
          <w:tcPr>
            <w:tcW w:w="240" w:type="dxa"/>
            <w:vAlign w:val="bottom"/>
          </w:tcPr>
          <w:p>
            <w:pPr>
              <w:spacing w:after="0"/>
              <w:rPr>
                <w:sz w:val="18"/>
                <w:szCs w:val="18"/>
                <w:color w:val="auto"/>
              </w:rPr>
            </w:pPr>
          </w:p>
        </w:tc>
        <w:tc>
          <w:tcPr>
            <w:tcW w:w="2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Allowance for Estimated</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w:t>
            </w:r>
          </w:p>
        </w:tc>
        <w:tc>
          <w:tcPr>
            <w:tcW w:w="240" w:type="dxa"/>
            <w:vAlign w:val="bottom"/>
          </w:tcPr>
          <w:p>
            <w:pPr>
              <w:spacing w:after="0"/>
              <w:rPr>
                <w:sz w:val="20"/>
                <w:szCs w:val="20"/>
                <w:color w:val="auto"/>
              </w:rPr>
            </w:pP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Uncollectible Reinsurance</w:t>
            </w:r>
          </w:p>
        </w:tc>
      </w:tr>
      <w:tr>
        <w:trPr>
          <w:trHeight w:val="27"/>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581,359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effect of adoption of ASU 2016-13 at January 1, 2023</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 change for estimated uncollectible reinsurance</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 of uncollectible reinsurance recoverables</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596,334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Property and Equipment</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property and equipment as of December 31, 2023 and 2022, which are included within other assets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25,964</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35,903</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(27,229)</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$3.2 million and $3.6 million for the years ended December 31, 2023 and 2022, respectively.</w:t>
      </w:r>
    </w:p>
    <w:p>
      <w:pPr>
        <w:spacing w:after="0" w:line="50"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 contract contains a lease at inception and recognizes a right-of-use asset, within other assets, and lease liability, within accounts payable and accrued liabilities, based on the present value of future lease payments. In cases where its leases do not provide an implicit interest rate, the Company uses its incremental borrowing rate based on the information available on the inception date to determine the lease liability.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leases are primarily for office facilities which have been classified as operating leases. Its leases have remaining lease terms ranging from 1 to 6 years, some of which include options to extend the leases. Lease expense for the years ended December 31, 2023 and 2022 was $2.8 million and $2.6 million, respectively.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provide information regarding the Company’s leases as of and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4,905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8,214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5,228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8,616</w:t>
            </w: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remaining lease term</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4.55 years</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years</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discount rate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r>
      <w:tr>
        <w:trPr>
          <w:trHeight w:val="81"/>
        </w:trPr>
        <w:tc>
          <w:tcPr>
            <w:tcW w:w="79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209"/>
        </w:trPr>
        <w:tc>
          <w:tcPr>
            <w:tcW w:w="7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2,583</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expense</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2,767</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6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2,636</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0"/>
        </w:trPr>
        <w:tc>
          <w:tcPr>
            <w:tcW w:w="7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future minimum lease payment obligations of the Company’s operating leases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1,204</w:t>
            </w:r>
          </w:p>
        </w:tc>
      </w:tr>
      <w:tr>
        <w:trPr>
          <w:trHeight w:val="27"/>
        </w:trPr>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w:t>
            </w:r>
          </w:p>
        </w:tc>
      </w:tr>
      <w:tr>
        <w:trPr>
          <w:trHeight w:val="27"/>
        </w:trPr>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6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r>
      <w:tr>
        <w:trPr>
          <w:trHeight w:val="243"/>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r>
      <w:tr>
        <w:trPr>
          <w:trHeight w:val="27"/>
        </w:trPr>
        <w:tc>
          <w:tcPr>
            <w:tcW w:w="4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5,784</w:t>
            </w:r>
          </w:p>
        </w:tc>
      </w:tr>
      <w:tr>
        <w:trPr>
          <w:trHeight w:val="243"/>
        </w:trPr>
        <w:tc>
          <w:tcPr>
            <w:tcW w:w="8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r>
      <w:tr>
        <w:trPr>
          <w:trHeight w:val="27"/>
        </w:trPr>
        <w:tc>
          <w:tcPr>
            <w:tcW w:w="4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5,228</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53"/>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Subordinated Debt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4"/>
        </w:trPr>
        <w:tc>
          <w:tcPr>
            <w:tcW w:w="8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subordinated debt as of December 31, 2023 and 2022: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8200" w:type="dxa"/>
            <w:vAlign w:val="bottom"/>
            <w:tcBorders>
              <w:bottom w:val="single" w:sz="8" w:color="auto"/>
            </w:tcBorders>
            <w:gridSpan w:val="3"/>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interest debentures, due September 15, 2036, payable quarterly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59,794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59,794</w:t>
            </w:r>
          </w:p>
        </w:tc>
      </w:tr>
      <w:tr>
        <w:trPr>
          <w:trHeight w:val="27"/>
        </w:trPr>
        <w:tc>
          <w:tcPr>
            <w:tcW w:w="820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43"/>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subordinated notes, due May 24, 2039, interest payable quarterly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3"/>
        </w:trPr>
        <w:tc>
          <w:tcPr>
            <w:tcW w:w="8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7"/>
        </w:trPr>
        <w:tc>
          <w:tcPr>
            <w:tcW w:w="820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78,690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78,609</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2019, the Company entered into an agreement to issue unsecured subordinated notes (the “Notes”) with an aggregate principal amount of $20.0 million. Interest on the Notes is fixed at 7.25% for the first 8 years and fixed at 8.25% thereafter. Early retirement of the debt ahead of 8 year commitment requires all interest payments to be paid in full as well as the return of outstanding principal. Principal is due at maturity on May 24, 2039 and interest is payable quarterly. The Notes have junior priority to all previously issued debt. The Company reports debt related to the Notes in its December 31, 2023 and 2022 consolidated balance sheets, net of debt issuance costs of approximately $0.5 million. These deferred financing costs are presented as a direct deduction from the carrying amount of the subordinated debt.</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 2006, the Trust issued $58.0 million of fixed/floating rate capital securities guaranteed by us. The Trust also issued us $1.8 million of common stock, classified within other long-term investments. The Company has not consolidated the Trust as it does not meet the criteria for consolidation and the Company does not have significant influence over the investee. The Company carries its investment in the common stock of the Trust at cost. There was no impairment or observable change in price during the year ended December 31, 2023.</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sole asset of the Trust consists of Fixed/Floating Rate Junior Subordinated Deferrable Interest Debentures (the “Debentures”) with a principal amount of $59.8 million issued by the Company. The Debentures are an unsecured obligation that are currently redeemable, and have a maturity date of September 15, 2036. Interest on the Debentures is payable quarterly at an annual rate based on the three-month LIBOR (5.59% and 4.77% at December 31, 2023 and 2022, respectively) plus 3.4%. The Company reflects debt related to the Debentures in its December 31, 2023 and 2022 consolidated balance sheets, net of debt issuance costs of approximately $0.6 million and $0.7 million, respectively. These deferred financing costs are presented as a direct deduction from the carrying amount of the subordinated debt.</w:t>
      </w:r>
    </w:p>
    <w:p>
      <w:pPr>
        <w:spacing w:after="0" w:line="75"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Notes Payable</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an agreement to obtain a new unsecured revolving credit facility (the “Revolving Credit Facility”) with a syndicate of participating banks during the first quarter of 2023. The Revolving Credit Facility provided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with up to $150.0 million, with an accordion that can increase the capacity by $50.0 million, and a letter of credit sub-facility of up to $30.0 million.</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drew $50.0 million on the Revolving Credit Facility and used the proceeds to pay off the principal on its existing term loan. The Company subsequently terminated the existing term loan and revolving line of credit.</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At December 31, 2023, the six-month SOFR on the Revolving Credit Facility was 5.47%, plus a margin of 1.60%.</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interest rate on the term loan was the one-month LIBOR (4.39% on December 31, 2022) plus the “Applicable Margin,” which was defined as 1.65%. The revolving line of credit included a fee of 0.25% on the unused portion.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interest payments on the Company’s notes payable during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on terminated term loan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revolving credit facility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1"/>
        </w:trPr>
        <w:tc>
          <w:tcPr>
            <w:tcW w:w="8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subject to covenants on the Revolving Credit Facility based on minimum net worth, maximum debt to capital ratio, minimum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Rating and minimum liquidity. As of December 31, 2023, the Company was in compliance with all covenants.</w:t>
      </w:r>
    </w:p>
    <w:p>
      <w:pPr>
        <w:spacing w:after="0" w:line="95"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23, 2022, the Board of Directors approved a 4-for-1 reverse stock split of the Company’s common stock. The reverse stock split became effective January 3, 2023. All share and per share information included in the accompanying consolidated financial statements and notes to the consolidated financial statements have been retroactively adjusted to reflect the reverse stock split of common stock for all periods presented.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completed its initial public offering (“IPO”) on January 18, 2023 with 4,750,000 shares offered by the Company at a price of $15.00 per share. The Company’s net proceeds from the IPO were approximately $62.0 million, after deducting underwriting discounts and specific incremental expenses directly attributable to the IPO.</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closing of its IPO, the Company filed an amended and restated certificate of incorporation which, among other things, increased the number of authorized shares consisting of 500,000,000 shares of common stock, par value $0.01 per share, and 10,000,000 shares of preferred stock, par value $0.01 per share.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 Conversion</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Preferred Shares had preference in liquidation over common stock in the amount of the face value of $50.00 per share and any declared but unpaid dividends to related common shares at the applicable conversion rate. The Preferred Shares provided the holder the option at any time to convert the Preferred Shares into common stock based on the Option Conversion Rate.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Preferred Shares were subject to mandatory conversion upon the closing of an IPO at the Mandatory Conversion Rate. At December 31, 2022, the Mandatory Conversion Rate allowed the holder of the Preferred Shares the right to convert into common stock based on a conversion price equal to $6.04 per common share. On January 18, 2023, 1,969,660 Preferred Shares converted to 16,305,113 shares of common stock upon the Company’s closing of its IPO.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Follow-On Offering</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20, 2023, the Company completed its follow-on offering with 2,150,000 shares sold by the Company at a price of $30.50 per share. The Company’s net proceeds were approximately $62.5 million, after deducting underwriting discounts and specific incremental expenses directly attributable to the offering.</w:t>
      </w:r>
    </w:p>
    <w:p>
      <w:pPr>
        <w:spacing w:after="0" w:line="64" w:lineRule="exact"/>
        <w:rPr>
          <w:sz w:val="20"/>
          <w:szCs w:val="20"/>
          <w:color w:val="auto"/>
        </w:rPr>
      </w:pPr>
    </w:p>
    <w:p>
      <w:pPr>
        <w:ind w:left="420" w:hanging="412"/>
        <w:spacing w:after="0"/>
        <w:tabs>
          <w:tab w:leader="none" w:pos="420" w:val="left"/>
        </w:tabs>
        <w:numPr>
          <w:ilvl w:val="0"/>
          <w:numId w:val="5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Income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income tax expense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24,118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provision for income taxes generally does not deviate substantially from the statutory tax rate. The effective tax rate may vary slightly from the statutory rate due to tax adjustments for tax-exempt income, dividends-received deduction and non-deductible expenses.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differences between income taxes expected at the federal statutory income tax rate of 21% and the reported income tax expense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0"/>
                <w:szCs w:val="20"/>
                <w:color w:val="auto"/>
              </w:rPr>
            </w:pPr>
          </w:p>
        </w:tc>
        <w:tc>
          <w:tcPr>
            <w:tcW w:w="15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Percentage</w:t>
            </w:r>
          </w:p>
        </w:tc>
        <w:tc>
          <w:tcPr>
            <w:tcW w:w="260" w:type="dxa"/>
            <w:vAlign w:val="bottom"/>
          </w:tcPr>
          <w:p>
            <w:pPr>
              <w:spacing w:after="0"/>
              <w:rPr>
                <w:sz w:val="20"/>
                <w:szCs w:val="20"/>
                <w:color w:val="auto"/>
              </w:rPr>
            </w:pPr>
          </w:p>
        </w:tc>
        <w:tc>
          <w:tcPr>
            <w:tcW w:w="15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Amount</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Percentage</w:t>
            </w:r>
          </w:p>
        </w:tc>
      </w:tr>
      <w:tr>
        <w:trPr>
          <w:trHeight w:val="27"/>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advantaged investments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6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24,118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effects of temporary differences that give rise to significant portions of the deferred tax assets and deferred tax liabilities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losses on fixed maturity securities, 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options/awards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49,665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55,640</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49,079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55,054</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481(a) adjustment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on 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27,088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18,866</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paid $15.8 million in federal income taxes during the year ended December 31, 2023. The Company’s federal income tax returns for tax years 2020 to 2022 are subject to examination by the Internal Revenue Service. The Company has no current U.S. federal or state and local income tax examinations on-going at this time.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the Company carried no balance for uncertain tax positions. The Company had no accrual for the payment of interest and penalties at December 31, 2023 or 2022.</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federal net operating loss carryforwards of approximately $49.4 million. These net operating losses are set to expire beginning in 2030. The Company is limited on the utilization of $49.3 million of the net operating losses under Internal Revenue Code Section 382 (“Sec 382”) which imposes limitations on a corporation’s ability to utilize tax attributes if the corporation experiences an “ownership change” which occurred during 2014. The Sec 382 limitation is expected to result in an expiration of $2.8 million ($0.6 million tax effected) of net operating losses. A valuation allowance was established against the balance that is expected to expire without utilization.</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generated a capital loss carryforward in 2022, resulting in a deferred tax asset of $0.7 million as of December 31, 2023. No valuation allowance is recorded against this deferred tax asset as the Company expects to utilize this carryforward before it expires in 2027.</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a valuation allowance against deferred tax assets when it is more likely-than-not that some portion, or all, of deferred tax assets will not be realized. Its deferred tax valuation allowance at December 31, 2023 and 2022 was $0.6 million.</w:t>
      </w:r>
    </w:p>
    <w:p>
      <w:pPr>
        <w:spacing w:after="0" w:line="50" w:lineRule="exact"/>
        <w:rPr>
          <w:sz w:val="20"/>
          <w:szCs w:val="20"/>
          <w:color w:val="auto"/>
        </w:rPr>
      </w:pPr>
    </w:p>
    <w:p>
      <w:pPr>
        <w:ind w:left="420" w:hanging="412"/>
        <w:spacing w:after="0"/>
        <w:tabs>
          <w:tab w:leader="none" w:pos="4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Reserves for Losses and Loss Adjustment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its loss development on a consolidated basis; however, it evaluates net ultimate loss and LAE under three sub-categories: multiline solutions, short tail/monoline specialty lines and exited lines. The Company determined that these disaggregated groupings have more homogeneous risk characteristics with similar development patterns and are generally subject to similar trends.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 tail/monoline specialty lines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Short tail/monoline specialty lines includes the Company’s global property &amp; agriculture, accident &amp; health, surety, and professional lines underwriting divisions. These are market niches for which the Company serves with monoline solutions which generally have shorter durations for losses to fully develop. Losses for these lines are generally reported within a short period of time from the date of loss, and in most instances, claims are settled and paid within a relatively short timeframe. Short tail/monoline specialty can be impacted by larger losses which can be more complex due to factors such as difficulty determining actual damages, legal and regulatory impediments potentially extending the period of time it takes to settle and pay claims.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Multi-line Solutions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Multi-line solutions includes the Company’s industry solutions, programs, captives and transactional E&amp;S underwriting divisions. These are market niches for which the Company provides multiple products most frequently as an integrated solution. The multi-line solution subcategory is made up predominantly of occurrence liability including general liability, excess liability, and commercial auto. Multi-line solutions have a longer duration for losses to fully develop compared to short-tail/monoline specialty lines. Due to the unique claim characteristics of each product and the longer-tail nature of the multi-line solutions, this introduces more uncertainty as over time the claims can be impacted by changes in regulation, inflation and other unforeseen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Exited lines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Exited lines includes all underwriting units that the Company placed in run-off and are presented separately from on-going lines of business.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1,141,757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979,549</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(435,986)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(381,338)</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705,771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598,211</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516,664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393,939</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516,664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408,324</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105,928</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253,481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194,836</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363,418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300,764</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859,017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705,771</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455,484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435,986</w:t>
            </w:r>
          </w:p>
        </w:tc>
      </w:tr>
      <w:tr>
        <w:trPr>
          <w:trHeight w:val="26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1,141,757</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favorable development related to prior years’ loss and loss expense reserves of $9.2 million in short tail/monoline specialty lines and adverse development of $11.9 million in multi-line solutions, respectively. The favorable development in short tail/monoline specialty lines was driven by property lines of business from the 2021 accident year. The adverse development in multi-line solutions was driven by higher than expected severity in general and auto liability lines of business primarily from the 2019 accident year.</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Company’s net incurred losses for accident years 2021 and prior developed adversely by $14.4 million which was related to losses subject to the LPT.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exited lines, adverse development of $14.5 million was from the 2019 accident year primarily driven by increased in frequency and severity in general and professional liability. The remaining $8.4 million of net adverse development was from other accident years.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Within multi-line solutions, favorable development of $10.8 million was from the 2020 through 2021 accident years and was driven by reduction in frequency of claims in commercial auto and general liability. The remaining $2.3 million of net adverse development was from various other accident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Duration Contract Disclosures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Losses and LAE reserves represent the Company’s best estimate of the ultimate net cost of all reported and unreported losses that are unpaid as of the balance sheet dates. The Company’s estimated reserves for losses and LAE include the accumulation of estimates for claims reported and unpaid prior to the balance sheet dates, estimates (based on projections of relevant historical data) of increases in claims costs for claims already reported, of claims incurred but not reported, and estimates of expenses for investigating and adjusting all incurred and unpaid claims.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determining the cumulative number of reported claims, the Company measures claim counts by incident. The claim counts include all claims reported, even if the Company does not establish a liability for the claim (i.e. reserve for loss and loss adjustment expenses).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Short Tail/Monoline Specialty</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 in thousands except number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Incurred Losses and LAE, Net of Reinsurance</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37"/>
        </w:trPr>
        <w:tc>
          <w:tcPr>
            <w:tcW w:w="2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6"/>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6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48"/>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Accident Year</w:t>
            </w:r>
          </w:p>
        </w:tc>
        <w:tc>
          <w:tcPr>
            <w:tcW w:w="320" w:type="dxa"/>
            <w:vAlign w:val="bottom"/>
          </w:tcPr>
          <w:p>
            <w:pPr>
              <w:spacing w:after="0"/>
              <w:rPr>
                <w:sz w:val="12"/>
                <w:szCs w:val="12"/>
                <w:color w:val="auto"/>
              </w:rPr>
            </w:pP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8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53,100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91,757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1,556</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125,288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205,189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3,175</w:t>
            </w:r>
          </w:p>
        </w:tc>
        <w:tc>
          <w:tcPr>
            <w:tcW w:w="0" w:type="dxa"/>
            <w:vAlign w:val="bottom"/>
          </w:tcPr>
          <w:p>
            <w:pPr>
              <w:spacing w:after="0"/>
              <w:rPr>
                <w:sz w:val="1"/>
                <w:szCs w:val="1"/>
                <w:color w:val="auto"/>
              </w:rPr>
            </w:pPr>
          </w:p>
        </w:tc>
      </w:tr>
      <w:tr>
        <w:trPr>
          <w:trHeight w:val="23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net paid loss and LAE from the table below</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reserves for loss and LAE before 2019</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17,964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reserves for loss and LAE</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276,704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Losses and LAE, Net of Reinsurance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Accident Year</w:t>
            </w:r>
          </w:p>
        </w:tc>
        <w:tc>
          <w:tcPr>
            <w:tcW w:w="300" w:type="dxa"/>
            <w:vAlign w:val="bottom"/>
          </w:tcPr>
          <w:p>
            <w:pPr>
              <w:spacing w:after="0"/>
              <w:rPr>
                <w:sz w:val="19"/>
                <w:szCs w:val="19"/>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2020*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47,255</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72,351</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66,902</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63,880</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32,896</w:t>
            </w:r>
          </w:p>
        </w:tc>
      </w:tr>
      <w:tr>
        <w:trPr>
          <w:trHeight w:val="26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283,284</w:t>
            </w:r>
          </w:p>
        </w:tc>
      </w:tr>
      <w:tr>
        <w:trPr>
          <w:trHeight w:val="21"/>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b w:val="1"/>
          <w:bCs w:val="1"/>
          <w:color w:val="auto"/>
        </w:rPr>
        <w:t>Multi-line Solutions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i w:val="1"/>
          <w:iCs w:val="1"/>
          <w:color w:val="auto"/>
        </w:rPr>
        <w:t>($ in thousands except number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14"/>
          </w:tcPr>
          <w:p>
            <w:pPr>
              <w:ind w:left="300"/>
              <w:spacing w:after="0"/>
              <w:rPr>
                <w:sz w:val="20"/>
                <w:szCs w:val="20"/>
                <w:color w:val="auto"/>
              </w:rPr>
            </w:pPr>
            <w:r>
              <w:rPr>
                <w:rFonts w:ascii="Times New Roman" w:cs="Times New Roman" w:eastAsia="Times New Roman" w:hAnsi="Times New Roman"/>
                <w:sz w:val="13"/>
                <w:szCs w:val="13"/>
                <w:b w:val="1"/>
                <w:bCs w:val="1"/>
                <w:color w:val="auto"/>
              </w:rPr>
              <w:t>Incurred Losses and LAE, Net of Reinsurance ($ in thousands)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r>
      <w:tr>
        <w:trPr>
          <w:trHeight w:val="29"/>
        </w:trPr>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Accident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8"/>
          </w:tcPr>
          <w:p>
            <w:pPr>
              <w:ind w:left="4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Reported</w:t>
            </w:r>
          </w:p>
        </w:tc>
      </w:tr>
      <w:tr>
        <w:trPr>
          <w:trHeight w:val="19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 w:type="dxa"/>
            <w:vAlign w:val="bottom"/>
          </w:tcPr>
          <w:p>
            <w:pPr>
              <w:spacing w:after="0"/>
              <w:rPr>
                <w:sz w:val="16"/>
                <w:szCs w:val="16"/>
                <w:color w:val="auto"/>
              </w:rPr>
            </w:pP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Claims</w:t>
            </w:r>
          </w:p>
        </w:tc>
      </w:tr>
      <w:tr>
        <w:trPr>
          <w:trHeight w:val="37"/>
        </w:trPr>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6"/>
        </w:trPr>
        <w:tc>
          <w:tcPr>
            <w:tcW w:w="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100,355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115,749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116,970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116,970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117,783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118,995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120,777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118,277</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4,979</w:t>
            </w:r>
          </w:p>
        </w:tc>
      </w:tr>
      <w:tr>
        <w:trPr>
          <w:trHeight w:val="173"/>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2015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127,102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5,369</w:t>
            </w:r>
          </w:p>
        </w:tc>
      </w:tr>
      <w:tr>
        <w:trPr>
          <w:trHeight w:val="29"/>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71,306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74,923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75,923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4,695</w:t>
            </w:r>
          </w:p>
        </w:tc>
      </w:tr>
      <w:tr>
        <w:trPr>
          <w:trHeight w:val="173"/>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84,580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5,524</w:t>
            </w:r>
          </w:p>
        </w:tc>
      </w:tr>
      <w:tr>
        <w:trPr>
          <w:trHeight w:val="29"/>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73,179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8,983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5,048</w:t>
            </w:r>
          </w:p>
        </w:tc>
      </w:tr>
      <w:tr>
        <w:trPr>
          <w:trHeight w:val="173"/>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125,337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6,042</w:t>
            </w:r>
          </w:p>
        </w:tc>
      </w:tr>
      <w:tr>
        <w:trPr>
          <w:trHeight w:val="29"/>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2"/>
        </w:trPr>
        <w:tc>
          <w:tcPr>
            <w:tcW w:w="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139,090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139,090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5,453</w:t>
            </w:r>
          </w:p>
        </w:tc>
      </w:tr>
      <w:tr>
        <w:trPr>
          <w:trHeight w:val="173"/>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175,173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48,993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6,611</w:t>
            </w:r>
          </w:p>
        </w:tc>
      </w:tr>
      <w:tr>
        <w:trPr>
          <w:trHeight w:val="29"/>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232,748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232,748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35,167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8,360</w:t>
            </w:r>
          </w:p>
        </w:tc>
      </w:tr>
      <w:tr>
        <w:trPr>
          <w:trHeight w:val="173"/>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308,497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168,794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7,370</w:t>
            </w:r>
          </w:p>
        </w:tc>
      </w:tr>
      <w:tr>
        <w:trPr>
          <w:trHeight w:val="29"/>
        </w:trPr>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176"/>
        </w:trPr>
        <w:tc>
          <w:tcPr>
            <w:tcW w:w="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1,459,906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73"/>
        </w:trPr>
        <w:tc>
          <w:tcPr>
            <w:tcW w:w="3380" w:type="dxa"/>
            <w:vAlign w:val="bottom"/>
            <w:gridSpan w:val="10"/>
          </w:tcPr>
          <w:p>
            <w:pPr>
              <w:ind w:left="20"/>
              <w:spacing w:after="0"/>
              <w:rPr>
                <w:sz w:val="20"/>
                <w:szCs w:val="20"/>
                <w:color w:val="auto"/>
              </w:rPr>
            </w:pPr>
            <w:r>
              <w:rPr>
                <w:rFonts w:ascii="Times New Roman" w:cs="Times New Roman" w:eastAsia="Times New Roman" w:hAnsi="Times New Roman"/>
                <w:sz w:val="13"/>
                <w:szCs w:val="13"/>
                <w:color w:val="auto"/>
              </w:rPr>
              <w:t>Cumulative net paid loss and LAE from the table below</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(994,414)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9"/>
        </w:trPr>
        <w:tc>
          <w:tcPr>
            <w:tcW w:w="8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254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reserves for loss and LAE before 2014</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(2,346)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95"/>
        </w:trPr>
        <w:tc>
          <w:tcPr>
            <w:tcW w:w="18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w w:val="97"/>
              </w:rPr>
              <w:t>Total net reserves for loss and LAE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463,146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Losses and LAE, Net of Reinsurance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7"/>
                <w:szCs w:val="17"/>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102,214</w:t>
            </w:r>
          </w:p>
        </w:tc>
      </w:tr>
      <w:tr>
        <w:trPr>
          <w:trHeight w:val="24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123,268</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74,882</w:t>
            </w:r>
          </w:p>
        </w:tc>
      </w:tr>
      <w:tr>
        <w:trPr>
          <w:trHeight w:val="24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74,770</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71,042</w:t>
            </w:r>
          </w:p>
        </w:tc>
      </w:tr>
      <w:tr>
        <w:trPr>
          <w:trHeight w:val="24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113,207</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113,637</w:t>
            </w:r>
          </w:p>
        </w:tc>
      </w:tr>
      <w:tr>
        <w:trPr>
          <w:trHeight w:val="24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105,853</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140,490</w:t>
            </w:r>
          </w:p>
        </w:tc>
      </w:tr>
      <w:tr>
        <w:trPr>
          <w:trHeight w:val="24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75,051</w:t>
            </w:r>
          </w:p>
        </w:tc>
      </w:tr>
      <w:tr>
        <w:trPr>
          <w:trHeight w:val="27"/>
        </w:trPr>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994,414</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 xml:space="preserve">Exited Lines </w:t>
      </w:r>
      <w:r>
        <w:rPr>
          <w:rFonts w:ascii="Times New Roman" w:cs="Times New Roman" w:eastAsia="Times New Roman" w:hAnsi="Times New Roman"/>
          <w:sz w:val="18"/>
          <w:szCs w:val="18"/>
          <w:color w:val="231F20"/>
        </w:rPr>
        <w:t>— all lines in runoff</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number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gridSpan w:val="22"/>
          </w:tcPr>
          <w:p>
            <w:pPr>
              <w:ind w:left="20"/>
              <w:spacing w:after="0"/>
              <w:rPr>
                <w:sz w:val="20"/>
                <w:szCs w:val="20"/>
                <w:color w:val="auto"/>
              </w:rPr>
            </w:pPr>
            <w:r>
              <w:rPr>
                <w:rFonts w:ascii="Times New Roman" w:cs="Times New Roman" w:eastAsia="Times New Roman" w:hAnsi="Times New Roman"/>
                <w:sz w:val="14"/>
                <w:szCs w:val="14"/>
                <w:b w:val="1"/>
                <w:bCs w:val="1"/>
                <w:color w:val="auto"/>
              </w:rPr>
              <w:t>Incurred Losses and LAE, Net of Reinsurance ($ in thousands)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11"/>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Accident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2014*</w:t>
            </w:r>
          </w:p>
        </w:tc>
        <w:tc>
          <w:tcPr>
            <w:tcW w:w="80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color w:val="auto"/>
              </w:rPr>
              <w:t>2015*</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07"/>
              <w:spacing w:after="0"/>
              <w:rPr>
                <w:sz w:val="20"/>
                <w:szCs w:val="20"/>
                <w:color w:val="auto"/>
              </w:rPr>
            </w:pPr>
            <w:r>
              <w:rPr>
                <w:rFonts w:ascii="Times New Roman" w:cs="Times New Roman" w:eastAsia="Times New Roman" w:hAnsi="Times New Roman"/>
                <w:sz w:val="13"/>
                <w:szCs w:val="13"/>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w w:val="98"/>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8"/>
              </w:rPr>
              <w:t>2021*</w:t>
            </w:r>
          </w:p>
        </w:tc>
        <w:tc>
          <w:tcPr>
            <w:tcW w:w="2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8"/>
              </w:rPr>
              <w:t>IBNR</w:t>
            </w:r>
          </w:p>
        </w:tc>
        <w:tc>
          <w:tcPr>
            <w:tcW w:w="1100" w:type="dxa"/>
            <w:vAlign w:val="bottom"/>
            <w:gridSpan w:val="3"/>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9"/>
              </w:rPr>
              <w:t>Reported Claims</w:t>
            </w:r>
          </w:p>
        </w:tc>
        <w:tc>
          <w:tcPr>
            <w:tcW w:w="0" w:type="dxa"/>
            <w:vAlign w:val="bottom"/>
          </w:tcPr>
          <w:p>
            <w:pPr>
              <w:spacing w:after="0"/>
              <w:rPr>
                <w:sz w:val="1"/>
                <w:szCs w:val="1"/>
                <w:color w:val="auto"/>
              </w:rPr>
            </w:pPr>
          </w:p>
        </w:tc>
      </w:tr>
      <w:tr>
        <w:trPr>
          <w:trHeight w:val="29"/>
        </w:trPr>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64,186</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58,170</w:t>
            </w: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62,691</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63,995</w:t>
            </w: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63,994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70,186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71,451</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$72,027</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69,027</w:t>
            </w:r>
          </w:p>
        </w:tc>
        <w:tc>
          <w:tcPr>
            <w:tcW w:w="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7,650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4,170</w:t>
            </w:r>
          </w:p>
        </w:tc>
        <w:tc>
          <w:tcPr>
            <w:tcW w:w="0" w:type="dxa"/>
            <w:vAlign w:val="bottom"/>
          </w:tcPr>
          <w:p>
            <w:pPr>
              <w:spacing w:after="0"/>
              <w:rPr>
                <w:sz w:val="1"/>
                <w:szCs w:val="1"/>
                <w:color w:val="auto"/>
              </w:rPr>
            </w:pPr>
          </w:p>
        </w:tc>
      </w:tr>
      <w:tr>
        <w:trPr>
          <w:trHeight w:val="173"/>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4"/>
              </w:rPr>
              <w:t>61,920</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65,173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70,912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80,787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83,432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84,167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87,167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4,565</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95,914</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95,509</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93,885</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106,368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107,390</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108,366</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108,366</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4,946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4,879</w:t>
            </w:r>
          </w:p>
        </w:tc>
        <w:tc>
          <w:tcPr>
            <w:tcW w:w="0" w:type="dxa"/>
            <w:vAlign w:val="bottom"/>
          </w:tcPr>
          <w:p>
            <w:pPr>
              <w:spacing w:after="0"/>
              <w:rPr>
                <w:sz w:val="1"/>
                <w:szCs w:val="1"/>
                <w:color w:val="auto"/>
              </w:rPr>
            </w:pPr>
          </w:p>
        </w:tc>
      </w:tr>
      <w:tr>
        <w:trPr>
          <w:trHeight w:val="173"/>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78,246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82,668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97,578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99,559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101,865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82,865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13,081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4,318</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76,956</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82,366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93,812</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100,150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105,150</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4,886</w:t>
            </w:r>
          </w:p>
        </w:tc>
        <w:tc>
          <w:tcPr>
            <w:tcW w:w="0" w:type="dxa"/>
            <w:vAlign w:val="bottom"/>
          </w:tcPr>
          <w:p>
            <w:pPr>
              <w:spacing w:after="0"/>
              <w:rPr>
                <w:sz w:val="1"/>
                <w:szCs w:val="1"/>
                <w:color w:val="auto"/>
              </w:rPr>
            </w:pPr>
          </w:p>
        </w:tc>
      </w:tr>
      <w:tr>
        <w:trPr>
          <w:trHeight w:val="173"/>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94,550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96,070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110,546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117,302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5,580</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87,809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90,609</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90,609</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98,512</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5,637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4,756</w:t>
            </w:r>
          </w:p>
        </w:tc>
        <w:tc>
          <w:tcPr>
            <w:tcW w:w="0" w:type="dxa"/>
            <w:vAlign w:val="bottom"/>
          </w:tcPr>
          <w:p>
            <w:pPr>
              <w:spacing w:after="0"/>
              <w:rPr>
                <w:sz w:val="1"/>
                <w:szCs w:val="1"/>
                <w:color w:val="auto"/>
              </w:rPr>
            </w:pPr>
          </w:p>
        </w:tc>
      </w:tr>
      <w:tr>
        <w:trPr>
          <w:trHeight w:val="173"/>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57,392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52,392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36,294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2,337</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35,834</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45,111</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w:t>
            </w:r>
          </w:p>
        </w:tc>
        <w:tc>
          <w:tcPr>
            <w:tcW w:w="0" w:type="dxa"/>
            <w:vAlign w:val="bottom"/>
          </w:tcPr>
          <w:p>
            <w:pPr>
              <w:spacing w:after="0"/>
              <w:rPr>
                <w:sz w:val="1"/>
                <w:szCs w:val="1"/>
                <w:color w:val="auto"/>
              </w:rPr>
            </w:pPr>
          </w:p>
        </w:tc>
      </w:tr>
      <w:tr>
        <w:trPr>
          <w:trHeight w:val="173"/>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2,930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w:t>
            </w:r>
          </w:p>
        </w:tc>
        <w:tc>
          <w:tcPr>
            <w:tcW w:w="0" w:type="dxa"/>
            <w:vAlign w:val="bottom"/>
          </w:tcPr>
          <w:p>
            <w:pPr>
              <w:spacing w:after="0"/>
              <w:rPr>
                <w:sz w:val="1"/>
                <w:szCs w:val="1"/>
                <w:color w:val="auto"/>
              </w:rPr>
            </w:pPr>
          </w:p>
        </w:tc>
      </w:tr>
      <w:tr>
        <w:trPr>
          <w:trHeight w:val="29"/>
        </w:trPr>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752,724</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6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auto"/>
              </w:rPr>
              <w:t>Cumulative net paid loss and LAE from the table below</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(637,997)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Net reserves for loss and LAE before 2014</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4,440</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w w:val="96"/>
              </w:rPr>
              <w:t>Total net reserves for loss and LAE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119,167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20" w:type="dxa"/>
            <w:vAlign w:val="bottom"/>
            <w:gridSpan w:val="11"/>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58"/>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gridSpan w:val="26"/>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2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Cumulative Paid Losses and LAE, Net of Reinsurance ($ in thousands)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11"/>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11"/>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2014*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2018*</w:t>
            </w:r>
          </w:p>
        </w:tc>
        <w:tc>
          <w:tcPr>
            <w:tcW w:w="180" w:type="dxa"/>
            <w:vAlign w:val="bottom"/>
          </w:tcPr>
          <w:p>
            <w:pPr>
              <w:spacing w:after="0"/>
              <w:rPr>
                <w:sz w:val="17"/>
                <w:szCs w:val="17"/>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9,700</w:t>
            </w:r>
          </w:p>
        </w:tc>
        <w:tc>
          <w:tcPr>
            <w:tcW w:w="3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42,141</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50,785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49,906</w:t>
            </w:r>
          </w:p>
        </w:tc>
        <w:tc>
          <w:tcPr>
            <w:tcW w:w="10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52,450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53,290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53,615</w:t>
            </w:r>
          </w:p>
        </w:tc>
        <w:tc>
          <w:tcPr>
            <w:tcW w:w="2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55,737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56,594</w:t>
            </w:r>
          </w:p>
        </w:tc>
        <w:tc>
          <w:tcPr>
            <w:tcW w:w="0" w:type="dxa"/>
            <w:vAlign w:val="bottom"/>
          </w:tcPr>
          <w:p>
            <w:pPr>
              <w:spacing w:after="0"/>
              <w:rPr>
                <w:sz w:val="1"/>
                <w:szCs w:val="1"/>
                <w:color w:val="auto"/>
              </w:rPr>
            </w:pPr>
          </w:p>
        </w:tc>
      </w:tr>
      <w:tr>
        <w:trPr>
          <w:trHeight w:val="24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41,653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6"/>
              </w:rPr>
              <w:t>55,610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65,269</w:t>
            </w: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73,100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77,981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83,706</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38,191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59,237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10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83,115</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92,867</w:t>
            </w:r>
          </w:p>
        </w:tc>
        <w:tc>
          <w:tcPr>
            <w:tcW w:w="0" w:type="dxa"/>
            <w:vAlign w:val="bottom"/>
          </w:tcPr>
          <w:p>
            <w:pPr>
              <w:spacing w:after="0"/>
              <w:rPr>
                <w:sz w:val="1"/>
                <w:szCs w:val="1"/>
                <w:color w:val="auto"/>
              </w:rPr>
            </w:pPr>
          </w:p>
        </w:tc>
      </w:tr>
      <w:tr>
        <w:trPr>
          <w:trHeight w:val="24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6"/>
              </w:rPr>
              <w:t>35,962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53,888</w:t>
            </w: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53,770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58,625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68,747</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0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69,695</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103,432</w:t>
            </w:r>
          </w:p>
        </w:tc>
        <w:tc>
          <w:tcPr>
            <w:tcW w:w="0" w:type="dxa"/>
            <w:vAlign w:val="bottom"/>
          </w:tcPr>
          <w:p>
            <w:pPr>
              <w:spacing w:after="0"/>
              <w:rPr>
                <w:sz w:val="1"/>
                <w:szCs w:val="1"/>
                <w:color w:val="auto"/>
              </w:rPr>
            </w:pPr>
          </w:p>
        </w:tc>
      </w:tr>
      <w:tr>
        <w:trPr>
          <w:trHeight w:val="24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31,556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66,163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98,392</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27,476</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80,744</w:t>
            </w:r>
          </w:p>
        </w:tc>
        <w:tc>
          <w:tcPr>
            <w:tcW w:w="0" w:type="dxa"/>
            <w:vAlign w:val="bottom"/>
          </w:tcPr>
          <w:p>
            <w:pPr>
              <w:spacing w:after="0"/>
              <w:rPr>
                <w:sz w:val="1"/>
                <w:szCs w:val="1"/>
                <w:color w:val="auto"/>
              </w:rPr>
            </w:pPr>
          </w:p>
        </w:tc>
      </w:tr>
      <w:tr>
        <w:trPr>
          <w:trHeight w:val="24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29,317</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22,208</w:t>
            </w:r>
          </w:p>
        </w:tc>
        <w:tc>
          <w:tcPr>
            <w:tcW w:w="0" w:type="dxa"/>
            <w:vAlign w:val="bottom"/>
          </w:tcPr>
          <w:p>
            <w:pPr>
              <w:spacing w:after="0"/>
              <w:rPr>
                <w:sz w:val="1"/>
                <w:szCs w:val="1"/>
                <w:color w:val="auto"/>
              </w:rPr>
            </w:pPr>
          </w:p>
        </w:tc>
      </w:tr>
      <w:tr>
        <w:trPr>
          <w:trHeight w:val="24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1,990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637,997</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reconciliation of the net incurred and paid loss development tables to the balance sheet reserves for losses and loss adjustment expenses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9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 Tail/Monoline Specialty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276,704</w:t>
            </w:r>
          </w:p>
        </w:tc>
      </w:tr>
      <w:tr>
        <w:trPr>
          <w:trHeight w:val="27"/>
        </w:trPr>
        <w:tc>
          <w:tcPr>
            <w:tcW w:w="9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Multi-line Solutions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463,146</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Exited Lines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119,167</w:t>
            </w:r>
          </w:p>
        </w:tc>
      </w:tr>
      <w:tr>
        <w:trPr>
          <w:trHeight w:val="27"/>
        </w:trPr>
        <w:tc>
          <w:tcPr>
            <w:tcW w:w="9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Reserves for losses and LAE, net of reinsurance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859,017</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claims: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9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 Tail/Monoline Specialty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199,044</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Multi-line Solutions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252,146</w:t>
            </w:r>
          </w:p>
        </w:tc>
      </w:tr>
      <w:tr>
        <w:trPr>
          <w:trHeight w:val="27"/>
        </w:trPr>
        <w:tc>
          <w:tcPr>
            <w:tcW w:w="9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Exited Lines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4,294</w:t>
            </w:r>
          </w:p>
        </w:tc>
      </w:tr>
      <w:tr>
        <w:trPr>
          <w:trHeight w:val="23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reinsurance recoverable on unpaid claims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455,484</w:t>
            </w:r>
          </w:p>
        </w:tc>
      </w:tr>
      <w:tr>
        <w:trPr>
          <w:trHeight w:val="27"/>
        </w:trPr>
        <w:tc>
          <w:tcPr>
            <w:tcW w:w="9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historical average annual payout of incurred losses and allocated loss adjustment expenses (claims duration) for short-duration contracts, based on the disaggregated information in the paid loss development tables, net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Claims by Age, Net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Years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Tail/Monoline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1"/>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54.0 %</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12.1 %</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Multi-line Solutions</w:t>
            </w: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37.7 %</w:t>
            </w:r>
          </w:p>
        </w:tc>
        <w:tc>
          <w:tcPr>
            <w:tcW w:w="8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
        </w:trPr>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Exited Lines</w:t>
            </w:r>
          </w:p>
        </w:tc>
        <w:tc>
          <w:tcPr>
            <w:tcW w:w="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42.8 %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*Supplementary information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Commission and Fee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6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commission and fee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opening and closing balances of contract assets from commission and fee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Contract Assets</w:t>
            </w:r>
          </w:p>
        </w:tc>
        <w:tc>
          <w:tcPr>
            <w:tcW w:w="480" w:type="dxa"/>
            <w:vAlign w:val="bottom"/>
          </w:tcPr>
          <w:p>
            <w:pPr>
              <w:spacing w:after="0"/>
              <w:rPr>
                <w:sz w:val="20"/>
                <w:szCs w:val="20"/>
                <w:color w:val="auto"/>
              </w:rPr>
            </w:pPr>
          </w:p>
        </w:tc>
      </w:tr>
      <w:tr>
        <w:trPr>
          <w:trHeight w:val="27"/>
        </w:trPr>
        <w:tc>
          <w:tcPr>
            <w:tcW w:w="95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1,209</w:t>
            </w:r>
          </w:p>
        </w:tc>
      </w:tr>
      <w:tr>
        <w:trPr>
          <w:trHeight w:val="260"/>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1,292</w:t>
            </w:r>
          </w:p>
        </w:tc>
      </w:tr>
      <w:tr>
        <w:trPr>
          <w:trHeight w:val="2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r>
      <w:tr>
        <w:trPr>
          <w:trHeight w:val="54"/>
        </w:trPr>
        <w:tc>
          <w:tcPr>
            <w:tcW w:w="9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0" w:hanging="412"/>
        <w:spacing w:after="0"/>
        <w:tabs>
          <w:tab w:leader="none" w:pos="4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Underwriting, Acquisition and Insurance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65,695</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134,930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116,476</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243,444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if reinsurers do not meet their obligations.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effects of reinsurance on premiums written and earned for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Written</w:t>
            </w:r>
          </w:p>
        </w:tc>
        <w:tc>
          <w:tcPr>
            <w:tcW w:w="2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Earned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8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Earned</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1,155,835</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951,121</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218,649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193,971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5"/>
              </w:rPr>
              <w:t>113,610</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(520,663)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(448,737)</w:t>
            </w:r>
          </w:p>
        </w:tc>
      </w:tr>
      <w:tr>
        <w:trPr>
          <w:trHeight w:val="26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910,691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829,143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675,543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615,994</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337,011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5"/>
              </w:rPr>
              <w:t>311,257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455,484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435,986</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107,228</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596,334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581,359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186,121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157,645</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the Company does not carry these on the balance sheet as it will only have custody over these accounts upon the failure of the reinsurer to pay amounts due. At December 31, 2023, the market value of these accounts was approximately $158.1 million. The agreements provide that, as was customary in the past, the reinsurer will continue claim payment reimbursements without disturbing the trust balances. The trust amount will be adjusted periodically, by mutual agreement, based on loss reserve recoverables.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2020, the Company entered into an LPT retroactive reinsurance agreement. Under the LPT, the Company received reinsurance protection of approximately $127.4 million above the ceded losses and LAE reserves and is subject to co-participations at specified amounts. During the year ended December 31, 2022, the Company strengthened reserves for certain divisions covered by the LPT by $14.4 million, resulting in an increase in the amount ceded under this agreement. The increase in the amount ceded during the year ended December 31, 2022 were partially offset by $5.8 million of recognized gain.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presents the impact of the LPT on the consolidated statements of operations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Strengthening of reserves subject to the LPT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recoveries under the LPT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Pretax net impact of the LPT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was included in other assets on the consolidated balance sheets.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deposit assets as of December 31, 2023 and 2022 were $29.9 million and $41.8 million, respectively.</w:t>
      </w:r>
    </w:p>
    <w:p>
      <w:pPr>
        <w:spacing w:after="0" w:line="113" w:lineRule="exact"/>
        <w:rPr>
          <w:sz w:val="20"/>
          <w:szCs w:val="20"/>
          <w:color w:val="auto"/>
        </w:rPr>
      </w:pPr>
    </w:p>
    <w:p>
      <w:pPr>
        <w:ind w:left="420" w:hanging="412"/>
        <w:spacing w:after="0"/>
        <w:tabs>
          <w:tab w:leader="none" w:pos="420" w:val="left"/>
        </w:tabs>
        <w:numPr>
          <w:ilvl w:val="0"/>
          <w:numId w:val="5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Stock-Based Compensation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23, 2022, the Compensation Committee of the Company’s Board of Directors (“Compensation Committee”) approved the Company’s 2022 Long-Term Incentive Plan (the “2022 Plan”), which became effective on January 12, 2023. The 2022 Plan provides for the granting of restricted stock, restricted stock units, performance stock units, stock options as well as cash-based performance awards, to select employees and non-employee directors of the Company. The 2022 Plan stated that 3,200,656 shares of common stock were available for issuance.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2020, the Compensation Committee approved a Long Term Incentive Plan (the “2021 Plan”). The 2021 Plan provides for the granting of restricted stock, restricted stock units and performance stock units (collectively “restricted stock units” or “stock units”), as well as cash-based performance awards, to select employees and non-employee directors of the Company.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granted 1,101,856 and 198,842 shares of restricted stock and restricted stock units during the years ended December 31, 2023 and 2022, under the 2022 Plan and 2021 Plan, respectively. Members of the Board of Directors were granted 23,482 and 15,196 shares of restricted stock during the years ended December 31, 2023 and 2022, respectively, with a service period of one year. The fair value of restricted stock and restricted stock units under the 2022 Plan for awards granted at the time of the Company’s IPO were granted at the IPO price of $15.00 per share. The fair value of subsequent grants were equal to the closing stock price on the date the restricted stock units were granted. The expense for these equity-based incentives is based on their fair value at the date of grant and amortized over their vesting period.</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granted 759,990 stock options during the year ended December 31, 2023. The grant date fair value of the options under the 2022 Plan was determined using the Black-Scholes model where the term was the contractual term of 10 years less the weighted average service period. The volatility was determined based on the historical volatility of comparable publicly traded insurance companies.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restricted stock and restricted stock units granted to employees and the Board of Directors during the years ended December 31, 2023 and 2022 were valued at approximately $17.7 million and $2.6 million, respectively, based on the grant date fair value. The stock options granted to employees during the year ended December 31, 2023 were valued at approximately $4.4 million based on the grant date fair value.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equity awards, target payout ranges and authorized target restricted stock and stock units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Requisite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 Target</w:t>
            </w:r>
          </w:p>
        </w:tc>
      </w:tr>
      <w:tr>
        <w:trPr>
          <w:trHeight w:val="238"/>
        </w:trPr>
        <w:tc>
          <w:tcPr>
            <w:tcW w:w="664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Range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Service Period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r>
      <w:tr>
        <w:trPr>
          <w:trHeight w:val="27"/>
        </w:trPr>
        <w:tc>
          <w:tcPr>
            <w:tcW w:w="66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condition awards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150%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37,622</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150%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95,456</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condition awards</w:t>
            </w:r>
          </w:p>
        </w:tc>
        <w:tc>
          <w:tcPr>
            <w:tcW w:w="520" w:type="dxa"/>
            <w:vAlign w:val="bottom"/>
          </w:tcPr>
          <w:p>
            <w:pPr>
              <w:spacing w:after="0"/>
              <w:rPr>
                <w:sz w:val="21"/>
                <w:szCs w:val="21"/>
                <w:color w:val="auto"/>
              </w:rPr>
            </w:pPr>
          </w:p>
        </w:tc>
        <w:tc>
          <w:tcPr>
            <w:tcW w:w="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1 to 4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968,778</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3 to 4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759,990</w:t>
            </w:r>
          </w:p>
        </w:tc>
      </w:tr>
      <w:tr>
        <w:trPr>
          <w:trHeight w:val="237"/>
        </w:trPr>
        <w:tc>
          <w:tcPr>
            <w:tcW w:w="6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1,861,846</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condition awards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3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28,495</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26,210</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520" w:type="dxa"/>
            <w:vAlign w:val="bottom"/>
          </w:tcPr>
          <w:p>
            <w:pPr>
              <w:spacing w:after="0"/>
              <w:rPr>
                <w:sz w:val="21"/>
                <w:szCs w:val="21"/>
                <w:color w:val="auto"/>
              </w:rPr>
            </w:pPr>
          </w:p>
        </w:tc>
        <w:tc>
          <w:tcPr>
            <w:tcW w:w="9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6"/>
              </w:rPr>
              <w:t>N/A</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 to 3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144,137</w:t>
            </w:r>
          </w:p>
        </w:tc>
      </w:tr>
      <w:tr>
        <w:trPr>
          <w:trHeight w:val="27"/>
        </w:trPr>
        <w:tc>
          <w:tcPr>
            <w:tcW w:w="6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66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93"/>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 xml:space="preserve">The following table sets forth option activity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5"/>
        </w:trPr>
        <w:tc>
          <w:tcPr>
            <w:tcW w:w="66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58"/>
        </w:trPr>
        <w:tc>
          <w:tcPr>
            <w:tcW w:w="6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480" w:type="dxa"/>
            <w:vAlign w:val="bottom"/>
          </w:tcPr>
          <w:p>
            <w:pPr>
              <w:spacing w:after="0"/>
              <w:rPr>
                <w:sz w:val="13"/>
                <w:szCs w:val="13"/>
                <w:color w:val="auto"/>
              </w:rPr>
            </w:pPr>
          </w:p>
        </w:tc>
      </w:tr>
      <w:tr>
        <w:trPr>
          <w:trHeight w:val="204"/>
        </w:trPr>
        <w:tc>
          <w:tcPr>
            <w:tcW w:w="6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37"/>
        </w:trPr>
        <w:tc>
          <w:tcPr>
            <w:tcW w:w="66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759,990</w:t>
            </w:r>
          </w:p>
        </w:tc>
      </w:tr>
      <w:tr>
        <w:trPr>
          <w:trHeight w:val="27"/>
        </w:trPr>
        <w:tc>
          <w:tcPr>
            <w:tcW w:w="6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759,990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intrinsic value of each option is determined based on the difference between the fair value of the underlying share and the exercise price of the underlying option. The aggregate intrinsic value of options outstanding at December 31, 2023 was $14.3 million. The weighted-average remaining contractual life of the options outstanding at December 31, 2023 was 9.0 years.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restricted stock and restricted stock units activity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20" w:type="dxa"/>
            <w:vAlign w:val="bottom"/>
          </w:tcPr>
          <w:p>
            <w:pPr>
              <w:spacing w:after="0"/>
              <w:rPr>
                <w:sz w:val="18"/>
                <w:szCs w:val="18"/>
                <w:color w:val="auto"/>
              </w:rPr>
            </w:pP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Stock and Stock Units</w:t>
            </w:r>
          </w:p>
        </w:tc>
      </w:tr>
      <w:tr>
        <w:trPr>
          <w:trHeight w:val="238"/>
        </w:trPr>
        <w:tc>
          <w:tcPr>
            <w:tcW w:w="7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820" w:type="dxa"/>
            <w:vAlign w:val="bottom"/>
          </w:tcPr>
          <w:p>
            <w:pPr>
              <w:spacing w:after="0"/>
              <w:rPr>
                <w:sz w:val="20"/>
                <w:szCs w:val="20"/>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419,896</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16.07</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1,101,856</w:t>
            </w:r>
          </w:p>
        </w:tc>
      </w:tr>
      <w:tr>
        <w:trPr>
          <w:trHeight w:val="27"/>
        </w:trPr>
        <w:tc>
          <w:tcPr>
            <w:tcW w:w="7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(40,645)</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15.29</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(35,658)</w:t>
            </w:r>
          </w:p>
        </w:tc>
      </w:tr>
      <w:tr>
        <w:trPr>
          <w:trHeight w:val="27"/>
        </w:trPr>
        <w:tc>
          <w:tcPr>
            <w:tcW w:w="7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1,445,449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375,643</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198,842</w:t>
            </w:r>
          </w:p>
        </w:tc>
      </w:tr>
      <w:tr>
        <w:trPr>
          <w:trHeight w:val="27"/>
        </w:trPr>
        <w:tc>
          <w:tcPr>
            <w:tcW w:w="7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(144,042)</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7"/>
        </w:trPr>
        <w:tc>
          <w:tcPr>
            <w:tcW w:w="7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419,896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vested at December 31, 2023 and 2022 were $0.5 million and $2.2 million, respectively.</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total unrecognized compensation cost related to non-vested, share-based compensation awards was $15.9 million and the weighted average period over which that cost is expected to be recognized is 1.5 years. The Company recognized $8.5 million and $2.3 million of stock-based compensation expense for the years ended December 31, 2023 and 2022,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23, 2022, the Compensation Committee approved the Company’s 2022 Employee Stock Purchase Plan (the “ESPP”), which became effective on May 15, 2023. Under the ESPP, all employees of the Company may choose, at two different specified time intervals each year, to have a percentage of their annual base earnings withheld to purchase the Company’s common stock. The purchase price of the common stock is 85% of the lower of its beginning-of-period or end-of-period market price. The company has reserved 376,548 common shares under this plan.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grant date fair value of options under the ESPP was determined using the Black-Scholes model where the term was the length of time between the grant date and the date the options are exercisable of 6 months. The volatility was determined based on the historical volatility of comparable publicly traded insurance companies.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 total of 35,430 shares had been purchased under this plan. The Company recognized $0.2 million of expense for the year ended December 31, 2023. As of December 31, 2023, the fair value of unrecognized expense was $0.3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Notes Receivable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previously granted common stock to its employees and non-employee directors under the Stock Purchase Program and Equity Incentive Program (the “Legacy Programs”). The Legacy Programs required that employees who receive an award purchase a certain amount of stock, which the Company then matched. The matching share awards were subject to certain vesting requirements. For the purchased portion of the participant’s stock, the participant was required to make a minimum payment toward the purchase commitment, with the remainder of the balance issued as a note receivable to the Company and recorded as a stock notes receivable within stockholders’ equity.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0" w:hanging="412"/>
        <w:spacing w:after="0"/>
        <w:tabs>
          <w:tab w:leader="none" w:pos="4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compilation of basic and diluted net earnings per share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shareholders (numerator for basic earnings per share)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back: Undistributed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r>
      <w:tr>
        <w:trPr>
          <w:trHeight w:val="26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(numerator for diluted earnings per share under the two-class method)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36,031,907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16,568,393</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preferred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716,708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15,245,533</w:t>
            </w:r>
          </w:p>
        </w:tc>
      </w:tr>
      <w:tr>
        <w:trPr>
          <w:trHeight w:val="24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stock notes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696,110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519,080</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awarded stock units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736,837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320,188</w:t>
            </w:r>
          </w:p>
        </w:tc>
      </w:tr>
      <w:tr>
        <w:trPr>
          <w:trHeight w:val="24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awarded options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135,972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38,317,534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32,653,194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54"/>
        </w:trPr>
        <w:tc>
          <w:tcPr>
            <w:tcW w:w="8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notes</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60,576</w:t>
            </w: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Awarded options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8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common share equivalents of contingently issuable instruments that were excluded from basic earnings per share in shares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920,864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shares, if converted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1,059,602</w:t>
            </w:r>
          </w:p>
        </w:tc>
      </w:tr>
      <w:tr>
        <w:trPr>
          <w:trHeight w:val="27"/>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920,864</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1,082,521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hanging="412"/>
        <w:spacing w:after="0"/>
        <w:tabs>
          <w:tab w:leader="none" w:pos="420" w:val="left"/>
        </w:tabs>
        <w:numPr>
          <w:ilvl w:val="0"/>
          <w:numId w:val="5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Employee Benefit Plans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sponsors the 401(k) Plan (the “Plan”). The Plan, available to substantially all its employees, is subject to provisions of the Employee Retirement Income Security Act of 1974. The Company matches employee contributions on a discretionary basis. During the years ended December 31, 2023 and 2022, the Company contributed $2.9 million and $2.4 million in matching contributions to the Plan,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740" w:firstLine="8"/>
        <w:spacing w:after="0" w:line="378" w:lineRule="auto"/>
        <w:tabs>
          <w:tab w:leader="none" w:pos="405" w:val="left"/>
        </w:tabs>
        <w:numPr>
          <w:ilvl w:val="0"/>
          <w:numId w:val="5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Related Party Transactions Westaim</w:t>
      </w: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2014 and continuing through 2015, Westaim HIIG LP acquired a majority of the Company’s common stock. In July 2023, Westaim dissolved Westaim HIIG LP and obtained direct ownership of the Company’s common stock held by the partnership. As of December 31, 2023, Westaim owned 17.5% of the Company’s common stock. As of December 31, 2022, Westaim, including shares beneficially owned through Westaim HIIG LP, owned</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44.5% of the Company’s common stock. The changes in Westaim HIIG LP’s ownership percentage were primarily due to equity offerings, conversion of preferred common stock, and distribution of shares controlled by Westaim through a limited partnership.</w:t>
      </w:r>
    </w:p>
    <w:p>
      <w:pPr>
        <w:spacing w:after="0" w:line="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2015, the Company purchased 3,076,924 shares of Westaim common stock for $8.4 million. The Company’s investment in Westaim is included in equity securities on the consolidated balance sheets. The Company had an unrealized gain on this investment of $0.5 million at December 31, 2023, and an unrealized loss of $2.3 million at December 31, 2022.</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closing of the IPO, Westaim performed consulting and certain other services for the Company pursuant to a Management Services Agreement. The agreement terminated pursuant to its terms upon the closing of the IPO.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RISCOM</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 Net earned premium and gross written commissions related to these agreements for the years ended December 31, 2023 and 2022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91,051</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commissions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23,472</w:t>
            </w:r>
          </w:p>
        </w:tc>
      </w:tr>
      <w:tr>
        <w:trPr>
          <w:trHeight w:val="81"/>
        </w:trPr>
        <w:tc>
          <w:tcPr>
            <w:tcW w:w="8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Premiums receivable from RISCOM as of December 31, 2023 and 2022 were $10.6 and $9.9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reinsurance agreements with Everest Re, an affiliate of Mt. Whitney Securities, LLC, which was a limited partner of Westaim HIIG LP through November 30, 2022, and a holder of preferred shares. During the year ended December 31, 2023, Mt. Whitney Securities divested their entire ownership of the Company’s equity securities. Reinsurance premiums ceded during the year ended December 31, 2022 related to the agreement was $59.6 million. Reinsurance recoverable from Everest Re, net of premium payables at December 31, 2022 was $177.5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years ended December 31, 2023 and 2022 were $3.6 million and $3.4 million,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5, 6 and 10 for investments involving affiliated companies and additional related party transactions.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for related party transactions related to the Company’s common and preferred shares.</w:t>
      </w:r>
    </w:p>
    <w:p>
      <w:pPr>
        <w:spacing w:after="0" w:line="113" w:lineRule="exact"/>
        <w:rPr>
          <w:sz w:val="20"/>
          <w:szCs w:val="20"/>
          <w:color w:val="auto"/>
        </w:rPr>
      </w:pPr>
    </w:p>
    <w:p>
      <w:pPr>
        <w:ind w:right="8280" w:firstLine="8"/>
        <w:spacing w:after="0" w:line="378" w:lineRule="auto"/>
        <w:tabs>
          <w:tab w:leader="none" w:pos="405" w:val="left"/>
        </w:tabs>
        <w:numPr>
          <w:ilvl w:val="0"/>
          <w:numId w:val="5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Commitments and Contingencies Litigation</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Company’s management believes the resolution of any such matters will not, individually or in the aggregate, have a</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on the Company’s consolidated balance sheets, consolidated statements of operations or consolidated statements of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and 2022, the Company recorded no provision for various contingencies.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of the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As of December 31, 2023, the Company does not have reason to believe any such significant claims exist.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Consideration Related to Acquisitions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potentially owes earn-out liabilities to former owners of assets and business acquired. No earn-out liabilities existed as of December 31, 2023 and 2022. No earn-out payment was made to former owners during the years ended December 31, 2023 and 2022.</w:t>
      </w:r>
    </w:p>
    <w:p>
      <w:pPr>
        <w:spacing w:after="0" w:line="200" w:lineRule="exact"/>
        <w:rPr>
          <w:sz w:val="20"/>
          <w:szCs w:val="20"/>
          <w:color w:val="auto"/>
        </w:rPr>
      </w:pPr>
    </w:p>
    <w:p>
      <w:pPr>
        <w:spacing w:after="0" w:line="201" w:lineRule="exact"/>
        <w:rPr>
          <w:sz w:val="20"/>
          <w:szCs w:val="20"/>
          <w:color w:val="auto"/>
        </w:rPr>
      </w:pPr>
    </w:p>
    <w:p>
      <w:pPr>
        <w:ind w:left="420" w:hanging="412"/>
        <w:spacing w:after="0"/>
        <w:tabs>
          <w:tab w:leader="none" w:pos="420" w:val="left"/>
        </w:tabs>
        <w:numPr>
          <w:ilvl w:val="0"/>
          <w:numId w:val="6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 xml:space="preserve">Statutory Accounting Principles and </w:t>
      </w:r>
      <w:r>
        <w:rPr>
          <w:rFonts w:ascii="Times New Roman" w:cs="Times New Roman" w:eastAsia="Times New Roman" w:hAnsi="Times New Roman"/>
          <w:sz w:val="18"/>
          <w:szCs w:val="18"/>
          <w:b w:val="1"/>
          <w:bCs w:val="1"/>
          <w:u w:val="single" w:color="auto"/>
          <w:color w:val="231F20"/>
        </w:rPr>
        <w:t>Regulatory Matters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statutory net income and statutory capital and surplus for the Company for the years ended and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602,916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408,167</w:t>
            </w:r>
          </w:p>
        </w:tc>
      </w:tr>
      <w:tr>
        <w:trPr>
          <w:trHeight w:val="81"/>
        </w:trPr>
        <w:tc>
          <w:tcPr>
            <w:tcW w:w="8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Dividend payments to the Company from HSIC are restricted by Texas state law as to the amount that may be paid without the approval of regulatory authorities. The maximum amount of dividends which can be paid by HSIC without prior approval is subject to restrictions relating to policyholder surplus, net income, and dividends declared or distributed during the preceding 12 months. As of December 31, 2023, HSIC is not restricted to paying ordinary dividends. HSIC did not declare or pay any dividend during the years ended December 31, 2023 and 2022.</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casualty insurance companies are subject to certain Risk Based Capital (“RBC”) requirements as specified by the National Association of Insurance Commissioners (“NAIC”). Under those requirements, the amount of capital and surplus maintained by a property and casualty insurance company is to be determined based on the various risk factors related to it. As of December 31, 2023 and 2022, HSIC’s statutory capital and surplus substantially exceeded the regulatory requirements.</w:t>
      </w:r>
    </w:p>
    <w:p>
      <w:pPr>
        <w:spacing w:after="0" w:line="68" w:lineRule="exact"/>
        <w:rPr>
          <w:sz w:val="20"/>
          <w:szCs w:val="20"/>
          <w:color w:val="auto"/>
        </w:rPr>
      </w:pPr>
    </w:p>
    <w:p>
      <w:pPr>
        <w:ind w:left="420" w:hanging="412"/>
        <w:spacing w:after="0"/>
        <w:tabs>
          <w:tab w:leader="none" w:pos="420" w:val="left"/>
        </w:tabs>
        <w:numPr>
          <w:ilvl w:val="0"/>
          <w:numId w:val="6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Subsequent Events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15, 2024, the Company redeemed the Debentures and paid $1.4 million of accrued interest. The Company drew $50.0 million on the Revolving Credit Facility and used the proceeds and existing cash to fund the redemption. After the draw, the Company had $100.0 million outstanding under the Revolving Credit Facility with another $50.0 million of undrawn capacity.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our principal executive officer and principal financial officer have concluded that as of December 31, 2023,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w:t>
      </w:r>
    </w:p>
    <w:p>
      <w:pPr>
        <w:spacing w:after="0" w:line="72" w:lineRule="exact"/>
        <w:rPr>
          <w:sz w:val="20"/>
          <w:szCs w:val="20"/>
          <w:color w:val="auto"/>
        </w:rPr>
      </w:pPr>
    </w:p>
    <w:p>
      <w:pPr>
        <w:ind w:left="220" w:hanging="212"/>
        <w:spacing w:after="0"/>
        <w:tabs>
          <w:tab w:leader="none" w:pos="2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2023. In making this assessment, management used the framework in Internal Control-Integrated Framework (2013) issued by the Committee of Sponsoring Organizations of the Treadway Commission.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our board of directors.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that assessment under the framework in Internal Control-Integrated Framework (2013), management concluded that the company’s internal control over financial reporting was effective as of December 31, 2023.</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company’s registered public accounting firm regarding internal control over financial reporting as we are an emerging growth company as of December 31, 2023, as defined in the JOBS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year ended December 31, 2023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30, 2023, Andrew Robinson, Chief Executive Officer, adopted a Rule 10b5-1 trading plan. Mr. Robinson’s plan provides for the sale of up to 126,748 shares of our common stock by December 31, 2024. This plan was entered into during an open insider trading window and is intended to satisfy the affirmative defense of Rule 10b5-1(c) under the Exchange Act and our policies regarding transactions in our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 Not applicable.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by this Item 10 of Form 10-K will be included in our 2024 Proxy Statement and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by this Item 11 of Form 10-K will be included in our 2024 Proxy Statement and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by this Item 12 of Form 10-K will be included in our 2024 Proxy Statement and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by this Item 13 of Form 10-K will be included in our 2024 Proxy Statement and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independent registered public accounting firm is Ernst &amp; Young LLP, Houston, Texas. Auditor Firm ID: 42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by this Item 14 of Form 10-K will be included in our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297" w:right="10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LISTING OF FINANCIAL STATEMENTS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consolidated financials statements of the Company are filed as part of this Form 10-K and are included in Item 8:</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two years in the period ended December 31, 2023 and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two years in the period ended December 31, 2023 and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two years in the period ended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Schedule Number</w:t>
            </w:r>
          </w:p>
        </w:tc>
        <w:tc>
          <w:tcPr>
            <w:tcW w:w="9000" w:type="dxa"/>
            <w:vAlign w:val="bottom"/>
            <w:gridSpan w:val="2"/>
          </w:tcPr>
          <w:p>
            <w:pPr>
              <w:ind w:left="3800"/>
              <w:spacing w:after="0"/>
              <w:rPr>
                <w:sz w:val="20"/>
                <w:szCs w:val="20"/>
                <w:color w:val="auto"/>
              </w:rPr>
            </w:pPr>
            <w:r>
              <w:rPr>
                <w:rFonts w:ascii="Times New Roman" w:cs="Times New Roman" w:eastAsia="Times New Roman" w:hAnsi="Times New Roman"/>
                <w:sz w:val="14"/>
                <w:szCs w:val="14"/>
                <w:b w:val="1"/>
                <w:bCs w:val="1"/>
                <w:color w:val="auto"/>
              </w:rPr>
              <w:t>Schedule Description</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7"/>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of Investments — Other Than in Related Parties at December 31, 2023</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II.</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Financial Information of Registrant (Parent Company) for the years ended December 31, 2023 and 2022</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102</w:t>
            </w:r>
          </w:p>
        </w:tc>
      </w:tr>
      <w:tr>
        <w:trPr>
          <w:trHeight w:val="27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4"/>
              </w:rPr>
              <w:t>IV.</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Supplementary Reinsurance Information for the years ended December 31, 2023 and 2022</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105</w:t>
            </w:r>
          </w:p>
        </w:tc>
      </w:tr>
      <w:tr>
        <w:trPr>
          <w:trHeight w:val="27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V.</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and Qualifying Accounts for the years ended December 31, 2023 and 2022</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106</w:t>
            </w:r>
          </w:p>
        </w:tc>
      </w:tr>
      <w:tr>
        <w:trPr>
          <w:trHeight w:val="252"/>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VI.</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Supplementary Information Concerning Property — Casualty Insurance Operations for the years ended December 31,</w:t>
            </w:r>
          </w:p>
        </w:tc>
        <w:tc>
          <w:tcPr>
            <w:tcW w:w="900" w:type="dxa"/>
            <w:vAlign w:val="bottom"/>
          </w:tcPr>
          <w:p>
            <w:pPr>
              <w:spacing w:after="0"/>
              <w:rPr>
                <w:sz w:val="21"/>
                <w:szCs w:val="2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and 2022</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LISTING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Pr>
          <w:p>
            <w:pPr>
              <w:spacing w:after="0"/>
              <w:rPr>
                <w:sz w:val="15"/>
                <w:szCs w:val="15"/>
                <w:color w:val="auto"/>
              </w:rPr>
            </w:pPr>
          </w:p>
        </w:tc>
      </w:tr>
      <w:tr>
        <w:trPr>
          <w:trHeight w:val="19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Borders>
              <w:bottom w:val="single" w:sz="8" w:color="auto"/>
            </w:tcBorders>
          </w:tcPr>
          <w:p>
            <w:pPr>
              <w:spacing w:after="0"/>
              <w:rPr>
                <w:sz w:val="3"/>
                <w:szCs w:val="3"/>
                <w:color w:val="auto"/>
              </w:rPr>
            </w:pPr>
          </w:p>
        </w:tc>
      </w:tr>
      <w:tr>
        <w:trPr>
          <w:trHeight w:val="21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5">
              <w:r>
                <w:rPr>
                  <w:rFonts w:ascii="Times New Roman" w:cs="Times New Roman" w:eastAsia="Times New Roman" w:hAnsi="Times New Roman"/>
                  <w:sz w:val="18"/>
                  <w:szCs w:val="18"/>
                  <w:color w:val="auto"/>
                </w:rPr>
                <w:t>Amended and Restated Certificate of Incorporation (incorporated by reference to Exhibit 3.1 to the Company's Current Report on Form</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5">
              <w:r>
                <w:rPr>
                  <w:rFonts w:ascii="Times New Roman" w:cs="Times New Roman" w:eastAsia="Times New Roman" w:hAnsi="Times New Roman"/>
                  <w:sz w:val="18"/>
                  <w:szCs w:val="18"/>
                  <w:color w:val="auto"/>
                </w:rPr>
                <w:t>8-K filed with the Commission on January 18, 2023).</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6">
              <w:r>
                <w:rPr>
                  <w:rFonts w:ascii="Times New Roman" w:cs="Times New Roman" w:eastAsia="Times New Roman" w:hAnsi="Times New Roman"/>
                  <w:sz w:val="18"/>
                  <w:szCs w:val="18"/>
                  <w:color w:val="auto"/>
                </w:rPr>
                <w:t>Amended and Restated Bylaws (incorporated by reference to Exhibit 3.2 to the Company's Current Report on Form 8-K filed with the</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6">
              <w:r>
                <w:rPr>
                  <w:rFonts w:ascii="Times New Roman" w:cs="Times New Roman" w:eastAsia="Times New Roman" w:hAnsi="Times New Roman"/>
                  <w:sz w:val="18"/>
                  <w:szCs w:val="18"/>
                  <w:color w:val="auto"/>
                </w:rPr>
                <w:t>Commission on January 18, 2023).</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7">
              <w:r>
                <w:rPr>
                  <w:rFonts w:ascii="Times New Roman" w:cs="Times New Roman" w:eastAsia="Times New Roman" w:hAnsi="Times New Roman"/>
                  <w:sz w:val="18"/>
                  <w:szCs w:val="18"/>
                  <w:color w:val="auto"/>
                </w:rPr>
                <w:t>Amended and Restated Stockholders’ Agreement, dated March 12, 2014, by and among the Company and the stockholders listed therein</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7">
              <w:r>
                <w:rPr>
                  <w:rFonts w:ascii="Times New Roman" w:cs="Times New Roman" w:eastAsia="Times New Roman" w:hAnsi="Times New Roman"/>
                  <w:sz w:val="18"/>
                  <w:szCs w:val="18"/>
                  <w:color w:val="auto"/>
                </w:rPr>
                <w:t>(incorporated by reference to Exhibit 4.1 to the Company's Registration Statement on Form S-1, filed with the SEC on November 14,</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7">
              <w:r>
                <w:rPr>
                  <w:rFonts w:ascii="Times New Roman" w:cs="Times New Roman" w:eastAsia="Times New Roman" w:hAnsi="Times New Roman"/>
                  <w:sz w:val="18"/>
                  <w:szCs w:val="18"/>
                  <w:color w:val="auto"/>
                </w:rPr>
                <w:t>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8">
              <w:r>
                <w:rPr>
                  <w:rFonts w:ascii="Times New Roman" w:cs="Times New Roman" w:eastAsia="Times New Roman" w:hAnsi="Times New Roman"/>
                  <w:sz w:val="18"/>
                  <w:szCs w:val="18"/>
                  <w:color w:val="auto"/>
                </w:rPr>
                <w:t xml:space="preserve">Description of Capital Stock </w:t>
              </w:r>
            </w:hyperlink>
            <w:r>
              <w:rPr>
                <w:rFonts w:ascii="Times New Roman" w:cs="Times New Roman" w:eastAsia="Times New Roman" w:hAnsi="Times New Roman"/>
                <w:sz w:val="18"/>
                <w:szCs w:val="18"/>
                <w:color w:val="auto"/>
              </w:rPr>
              <w:t>(incorporated by reference to Exhibit 4.2 to the Company’s Annual Report on Form 10-K, filed with the</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 on March 28, 2023).</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9">
              <w:r>
                <w:rPr>
                  <w:rFonts w:ascii="Times New Roman" w:cs="Times New Roman" w:eastAsia="Times New Roman" w:hAnsi="Times New Roman"/>
                  <w:sz w:val="18"/>
                  <w:szCs w:val="18"/>
                  <w:color w:val="auto"/>
                </w:rPr>
                <w:t>Share Purchase and Award Agreement and form of agreements thereunder in use before 2016 (incorporated by reference to Exhibit 10.1</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29">
              <w:r>
                <w:rPr>
                  <w:rFonts w:ascii="Times New Roman" w:cs="Times New Roman" w:eastAsia="Times New Roman" w:hAnsi="Times New Roman"/>
                  <w:sz w:val="18"/>
                  <w:szCs w:val="18"/>
                  <w:color w:val="auto"/>
                </w:rPr>
                <w:t>to the Company's Registration Statement on Form S-1, filed with the SEC on November 14, 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0">
              <w:r>
                <w:rPr>
                  <w:rFonts w:ascii="Times New Roman" w:cs="Times New Roman" w:eastAsia="Times New Roman" w:hAnsi="Times New Roman"/>
                  <w:sz w:val="18"/>
                  <w:szCs w:val="18"/>
                  <w:color w:val="auto"/>
                </w:rPr>
                <w:t>2016 Equity Incentive Program and form of award agreements thereunder (incorporated by reference to Exhibit 10.2 to the Company's</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0">
              <w:r>
                <w:rPr>
                  <w:rFonts w:ascii="Times New Roman" w:cs="Times New Roman" w:eastAsia="Times New Roman" w:hAnsi="Times New Roman"/>
                  <w:sz w:val="18"/>
                  <w:szCs w:val="18"/>
                  <w:color w:val="auto"/>
                </w:rPr>
                <w:t>Registration Statement on Form S-1, filed with the SEC on November 14, 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1">
              <w:r>
                <w:rPr>
                  <w:rFonts w:ascii="Times New Roman" w:cs="Times New Roman" w:eastAsia="Times New Roman" w:hAnsi="Times New Roman"/>
                  <w:sz w:val="18"/>
                  <w:szCs w:val="18"/>
                  <w:color w:val="auto"/>
                </w:rPr>
                <w:t>2020 Long Term Incentive Plan and form of award agreements thereunder (incorporated by reference to Exhibit 10.3 to the Company's</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1">
              <w:r>
                <w:rPr>
                  <w:rFonts w:ascii="Times New Roman" w:cs="Times New Roman" w:eastAsia="Times New Roman" w:hAnsi="Times New Roman"/>
                  <w:sz w:val="18"/>
                  <w:szCs w:val="18"/>
                  <w:color w:val="auto"/>
                </w:rPr>
                <w:t>Registration Statement on Form S-1, filed with the SEC on November 14, 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2">
              <w:r>
                <w:rPr>
                  <w:rFonts w:ascii="Times New Roman" w:cs="Times New Roman" w:eastAsia="Times New Roman" w:hAnsi="Times New Roman"/>
                  <w:sz w:val="18"/>
                  <w:szCs w:val="18"/>
                  <w:color w:val="auto"/>
                </w:rPr>
                <w:t>Skyward Specialty Insurance Group, Inc. 2022 Long-Term Incentive Plan (incorporated by reference to Exhibit 10.4 to the Company's</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2">
              <w:r>
                <w:rPr>
                  <w:rFonts w:ascii="Times New Roman" w:cs="Times New Roman" w:eastAsia="Times New Roman" w:hAnsi="Times New Roman"/>
                  <w:sz w:val="18"/>
                  <w:szCs w:val="18"/>
                  <w:color w:val="auto"/>
                </w:rPr>
                <w:t>Registration Statement on Form S-1, filed with the SEC on November 14, 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3">
              <w:r>
                <w:rPr>
                  <w:rFonts w:ascii="Times New Roman" w:cs="Times New Roman" w:eastAsia="Times New Roman" w:hAnsi="Times New Roman"/>
                  <w:sz w:val="18"/>
                  <w:szCs w:val="18"/>
                  <w:color w:val="auto"/>
                </w:rPr>
                <w:t>Skyward Specialty Insurance Group, Inc. 2022 Employee Stock Purchase Plan (incorporated by reference to Exhibit 10.5 to the</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3">
              <w:r>
                <w:rPr>
                  <w:rFonts w:ascii="Times New Roman" w:cs="Times New Roman" w:eastAsia="Times New Roman" w:hAnsi="Times New Roman"/>
                  <w:sz w:val="18"/>
                  <w:szCs w:val="18"/>
                  <w:color w:val="auto"/>
                </w:rPr>
                <w:t>Company's Registration Statement on Form S-1, filed with the SEC on November 14, 2022).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Pr>
          <w:p>
            <w:pPr>
              <w:spacing w:after="0"/>
              <w:rPr>
                <w:sz w:val="15"/>
                <w:szCs w:val="15"/>
                <w:color w:val="auto"/>
              </w:rPr>
            </w:pPr>
          </w:p>
        </w:tc>
      </w:tr>
      <w:tr>
        <w:trPr>
          <w:trHeight w:val="19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Borders>
              <w:bottom w:val="single" w:sz="8" w:color="auto"/>
            </w:tcBorders>
          </w:tcPr>
          <w:p>
            <w:pPr>
              <w:spacing w:after="0"/>
              <w:rPr>
                <w:sz w:val="3"/>
                <w:szCs w:val="3"/>
                <w:color w:val="auto"/>
              </w:rPr>
            </w:pPr>
          </w:p>
        </w:tc>
      </w:tr>
      <w:tr>
        <w:trPr>
          <w:trHeight w:val="21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6">
              <w:r>
                <w:rPr>
                  <w:rFonts w:ascii="Times New Roman" w:cs="Times New Roman" w:eastAsia="Times New Roman" w:hAnsi="Times New Roman"/>
                  <w:sz w:val="18"/>
                  <w:szCs w:val="18"/>
                  <w:color w:val="auto"/>
                </w:rPr>
                <w:t>Form of Restricted Stock Units Agreement and form of notice under the Company's 2022 Long-Term Incentive Plan (incorporated by</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6">
              <w:r>
                <w:rPr>
                  <w:rFonts w:ascii="Times New Roman" w:cs="Times New Roman" w:eastAsia="Times New Roman" w:hAnsi="Times New Roman"/>
                  <w:sz w:val="18"/>
                  <w:szCs w:val="18"/>
                  <w:color w:val="auto"/>
                </w:rPr>
                <w:t>reference to Exhibit 99.6 to the Company's Registration Statement on Form S-8, filed with the SEC on January 12, 2023).</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7">
              <w:r>
                <w:rPr>
                  <w:rFonts w:ascii="Times New Roman" w:cs="Times New Roman" w:eastAsia="Times New Roman" w:hAnsi="Times New Roman"/>
                  <w:sz w:val="18"/>
                  <w:szCs w:val="18"/>
                  <w:color w:val="auto"/>
                </w:rPr>
                <w:t>Form of Restricted Stock Agreement under the Company’s 2022 Long-Term Incentive Plan (incorporated by reference to Exhibit 99.7 to</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7">
              <w:r>
                <w:rPr>
                  <w:rFonts w:ascii="Times New Roman" w:cs="Times New Roman" w:eastAsia="Times New Roman" w:hAnsi="Times New Roman"/>
                  <w:sz w:val="18"/>
                  <w:szCs w:val="18"/>
                  <w:color w:val="auto"/>
                </w:rPr>
                <w:t>the Company's Registration Statement on Form S-8, filed with the SEC on January 12, 2023).</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8">
              <w:r>
                <w:rPr>
                  <w:rFonts w:ascii="Times New Roman" w:cs="Times New Roman" w:eastAsia="Times New Roman" w:hAnsi="Times New Roman"/>
                  <w:sz w:val="18"/>
                  <w:szCs w:val="18"/>
                  <w:color w:val="auto"/>
                </w:rPr>
                <w:t>Form of Nonstatutory Stock Option Agreement and form of notice under the Company's 2022 Long-Term Incentive Plan (incorporated</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8">
              <w:r>
                <w:rPr>
                  <w:rFonts w:ascii="Times New Roman" w:cs="Times New Roman" w:eastAsia="Times New Roman" w:hAnsi="Times New Roman"/>
                  <w:sz w:val="18"/>
                  <w:szCs w:val="18"/>
                  <w:color w:val="auto"/>
                </w:rPr>
                <w:t>by reference to Exhibit 99.8 to the Company's Registration Statement on Form S-8, filed with the SEC on January 12, 2023).</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9">
              <w:r>
                <w:rPr>
                  <w:rFonts w:ascii="Times New Roman" w:cs="Times New Roman" w:eastAsia="Times New Roman" w:hAnsi="Times New Roman"/>
                  <w:sz w:val="18"/>
                  <w:szCs w:val="18"/>
                  <w:color w:val="auto"/>
                </w:rPr>
                <w:t>Form of Incentive Stock Option Agreement and form of notice under the Company's 2022 Long-Term Incentive Plan (incorporated by</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39">
              <w:r>
                <w:rPr>
                  <w:rFonts w:ascii="Times New Roman" w:cs="Times New Roman" w:eastAsia="Times New Roman" w:hAnsi="Times New Roman"/>
                  <w:sz w:val="18"/>
                  <w:szCs w:val="18"/>
                  <w:color w:val="auto"/>
                </w:rPr>
                <w:t>reference to Exhibit 99.9 to the Company's Registration Statement on Form S-8, filed with the SEC on January 12, 2023).</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0">
              <w:r>
                <w:rPr>
                  <w:rFonts w:ascii="Times New Roman" w:cs="Times New Roman" w:eastAsia="Times New Roman" w:hAnsi="Times New Roman"/>
                  <w:sz w:val="18"/>
                  <w:szCs w:val="18"/>
                  <w:color w:val="auto"/>
                </w:rPr>
                <w:t xml:space="preserve">Form of Performance-Based Restricted Stock Units Agreement under the Company’s 2022 Long-Term Incentive Plan </w:t>
              </w:r>
            </w:hyperlink>
            <w:r>
              <w:rPr>
                <w:rFonts w:ascii="Times New Roman" w:cs="Times New Roman" w:eastAsia="Times New Roman" w:hAnsi="Times New Roman"/>
                <w:sz w:val="18"/>
                <w:szCs w:val="18"/>
                <w:color w:val="auto"/>
              </w:rPr>
              <w:t>(incorporated by</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10.10 to the Company’s Annual Report on Form 10-K, filed with the SEC on March 28, 2023).</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1">
              <w:r>
                <w:rPr>
                  <w:rFonts w:ascii="Times New Roman" w:cs="Times New Roman" w:eastAsia="Times New Roman" w:hAnsi="Times New Roman"/>
                  <w:sz w:val="18"/>
                  <w:szCs w:val="18"/>
                  <w:color w:val="auto"/>
                </w:rPr>
                <w:t xml:space="preserve">Performance-Based Restricted Stock Units Agreement under the Company’s 2022 Long-Term Incentive Plan </w:t>
              </w:r>
            </w:hyperlink>
            <w:r>
              <w:rPr>
                <w:rFonts w:ascii="Times New Roman" w:cs="Times New Roman" w:eastAsia="Times New Roman" w:hAnsi="Times New Roman"/>
                <w:sz w:val="18"/>
                <w:szCs w:val="18"/>
                <w:color w:val="auto"/>
              </w:rPr>
              <w:t>(incorporated by reference</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10.11 to the Company’s Annual Report on Form 10-K, filed with the SEC on March 28, 2023).</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2">
              <w:r>
                <w:rPr>
                  <w:rFonts w:ascii="Times New Roman" w:cs="Times New Roman" w:eastAsia="Times New Roman" w:hAnsi="Times New Roman"/>
                  <w:sz w:val="18"/>
                  <w:szCs w:val="18"/>
                  <w:color w:val="auto"/>
                </w:rPr>
                <w:t xml:space="preserve">Performance Unit Agreement under the Company’s 2022 Long-Term Incentive Plan </w:t>
              </w:r>
            </w:hyperlink>
            <w:r>
              <w:rPr>
                <w:rFonts w:ascii="Times New Roman" w:cs="Times New Roman" w:eastAsia="Times New Roman" w:hAnsi="Times New Roman"/>
                <w:sz w:val="18"/>
                <w:szCs w:val="18"/>
                <w:color w:val="auto"/>
              </w:rPr>
              <w:t>(incorporated by reference to Exhibit 10.12 to the</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Company’s Annual Report on Form 10-K, filed with the SEC on March 28, 2023).</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Amended Form of Performance Share (GBVPS) Agreement under the Company’s 2022 Long-Term Incentive Plan.</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Amended Form of Performance Share (Executives) Agreement under the Company’s 2022 Long-Term Incentive Plan.</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Amended Form of Performance Share (Others) Agreement under the Company’s 2022 Long-Term Incentive Plan.</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Amended Form of Performance Cash Units Agreement under the Company’s Long-Term Incentive Plan.</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Amended Form of the Restricted Stock Unit (Executives) Agreement under the Company’s 2022 Long-Term Incentive Plan.</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Amended Form of Restricted Stock Unit (Others) Agreement under the Company’s 2022 Long-Term Incentive Plan.</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Amended Form of Long-Term Performance Cash Plan and Award Letter under the Company’s 2022 Long-Term Incentive Plan.</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3">
              <w:r>
                <w:rPr>
                  <w:rFonts w:ascii="Times New Roman" w:cs="Times New Roman" w:eastAsia="Times New Roman" w:hAnsi="Times New Roman"/>
                  <w:sz w:val="18"/>
                  <w:szCs w:val="18"/>
                  <w:color w:val="auto"/>
                </w:rPr>
                <w:t>Form of Indemnification Agreement (incorporated by reference to Exhibit 10.6 to the Company's Registration Statement on Form S-1,</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3">
              <w:r>
                <w:rPr>
                  <w:rFonts w:ascii="Times New Roman" w:cs="Times New Roman" w:eastAsia="Times New Roman" w:hAnsi="Times New Roman"/>
                  <w:sz w:val="18"/>
                  <w:szCs w:val="18"/>
                  <w:color w:val="auto"/>
                </w:rPr>
                <w:t>filed with the SEC on November 14, 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4">
              <w:r>
                <w:rPr>
                  <w:rFonts w:ascii="Times New Roman" w:cs="Times New Roman" w:eastAsia="Times New Roman" w:hAnsi="Times New Roman"/>
                  <w:sz w:val="18"/>
                  <w:szCs w:val="18"/>
                  <w:color w:val="auto"/>
                </w:rPr>
                <w:t>Employment Agreement, dated May 22, 2020, by and between the Registrant and Andrew Robinson, with Amendment No. 1 dated</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4">
              <w:r>
                <w:rPr>
                  <w:rFonts w:ascii="Times New Roman" w:cs="Times New Roman" w:eastAsia="Times New Roman" w:hAnsi="Times New Roman"/>
                  <w:sz w:val="18"/>
                  <w:szCs w:val="18"/>
                  <w:color w:val="auto"/>
                </w:rPr>
                <w:t>January 1, 2022 (incorporated by reference to Exhibit 10.7 to the Company's Registration Statement on Form S-1, filed with the SEC on</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4">
              <w:r>
                <w:rPr>
                  <w:rFonts w:ascii="Times New Roman" w:cs="Times New Roman" w:eastAsia="Times New Roman" w:hAnsi="Times New Roman"/>
                  <w:sz w:val="18"/>
                  <w:szCs w:val="18"/>
                  <w:color w:val="auto"/>
                </w:rPr>
                <w:t>November 14, 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5">
              <w:r>
                <w:rPr>
                  <w:rFonts w:ascii="Times New Roman" w:cs="Times New Roman" w:eastAsia="Times New Roman" w:hAnsi="Times New Roman"/>
                  <w:sz w:val="18"/>
                  <w:szCs w:val="18"/>
                  <w:color w:val="auto"/>
                </w:rPr>
                <w:t>Form of Promissory Note (incorporated by reference to Exhibit 10.8 to the Company's Registration Statement on Form S-1, filed with</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5">
              <w:r>
                <w:rPr>
                  <w:rFonts w:ascii="Times New Roman" w:cs="Times New Roman" w:eastAsia="Times New Roman" w:hAnsi="Times New Roman"/>
                  <w:sz w:val="18"/>
                  <w:szCs w:val="18"/>
                  <w:color w:val="auto"/>
                </w:rPr>
                <w:t>the SEC on November 14, 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6">
              <w:r>
                <w:rPr>
                  <w:rFonts w:ascii="Times New Roman" w:cs="Times New Roman" w:eastAsia="Times New Roman" w:hAnsi="Times New Roman"/>
                  <w:sz w:val="18"/>
                  <w:szCs w:val="18"/>
                  <w:color w:val="auto"/>
                </w:rPr>
                <w:t>Credit Agreement by and between Prosperity Bank and Houston International Insurance Group, Ltd., dated December 11, 2019</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6">
              <w:r>
                <w:rPr>
                  <w:rFonts w:ascii="Times New Roman" w:cs="Times New Roman" w:eastAsia="Times New Roman" w:hAnsi="Times New Roman"/>
                  <w:sz w:val="18"/>
                  <w:szCs w:val="18"/>
                  <w:color w:val="auto"/>
                </w:rPr>
                <w:t>(incorporated by reference to Exhibit 10.10 to the Company's Registration Statement on Form S-1, filed with the SEC on November 14,</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6">
              <w:r>
                <w:rPr>
                  <w:rFonts w:ascii="Times New Roman" w:cs="Times New Roman" w:eastAsia="Times New Roman" w:hAnsi="Times New Roman"/>
                  <w:sz w:val="18"/>
                  <w:szCs w:val="18"/>
                  <w:color w:val="auto"/>
                </w:rPr>
                <w:t>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10.24*</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7">
              <w:r>
                <w:rPr>
                  <w:rFonts w:ascii="Times New Roman" w:cs="Times New Roman" w:eastAsia="Times New Roman" w:hAnsi="Times New Roman"/>
                  <w:sz w:val="18"/>
                  <w:szCs w:val="18"/>
                  <w:color w:val="auto"/>
                </w:rPr>
                <w:t>Loss Portfolio Transfer and Adverse Development Retrocession Agreement by and among R&amp;Q Bermuda (SAC) Limited acting in</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7">
              <w:r>
                <w:rPr>
                  <w:rFonts w:ascii="Times New Roman" w:cs="Times New Roman" w:eastAsia="Times New Roman" w:hAnsi="Times New Roman"/>
                  <w:sz w:val="18"/>
                  <w:szCs w:val="18"/>
                  <w:color w:val="auto"/>
                </w:rPr>
                <w:t>respect of the HIIG Segregated Account, HIIG Re, Houston Specialty Insurance Company, Imperium Insurance Company, and Great</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7">
              <w:r>
                <w:rPr>
                  <w:rFonts w:ascii="Times New Roman" w:cs="Times New Roman" w:eastAsia="Times New Roman" w:hAnsi="Times New Roman"/>
                  <w:sz w:val="18"/>
                  <w:szCs w:val="18"/>
                  <w:color w:val="auto"/>
                </w:rPr>
                <w:t>Midwest Insurance Company, dated April 1, 2020 (incorporated by reference to Exhibit 10.14 to the Company's Registration Statement</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47">
              <w:r>
                <w:rPr>
                  <w:rFonts w:ascii="Times New Roman" w:cs="Times New Roman" w:eastAsia="Times New Roman" w:hAnsi="Times New Roman"/>
                  <w:sz w:val="18"/>
                  <w:szCs w:val="18"/>
                  <w:color w:val="auto"/>
                </w:rPr>
                <w:t>on Form S-1, filed with the SEC on November 14, 2022).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tcPr>
          <w:p>
            <w:pPr>
              <w:spacing w:after="0"/>
              <w:rPr>
                <w:sz w:val="15"/>
                <w:szCs w:val="15"/>
                <w:color w:val="auto"/>
              </w:rPr>
            </w:pPr>
          </w:p>
        </w:tc>
      </w:tr>
      <w:tr>
        <w:trPr>
          <w:trHeight w:val="19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Borders>
              <w:bottom w:val="single" w:sz="8" w:color="auto"/>
            </w:tcBorders>
          </w:tcPr>
          <w:p>
            <w:pPr>
              <w:spacing w:after="0"/>
              <w:rPr>
                <w:sz w:val="3"/>
                <w:szCs w:val="3"/>
                <w:color w:val="auto"/>
              </w:rPr>
            </w:pPr>
          </w:p>
        </w:tc>
      </w:tr>
      <w:tr>
        <w:trPr>
          <w:trHeight w:val="21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10.25*</w:t>
            </w: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0">
              <w:r>
                <w:rPr>
                  <w:rFonts w:ascii="Times New Roman" w:cs="Times New Roman" w:eastAsia="Times New Roman" w:hAnsi="Times New Roman"/>
                  <w:sz w:val="18"/>
                  <w:szCs w:val="18"/>
                  <w:color w:val="auto"/>
                </w:rPr>
                <w:t>Investment Management Agreement by and among Arena Investors, LP, Houston Specialty Insurance Company, Imperium Insurance</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0">
              <w:r>
                <w:rPr>
                  <w:rFonts w:ascii="Times New Roman" w:cs="Times New Roman" w:eastAsia="Times New Roman" w:hAnsi="Times New Roman"/>
                  <w:sz w:val="18"/>
                  <w:szCs w:val="18"/>
                  <w:color w:val="auto"/>
                </w:rPr>
                <w:t>Company, and Great Midwest Insurance Company, dated November 6, 2015, with a Supplemental Acknowledgement dated January 13,</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0">
              <w:r>
                <w:rPr>
                  <w:rFonts w:ascii="Times New Roman" w:cs="Times New Roman" w:eastAsia="Times New Roman" w:hAnsi="Times New Roman"/>
                  <w:sz w:val="18"/>
                  <w:szCs w:val="18"/>
                  <w:color w:val="auto"/>
                </w:rPr>
                <w:t>2016, a Supplemental Acknowledgement dated May 17, 2021, Supplemental Acknowledgement B dated May 17, 2021, an Amendment</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0">
              <w:r>
                <w:rPr>
                  <w:rFonts w:ascii="Times New Roman" w:cs="Times New Roman" w:eastAsia="Times New Roman" w:hAnsi="Times New Roman"/>
                  <w:sz w:val="18"/>
                  <w:szCs w:val="18"/>
                  <w:color w:val="auto"/>
                </w:rPr>
                <w:t>Agreement effective March 15, 2022, and a Supplemental Acknowledgement dated March 23, 2022 (incorporated by reference to</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0">
              <w:r>
                <w:rPr>
                  <w:rFonts w:ascii="Times New Roman" w:cs="Times New Roman" w:eastAsia="Times New Roman" w:hAnsi="Times New Roman"/>
                  <w:sz w:val="18"/>
                  <w:szCs w:val="18"/>
                  <w:color w:val="auto"/>
                </w:rPr>
                <w:t>Exhibit 10.15 to the Company's Registration Statement on Form S-1, filed with the SEC on November 14, 2022).</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21"/>
                <w:szCs w:val="21"/>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Agreement effective as of December 8, 2023, to that certain Investment Management Agreement dated November</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6, 2015, by and among Arena Investors, LP, Houston Specialty Insurance Company, Imperium Insurance Company, and Great Midwest</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Insurance Company.</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1">
              <w:r>
                <w:rPr>
                  <w:rFonts w:ascii="Times New Roman" w:cs="Times New Roman" w:eastAsia="Times New Roman" w:hAnsi="Times New Roman"/>
                  <w:sz w:val="18"/>
                  <w:szCs w:val="18"/>
                  <w:color w:val="auto"/>
                </w:rPr>
                <w:t>Credit Agreement, dated March 29, 2023, by and among Skyward Specialty Insurance Group, Inc., the lenders from time to time party</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1">
              <w:r>
                <w:rPr>
                  <w:rFonts w:ascii="Times New Roman" w:cs="Times New Roman" w:eastAsia="Times New Roman" w:hAnsi="Times New Roman"/>
                  <w:sz w:val="18"/>
                  <w:szCs w:val="18"/>
                  <w:color w:val="auto"/>
                </w:rPr>
                <w:t>thereto and Truist Bank, as administrative agent (incorporated by reference to Exhibit 10.1 to the Company's Current Report on Form 8-</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1">
              <w:r>
                <w:rPr>
                  <w:rFonts w:ascii="Times New Roman" w:cs="Times New Roman" w:eastAsia="Times New Roman" w:hAnsi="Times New Roman"/>
                  <w:sz w:val="18"/>
                  <w:szCs w:val="18"/>
                  <w:color w:val="auto"/>
                </w:rPr>
                <w:t>K filed with the Commission on April 3, 2023).</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tcPr>
          <w:p>
            <w:pPr>
              <w:spacing w:after="0"/>
              <w:rPr>
                <w:sz w:val="21"/>
                <w:szCs w:val="21"/>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dated as of February 26, 2024, to that certain Credit Agreement, dated March 29, 2023, by and among Skyward</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Specialty Inc., the lenders from time to time party thereto and Truist Bank, as administrative agent.</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2">
              <w:r>
                <w:rPr>
                  <w:rFonts w:ascii="Times New Roman" w:cs="Times New Roman" w:eastAsia="Times New Roman" w:hAnsi="Times New Roman"/>
                  <w:sz w:val="18"/>
                  <w:szCs w:val="18"/>
                  <w:color w:val="auto"/>
                </w:rPr>
                <w:t>Guaranty Agreement, dated March 29, 2023, by and among Skyward Service Company, Skyward Underwriters Agency, Inc., the loan</w:t>
              </w:r>
            </w:hyperlink>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2">
              <w:r>
                <w:rPr>
                  <w:rFonts w:ascii="Times New Roman" w:cs="Times New Roman" w:eastAsia="Times New Roman" w:hAnsi="Times New Roman"/>
                  <w:sz w:val="18"/>
                  <w:szCs w:val="18"/>
                  <w:color w:val="auto"/>
                </w:rPr>
                <w:t>parties identified on the signature pages thereto and Truist Bank. (incorporated by reference to Exhibit 10.2 to the Company's Current</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2">
              <w:r>
                <w:rPr>
                  <w:rFonts w:ascii="Times New Roman" w:cs="Times New Roman" w:eastAsia="Times New Roman" w:hAnsi="Times New Roman"/>
                  <w:sz w:val="18"/>
                  <w:szCs w:val="18"/>
                  <w:color w:val="auto"/>
                </w:rPr>
                <w:t>Report on Form 8-K filed with the Commission on April 3, 2023).</w:t>
              </w:r>
            </w:hyperlink>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3">
              <w:r>
                <w:rPr>
                  <w:rFonts w:ascii="Times New Roman" w:cs="Times New Roman" w:eastAsia="Times New Roman" w:hAnsi="Times New Roman"/>
                  <w:sz w:val="18"/>
                  <w:szCs w:val="18"/>
                  <w:color w:val="auto"/>
                </w:rPr>
                <w:t>List of Subsidiaries of the Company (incorporated by reference to Exhibit 21.1 to the Company's Registration Statement on Form S-1,</w:t>
              </w:r>
            </w:hyperlink>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color w:val="auto"/>
              </w:rPr>
            </w:pPr>
            <w:hyperlink r:id="rId253">
              <w:r>
                <w:rPr>
                  <w:rFonts w:ascii="Times New Roman" w:cs="Times New Roman" w:eastAsia="Times New Roman" w:hAnsi="Times New Roman"/>
                  <w:sz w:val="18"/>
                  <w:szCs w:val="18"/>
                  <w:color w:val="auto"/>
                </w:rPr>
                <w:t>filed with the SEC on November 14, 2022).</w:t>
              </w:r>
            </w:hyperlink>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or Rule 15d-14(a) of the Securities Exchange Act of 1934, as</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and Accounting Officer pursuant to Rule 13a 14(a) or Rule 15d 14(a) of the Securities Exchange Act</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of 1934, as adopted pursuant to Section 302 of the Sarbanes-Oxley Act of 2002.</w:t>
            </w:r>
          </w:p>
        </w:tc>
      </w:tr>
      <w:tr>
        <w:trPr>
          <w:trHeight w:val="25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Policy for Recovery of Erroneously Awarded Incentive Compensation (“Clawback Policy”) adopted November 9, 2023.</w:t>
            </w:r>
          </w:p>
        </w:tc>
      </w:tr>
      <w:tr>
        <w:trPr>
          <w:trHeight w:val="252"/>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70"/>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be filed by amendment.</w:t>
      </w:r>
    </w:p>
    <w:p>
      <w:pPr>
        <w:spacing w:after="0" w:line="117" w:lineRule="exact"/>
        <w:rPr>
          <w:sz w:val="20"/>
          <w:szCs w:val="20"/>
          <w:color w:val="auto"/>
        </w:rPr>
      </w:pPr>
    </w:p>
    <w:p>
      <w:pPr>
        <w:ind w:left="280" w:hanging="272"/>
        <w:spacing w:after="0"/>
        <w:tabs>
          <w:tab w:leader="none" w:pos="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Portions of this exhibit have been omitted for confidentiality purposes.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SUMMARY OF INVESTMENTS — OTHER THAN IN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Fair Value (if</w:t>
            </w:r>
          </w:p>
        </w:tc>
        <w:tc>
          <w:tcPr>
            <w:tcW w:w="18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 on</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applicable)</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Balance Sheet</w:t>
            </w: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44,166</w:t>
            </w: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392,773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383,420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383,420</w:t>
            </w: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92,778</w:t>
            </w: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281,626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281,626</w:t>
            </w: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29,934</w:t>
            </w: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185,727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185,727</w:t>
            </w: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1,047,713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1,017,651</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 to maturity:</w:t>
            </w:r>
          </w:p>
        </w:tc>
        <w:tc>
          <w:tcPr>
            <w:tcW w:w="20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42,986</w:t>
            </w:r>
          </w:p>
        </w:tc>
      </w:tr>
      <w:tr>
        <w:trPr>
          <w:trHeight w:val="23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fixed maturity securities, held to maturity</w:t>
            </w:r>
          </w:p>
        </w:tc>
        <w:tc>
          <w:tcPr>
            <w:tcW w:w="20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41,017</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42,986</w:t>
            </w: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67,425</w:t>
            </w: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7,358</w:t>
            </w: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43,466</w:t>
            </w: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118,249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118,249</w:t>
            </w: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0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3,798</w:t>
            </w: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270,226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270,226</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270,226</w:t>
            </w: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1,518,431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1,501,011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1,502,980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79"/>
        </w:trPr>
        <w:tc>
          <w:tcPr>
            <w:tcW w:w="4580" w:type="dxa"/>
            <w:vAlign w:val="bottom"/>
          </w:tcPr>
          <w:p>
            <w:pPr>
              <w:spacing w:after="0"/>
              <w:rPr>
                <w:sz w:val="24"/>
                <w:szCs w:val="24"/>
                <w:color w:val="auto"/>
              </w:rPr>
            </w:pPr>
          </w:p>
        </w:tc>
        <w:tc>
          <w:tcPr>
            <w:tcW w:w="20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SCHEDULE II — CONDENSED FINANCIAL INFORMATION OF REGISTRANT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36830</wp:posOffset>
            </wp:positionV>
            <wp:extent cx="19291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743,025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503,549</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753,618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503,574</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r>
      <w:tr>
        <w:trPr>
          <w:trHeight w:val="263"/>
        </w:trPr>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791,090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551,771</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78,690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78,609</w:t>
            </w:r>
          </w:p>
        </w:tc>
      </w:tr>
      <w:tr>
        <w:trPr>
          <w:trHeight w:val="237"/>
        </w:trPr>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130,059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130,109</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661,031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421,662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791,090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551,771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 SCHEDULE II — CONDENSED STATEMENTS OF OPERATIONS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36830</wp:posOffset>
            </wp:positionV>
            <wp:extent cx="19291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45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4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7"/>
        </w:trPr>
        <w:tc>
          <w:tcPr>
            <w:tcW w:w="4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losses</w:t>
            </w:r>
          </w:p>
        </w:tc>
        <w:tc>
          <w:tcPr>
            <w:tcW w:w="3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losses</w:t>
            </w:r>
          </w:p>
        </w:tc>
        <w:tc>
          <w:tcPr>
            <w:tcW w:w="3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4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4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4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3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36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w:t>
            </w:r>
          </w:p>
        </w:tc>
      </w:tr>
      <w:tr>
        <w:trPr>
          <w:trHeight w:val="27"/>
        </w:trPr>
        <w:tc>
          <w:tcPr>
            <w:tcW w:w="45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7"/>
        </w:trPr>
        <w:tc>
          <w:tcPr>
            <w:tcW w:w="45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equity in earnings of subsidiaries</w:t>
            </w:r>
          </w:p>
        </w:tc>
        <w:tc>
          <w:tcPr>
            <w:tcW w:w="36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37"/>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36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100,539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42,114</w:t>
            </w:r>
          </w:p>
        </w:tc>
      </w:tr>
      <w:tr>
        <w:trPr>
          <w:trHeight w:val="27"/>
        </w:trPr>
        <w:tc>
          <w:tcPr>
            <w:tcW w:w="45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79"/>
        </w:trPr>
        <w:tc>
          <w:tcPr>
            <w:tcW w:w="4520" w:type="dxa"/>
            <w:vAlign w:val="bottom"/>
          </w:tcPr>
          <w:p>
            <w:pPr>
              <w:spacing w:after="0"/>
              <w:rPr>
                <w:sz w:val="24"/>
                <w:szCs w:val="24"/>
                <w:color w:val="auto"/>
              </w:rPr>
            </w:pPr>
          </w:p>
        </w:tc>
        <w:tc>
          <w:tcPr>
            <w:tcW w:w="368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CONDENSED STATEMENTS OF CASH FLOWS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36830</wp:posOffset>
            </wp:positionV>
            <wp:extent cx="19291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85,984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(95,947)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(42,672)</w:t>
            </w: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contributions to subsidiaries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from investment in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short-term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(126,869)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share purchases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Draw on revolving line of credit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term loan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equity offerings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130,947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year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federal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8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IV —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9"/>
              </w:rPr>
              <w:t>2022</w:t>
            </w:r>
          </w:p>
        </w:tc>
        <w:tc>
          <w:tcPr>
            <w:tcW w:w="130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Accident &amp;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Property &amp;</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Accident &amp;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Property &amp;</w:t>
            </w: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Health</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Casualty</w:t>
            </w:r>
          </w:p>
        </w:tc>
        <w:tc>
          <w:tcPr>
            <w:tcW w:w="2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Health</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Casualty</w:t>
            </w:r>
          </w:p>
        </w:tc>
      </w:tr>
      <w:tr>
        <w:trPr>
          <w:trHeight w:val="27"/>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151,702</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1,089,478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130,377</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881,862</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to other companies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(79,091)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(470,047)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(398,118)</w:t>
            </w: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from other companies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218,649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131,282</w:t>
            </w:r>
          </w:p>
        </w:tc>
      </w:tr>
      <w:tr>
        <w:trPr>
          <w:trHeight w:val="263"/>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amount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72,611</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838,080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60,517</w:t>
            </w:r>
          </w:p>
        </w:tc>
        <w:tc>
          <w:tcPr>
            <w:tcW w:w="1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615,026</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amount assumed to net</w:t>
            </w:r>
          </w:p>
        </w:tc>
        <w:tc>
          <w:tcPr>
            <w:tcW w:w="2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4"/>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34"/>
        </w:trPr>
        <w:tc>
          <w:tcPr>
            <w:tcW w:w="468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V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Valuation</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Allowance for</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Allowance for</w:t>
            </w:r>
          </w:p>
        </w:tc>
      </w:t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Uncollectible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Uncollectible</w:t>
            </w:r>
          </w:p>
        </w:tc>
      </w:t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For Deferred</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Reinsurance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Premiums</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Tax Assets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Recoverable</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Receivable</w:t>
            </w:r>
          </w:p>
        </w:tc>
      </w:tr>
      <w:tr>
        <w:trPr>
          <w:trHeight w:val="27"/>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written off</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7"/>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effect of adoption of ASU 2016-13 at January 1, 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written off</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7"/>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SCHEDULE VI — SUPPLEMENTAL INFORMATION CONCERNING PROPERTY-CASUALTY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As of and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36830</wp:posOffset>
            </wp:positionV>
            <wp:extent cx="19291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68,938</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1,141,757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552,532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442,509</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829,143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615,994</w:t>
            </w: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(current year)</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516,664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393,939</w:t>
            </w: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(prior years)</w:t>
            </w:r>
            <w:r>
              <w:rPr>
                <w:rFonts w:ascii="Times New Roman" w:cs="Times New Roman" w:eastAsia="Times New Roman" w:hAnsi="Times New Roman"/>
                <w:sz w:val="23"/>
                <w:szCs w:val="23"/>
                <w:color w:val="auto"/>
                <w:vertAlign w:val="superscript"/>
              </w:rPr>
              <w:t>(1)(2)</w:t>
            </w: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108,514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65,695</w:t>
            </w: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claims and claim adjustment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363,418</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300,764</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 written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910,691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675,543</w:t>
            </w: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157,645</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29,849</w:t>
            </w:r>
          </w:p>
        </w:tc>
      </w:tr>
    </w:tbl>
    <w:p>
      <w:pPr>
        <w:spacing w:after="0" w:line="24" w:lineRule="exact"/>
        <w:rPr>
          <w:sz w:val="20"/>
          <w:szCs w:val="20"/>
          <w:color w:val="auto"/>
        </w:rPr>
      </w:pPr>
    </w:p>
    <w:p>
      <w:pPr>
        <w:ind w:left="160" w:hanging="134"/>
        <w:spacing w:after="0"/>
        <w:tabs>
          <w:tab w:leader="none" w:pos="160" w:val="left"/>
        </w:tabs>
        <w:numPr>
          <w:ilvl w:val="0"/>
          <w:numId w:val="6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Amount is presented net of reinsurance</w:t>
      </w:r>
    </w:p>
    <w:p>
      <w:pPr>
        <w:spacing w:after="0" w:line="55" w:lineRule="exact"/>
        <w:rPr>
          <w:rFonts w:ascii="Times New Roman" w:cs="Times New Roman" w:eastAsia="Times New Roman" w:hAnsi="Times New Roman"/>
          <w:sz w:val="17"/>
          <w:szCs w:val="17"/>
          <w:i w:val="1"/>
          <w:iCs w:val="1"/>
          <w:color w:val="auto"/>
          <w:vertAlign w:val="superscript"/>
        </w:rPr>
      </w:pPr>
    </w:p>
    <w:p>
      <w:pPr>
        <w:ind w:left="180" w:hanging="154"/>
        <w:spacing w:after="0" w:line="191" w:lineRule="auto"/>
        <w:tabs>
          <w:tab w:leader="none" w:pos="180" w:val="left"/>
        </w:tabs>
        <w:numPr>
          <w:ilvl w:val="0"/>
          <w:numId w:val="6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Amount does not include gain on retroactive reinsurance which is included in losses and loss adjustment expenses presented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Skyward Specialty Insurance Group, Inc.</w:t>
      </w:r>
    </w:p>
    <w:p>
      <w:pPr>
        <w:spacing w:after="0" w:line="333"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Dated: April 1, 2024</w:t>
      </w:r>
      <w:r>
        <w:rPr>
          <w:sz w:val="20"/>
          <w:szCs w:val="20"/>
          <w:color w:val="auto"/>
        </w:rPr>
        <w:tab/>
      </w:r>
      <w:r>
        <w:rPr>
          <w:rFonts w:ascii="Times New Roman" w:cs="Times New Roman" w:eastAsia="Times New Roman" w:hAnsi="Times New Roman"/>
          <w:sz w:val="18"/>
          <w:szCs w:val="18"/>
          <w:color w:val="auto"/>
        </w:rPr>
        <w:t>/s/ Andrew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40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Andrew Robinson</w:t>
      </w:r>
    </w:p>
    <w:p>
      <w:pPr>
        <w:spacing w:after="0" w:line="2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3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3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Andrew Robinson</w:t>
            </w:r>
          </w:p>
        </w:tc>
        <w:tc>
          <w:tcPr>
            <w:tcW w:w="10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Robinson</w:t>
            </w:r>
          </w:p>
        </w:tc>
        <w:tc>
          <w:tcPr>
            <w:tcW w:w="100" w:type="dxa"/>
            <w:vAlign w:val="bottom"/>
          </w:tcPr>
          <w:p>
            <w:pPr>
              <w:spacing w:after="0"/>
              <w:rPr>
                <w:sz w:val="20"/>
                <w:szCs w:val="20"/>
                <w:color w:val="auto"/>
              </w:rPr>
            </w:pPr>
          </w:p>
        </w:tc>
        <w:tc>
          <w:tcPr>
            <w:tcW w:w="4380" w:type="dxa"/>
            <w:vAlign w:val="bottom"/>
            <w:gridSpan w:val="2"/>
            <w:vMerge w:val="continue"/>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Haushill</w:t>
            </w:r>
          </w:p>
        </w:tc>
        <w:tc>
          <w:tcPr>
            <w:tcW w:w="10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Haushill</w:t>
            </w:r>
          </w:p>
        </w:tc>
        <w:tc>
          <w:tcPr>
            <w:tcW w:w="100" w:type="dxa"/>
            <w:vAlign w:val="bottom"/>
          </w:tcPr>
          <w:p>
            <w:pPr>
              <w:spacing w:after="0"/>
              <w:rPr>
                <w:sz w:val="20"/>
                <w:szCs w:val="20"/>
                <w:color w:val="auto"/>
              </w:rPr>
            </w:pPr>
          </w:p>
        </w:tc>
        <w:tc>
          <w:tcPr>
            <w:tcW w:w="4380" w:type="dxa"/>
            <w:vAlign w:val="bottom"/>
            <w:gridSpan w:val="2"/>
            <w:vMerge w:val="continue"/>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Gena Ashe</w:t>
            </w:r>
          </w:p>
        </w:tc>
        <w:tc>
          <w:tcPr>
            <w:tcW w:w="10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Gena Ashe</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Robert Creager</w:t>
            </w:r>
          </w:p>
        </w:tc>
        <w:tc>
          <w:tcPr>
            <w:tcW w:w="10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Creager</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Marcia Dall</w:t>
            </w:r>
          </w:p>
        </w:tc>
        <w:tc>
          <w:tcPr>
            <w:tcW w:w="10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Marcia Dall</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James Hays</w:t>
            </w:r>
          </w:p>
        </w:tc>
        <w:tc>
          <w:tcPr>
            <w:tcW w:w="10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Hays</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Anthony J. Kuczinski</w:t>
            </w:r>
          </w:p>
        </w:tc>
        <w:tc>
          <w:tcPr>
            <w:tcW w:w="10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J. Kuczinski</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Morrissey</w:t>
            </w:r>
          </w:p>
        </w:tc>
        <w:tc>
          <w:tcPr>
            <w:tcW w:w="10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Morrissey</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Katharine Terry</w:t>
            </w:r>
          </w:p>
        </w:tc>
        <w:tc>
          <w:tcPr>
            <w:tcW w:w="10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Katharine Terry</w:t>
            </w: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29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 UNDER THE SKYWARD SPECIALTY INSURANCE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LONG-TERM INCENTIVE PLAN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(Relative GBVPS)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This Notice evidences the award of performance-based restricted stock units (each, a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Skyward Specialty Insurance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Skyward Specialty Insurance Group, Inc. 2022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conditioned upon your agreement to the terms of the attached Performance-Based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PSU is equivalent in value to one share of the Company’s Common Stock and represents the Company’s commitment to issue one share of the Company’s Common Stock at a future date, subject to the terms of the Agreement and the Plan. The PSUs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[February ___,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xml:space="preserve">: [January 1, 2024 to December 31, 2026, with separate Measurement Periods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Number of PSUs</w:t>
      </w:r>
      <w:r>
        <w:rPr>
          <w:rFonts w:ascii="Times New Roman" w:cs="Times New Roman" w:eastAsia="Times New Roman" w:hAnsi="Times New Roman"/>
          <w:sz w:val="18"/>
          <w:szCs w:val="18"/>
          <w:color w:val="auto"/>
        </w:rPr>
        <w:t>: [_________] subject to adjustment as provided by the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Maximum Number of PSUs</w:t>
      </w:r>
      <w:r>
        <w:rPr>
          <w:rFonts w:ascii="Times New Roman" w:cs="Times New Roman" w:eastAsia="Times New Roman" w:hAnsi="Times New Roman"/>
          <w:sz w:val="18"/>
          <w:szCs w:val="18"/>
          <w:color w:val="auto"/>
        </w:rPr>
        <w:t xml:space="preserve">: As specified on </w:t>
      </w:r>
      <w:r>
        <w:rPr>
          <w:rFonts w:ascii="Times New Roman" w:cs="Times New Roman" w:eastAsia="Times New Roman" w:hAnsi="Times New Roman"/>
          <w:sz w:val="18"/>
          <w:szCs w:val="18"/>
          <w:u w:val="single" w:color="auto"/>
          <w:color w:val="auto"/>
        </w:rPr>
        <w:t>Exhibit 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All of the PSUs are nonvested and forfeitable as of the Grant Date. In order for any PSUs to vest, each of two vesting conditions must</w:t>
      </w:r>
    </w:p>
    <w:p>
      <w:pPr>
        <w:spacing w:after="0"/>
        <w:rPr>
          <w:sz w:val="20"/>
          <w:szCs w:val="20"/>
          <w:color w:val="auto"/>
        </w:rPr>
      </w:pPr>
      <w:r>
        <w:rPr>
          <w:rFonts w:ascii="Times New Roman" w:cs="Times New Roman" w:eastAsia="Times New Roman" w:hAnsi="Times New Roman"/>
          <w:sz w:val="18"/>
          <w:szCs w:val="18"/>
          <w:color w:val="auto"/>
        </w:rPr>
        <w:t>be satisfied: (i) the Service Vesting Condition, and (ii) the Performance Vesting Condition.</w:t>
      </w:r>
    </w:p>
    <w:p>
      <w:pPr>
        <w:spacing w:after="0" w:line="7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Performance Vesting Condition</w:t>
      </w:r>
      <w:r>
        <w:rPr>
          <w:rFonts w:ascii="Times New Roman" w:cs="Times New Roman" w:eastAsia="Times New Roman" w:hAnsi="Times New Roman"/>
          <w:sz w:val="18"/>
          <w:szCs w:val="18"/>
          <w:color w:val="auto"/>
        </w:rPr>
        <w:t xml:space="preserve">: The number of Performance Stock Units that may actually vest and that the Participant may actually earn for the Award Period, is subject to the applicable level of attainment of the Performance Goals as stated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Performance Vesting Condition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7"/>
          <w:szCs w:val="17"/>
          <w:u w:val="single" w:color="auto"/>
          <w:color w:val="auto"/>
        </w:rPr>
        <w:t>Service Vesting Condition</w:t>
      </w:r>
      <w:r>
        <w:rPr>
          <w:rFonts w:ascii="Times New Roman" w:cs="Times New Roman" w:eastAsia="Times New Roman" w:hAnsi="Times New Roman"/>
          <w:sz w:val="17"/>
          <w:szCs w:val="17"/>
          <w:color w:val="auto"/>
        </w:rPr>
        <w:t>: Except as set forth in Section 3 of the Agreement, your eligibility to satisfy the Service Vesting Condition is contingent upon your Service continuing through and including the first date of January which follows the scheduled end of the Performance Period (such applicable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Vesting Date</w:t>
      </w:r>
      <w:r>
        <w:rPr>
          <w:rFonts w:ascii="Times New Roman" w:cs="Times New Roman" w:eastAsia="Times New Roman" w:hAnsi="Times New Roman"/>
          <w:sz w:val="17"/>
          <w:szCs w:val="17"/>
          <w:color w:val="auto"/>
        </w:rPr>
        <w:t xml:space="preserve">”). Subject to the terms of the Agreement, so long as your Service is continuous from the Grant Date through the Vesting Date, the number of PSUs that are eligible to vest will be based on the applicable level of attainment of the Performance Goals as stated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18"/>
          <w:szCs w:val="18"/>
          <w:color w:val="auto"/>
        </w:rPr>
        <w:t>As further specified in Section 3 of the Agreement, in the event your Service is terminated prior to the Vesting Date due to your: (A) death or Total and Permanent Disability, (B) Qualifying Retirement, or (C) Change in Control Qualifying Termination, you will be deemed to have satisfied the Service Vesting Condition and are eligible to vest in the applicable number of PSUs as specified in Section 3 of the Agreement, subject to the terms specified therein.</w:t>
      </w:r>
    </w:p>
    <w:p>
      <w:pPr>
        <w:spacing w:after="0" w:line="316"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Skyward Specialty Insurance Group, Inc.</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PSUs or the Company.</w:t>
      </w:r>
    </w:p>
    <w:p>
      <w:pPr>
        <w:spacing w:after="0" w:line="108"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49465" cy="3511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 UNDER THE SKYWARD SPECIALTY INSURANCE GROUP,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LONG-TERM INCENTIVE PLAN</w:t>
      </w:r>
    </w:p>
    <w:p>
      <w:pPr>
        <w:spacing w:after="0" w:line="70"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115" w:lineRule="exact"/>
        <w:rPr>
          <w:rFonts w:ascii="Times New Roman" w:cs="Times New Roman" w:eastAsia="Times New Roman" w:hAnsi="Times New Roman"/>
          <w:sz w:val="17"/>
          <w:szCs w:val="17"/>
          <w:color w:val="auto"/>
        </w:rPr>
      </w:pPr>
    </w:p>
    <w:p>
      <w:pPr>
        <w:jc w:val="both"/>
        <w:ind w:right="20" w:firstLine="8"/>
        <w:spacing w:after="0"/>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PSUs are nonvested and forfeitable as of the Grant Date. So long as your Service is continuous from the Grant Date through the Vesting Date or earlier termination date as set forth in Section 3, the PSUs will become vested and nonforfeitable in accordance with the vesting conditions set forth in the Notice or this Agreement. Except for the specific circumstances, if any, described in the Notice and Section 3 of this Agreement, none of the PSUs will become vested and nonforfeitable after your Service ceases if such termination of your Service occurs prior to the Vesting Date.</w:t>
      </w:r>
    </w:p>
    <w:p>
      <w:pPr>
        <w:spacing w:after="0" w:line="76" w:lineRule="exact"/>
        <w:rPr>
          <w:rFonts w:ascii="Times New Roman" w:cs="Times New Roman" w:eastAsia="Times New Roman" w:hAnsi="Times New Roman"/>
          <w:sz w:val="18"/>
          <w:szCs w:val="18"/>
          <w:color w:val="auto"/>
        </w:rPr>
      </w:pPr>
    </w:p>
    <w:p>
      <w:pPr>
        <w:ind w:right="120" w:firstLine="8"/>
        <w:spacing w:after="0" w:line="245" w:lineRule="auto"/>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or approved by the Administrator, if your Service with the Company ceases for any reason prior to the Vesting Date other than as specified in this Section 3, all PSUs will be forfeited to the Company immediately and automatically upon such cessation of your Service without payment of any consideration therefor and you will have no further right, title or interest in or to such PSUs or the underlying shares of Common Stock.</w:t>
      </w:r>
    </w:p>
    <w:p>
      <w:pPr>
        <w:spacing w:after="0" w:line="72" w:lineRule="exact"/>
        <w:rPr>
          <w:rFonts w:ascii="Times New Roman" w:cs="Times New Roman" w:eastAsia="Times New Roman" w:hAnsi="Times New Roman"/>
          <w:sz w:val="18"/>
          <w:szCs w:val="18"/>
          <w:color w:val="auto"/>
        </w:rPr>
      </w:pPr>
    </w:p>
    <w:p>
      <w:pPr>
        <w:ind w:left="820" w:right="160" w:hanging="326"/>
        <w:spacing w:after="0" w:line="237" w:lineRule="auto"/>
        <w:tabs>
          <w:tab w:leader="none" w:pos="81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Total and Permanent Disability</w:t>
      </w:r>
      <w:r>
        <w:rPr>
          <w:rFonts w:ascii="Times New Roman" w:cs="Times New Roman" w:eastAsia="Times New Roman" w:hAnsi="Times New Roman"/>
          <w:sz w:val="18"/>
          <w:szCs w:val="18"/>
          <w:color w:val="auto"/>
        </w:rPr>
        <w:t>. In the event your Service is terminated due to your death or Total and Permanent Disability, the number of PSUs that vest will be calculated by using the actual performance for any Measurement Periods completed on or prior to the termination date and deemed target performance achievement for any partial Measurement Period that includes the termination date, and such applicable number of PSUs shall be deemed vested as of your termination date based on such applicable average deemed and attained performance level for such completed and partial Measurement Periods with the same weighting applied to the partial Measurement Period as any completed Measurement Period in such averaging calculation. For the avoidance of doubt, any Measurement Periods that are scheduled to begin after the date in which the termination due to your death or Total and Permanent Disability occurs, if applicable, will not be included in the average calculation for purposes of determining level of performance achievement and the number of PSUs that are eligible to vest.</w:t>
      </w:r>
    </w:p>
    <w:p>
      <w:pPr>
        <w:spacing w:after="0" w:line="79" w:lineRule="exact"/>
        <w:rPr>
          <w:rFonts w:ascii="Times New Roman" w:cs="Times New Roman" w:eastAsia="Times New Roman" w:hAnsi="Times New Roman"/>
          <w:sz w:val="18"/>
          <w:szCs w:val="18"/>
          <w:color w:val="auto"/>
        </w:rPr>
      </w:pPr>
    </w:p>
    <w:p>
      <w:pPr>
        <w:ind w:left="820" w:right="20" w:hanging="326"/>
        <w:spacing w:after="0" w:line="238" w:lineRule="auto"/>
        <w:tabs>
          <w:tab w:leader="none" w:pos="8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Retirement</w:t>
      </w:r>
      <w:r>
        <w:rPr>
          <w:rFonts w:ascii="Times New Roman" w:cs="Times New Roman" w:eastAsia="Times New Roman" w:hAnsi="Times New Roman"/>
          <w:sz w:val="18"/>
          <w:szCs w:val="18"/>
          <w:color w:val="auto"/>
        </w:rPr>
        <w:t>. In the event your Service is terminated due to a Qualifying Retirement, the number of PSUs that are eligible to vest will be a pro-rata number based on the number of days you were in Service during the Performance Period and the actual average performance level achieved through the end of the Measurement Period in which the Qualifying Retirement occurs. Such pro-rata portion of the number of PSUs which are eligible to vest will be determined by dividing (i) the number of days that have elapsed prior to the date of the Qualifying Retirement date since the start of the applicable Performance Period by (ii) the total number of days in such Performance Period. The pro-rata number of PSUs which are eligible to vest based on the applicable performance level attained will be calculated by reference to the average of the actual performance for any completed Measurement Periods as of the termination date and actual performance achieved for the Measurement Period in which the Qualifying Retirement occurs, and such applicable pro-rata number of PSUs shall vest contingent on the Release Effective Date. For the avoidance of doubt, any Measurement Periods that are scheduled to begin after the date in which the Qualifying Retirement occurs will not be included in the average calculation for purposes of determining level of performance achievement and number of pro-rata PSUs which are eligible to vest.</w:t>
      </w:r>
    </w:p>
    <w:p>
      <w:pPr>
        <w:spacing w:after="0" w:line="64" w:lineRule="exact"/>
        <w:rPr>
          <w:rFonts w:ascii="Times New Roman" w:cs="Times New Roman" w:eastAsia="Times New Roman" w:hAnsi="Times New Roman"/>
          <w:sz w:val="18"/>
          <w:szCs w:val="18"/>
          <w:color w:val="auto"/>
        </w:rPr>
      </w:pPr>
    </w:p>
    <w:p>
      <w:pPr>
        <w:ind w:left="820" w:right="40" w:hanging="326"/>
        <w:spacing w:after="0" w:line="245" w:lineRule="auto"/>
        <w:tabs>
          <w:tab w:leader="none" w:pos="81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Qualifying Termination</w:t>
      </w:r>
      <w:r>
        <w:rPr>
          <w:rFonts w:ascii="Times New Roman" w:cs="Times New Roman" w:eastAsia="Times New Roman" w:hAnsi="Times New Roman"/>
          <w:sz w:val="18"/>
          <w:szCs w:val="18"/>
          <w:color w:val="auto"/>
        </w:rPr>
        <w:t>. In the event your Service is terminated due to a Change in Control Qualifying Termination, the Service Vesting Condition will be deemed satisfied on the Release Effective Date, and the total number of PSUs that are eligible to vest will be calculated by reference to actual performance attained during the Performance Period and in all cases subject to and contingent upon the closing of the Change in Control.</w:t>
      </w:r>
    </w:p>
    <w:p>
      <w:pPr>
        <w:spacing w:after="0" w:line="72" w:lineRule="exact"/>
        <w:rPr>
          <w:rFonts w:ascii="Times New Roman" w:cs="Times New Roman" w:eastAsia="Times New Roman" w:hAnsi="Times New Roman"/>
          <w:sz w:val="18"/>
          <w:szCs w:val="18"/>
          <w:color w:val="auto"/>
        </w:rPr>
      </w:pPr>
    </w:p>
    <w:p>
      <w:pPr>
        <w:ind w:right="60" w:firstLine="8"/>
        <w:spacing w:after="0" w:line="245" w:lineRule="auto"/>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PSUs may be assigned, transferred, pledged, hypothecated or disposed of in any way, whether by operation of law or otherwise, and the PSUs shall not be subject to execution, attachment or similar process. All rights with respect to this Agreement and the PSUs shall be exercisable during your lifetime only by you or your guardian or legal representative. Notwithstanding the foregoing, the PSUs may be transferred upon your death by last will and testament or under the laws of descent and distribution.</w:t>
      </w:r>
    </w:p>
    <w:p>
      <w:pPr>
        <w:spacing w:after="0" w:line="72" w:lineRule="exact"/>
        <w:rPr>
          <w:rFonts w:ascii="Times New Roman" w:cs="Times New Roman" w:eastAsia="Times New Roman" w:hAnsi="Times New Roman"/>
          <w:sz w:val="18"/>
          <w:szCs w:val="18"/>
          <w:color w:val="auto"/>
        </w:rPr>
      </w:pPr>
    </w:p>
    <w:p>
      <w:pPr>
        <w:ind w:right="140" w:firstLine="8"/>
        <w:spacing w:after="0" w:line="245" w:lineRule="auto"/>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PSU granted to the Grantee as set forth in this Agreement. Dividend equivalents, if credited, shall be withheld by the Company for the Grantee’s Account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-4142105</wp:posOffset>
            </wp:positionV>
            <wp:extent cx="285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be subject to the same vesting and forfeiture restrictions as the PSUs to which they are attributable and shall be paid on the same date that the PSUs to which they are attributable are settled and paid in accordance with Section 6 hereof. If your vested PSUs have been settled after the record date but prior to the dividend payment date, any PSUs that would be credited pursuant to the preceding sentence shall be settled on or as soon as practicable after the dividend payment date.</w:t>
      </w:r>
    </w:p>
    <w:p>
      <w:pPr>
        <w:spacing w:after="0" w:line="73"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PSUs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60" w:hanging="326"/>
        <w:spacing w:after="0" w:line="237" w:lineRule="auto"/>
        <w:tabs>
          <w:tab w:leader="none" w:pos="8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PSUs. Unless otherwise provided by the Administrator in accordance with the Plan, the Company will issue to you, in settlement of your PSUs and subject to the provisions of Section 6 below, the number of whole shares of Common Stock that equals the number of whole PSUs that become vested, and such vested PSUs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8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1140" w:right="60" w:hanging="417"/>
        <w:spacing w:after="0" w:line="242" w:lineRule="auto"/>
        <w:tabs>
          <w:tab w:leader="none" w:pos="11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Through Vesting Date</w:t>
      </w:r>
      <w:r>
        <w:rPr>
          <w:rFonts w:ascii="Times New Roman" w:cs="Times New Roman" w:eastAsia="Times New Roman" w:hAnsi="Times New Roman"/>
          <w:sz w:val="18"/>
          <w:szCs w:val="18"/>
          <w:color w:val="auto"/>
        </w:rPr>
        <w:t>. If your PSUs vest in connection with your continued Service through the Vesting Date, your PSUs will be settled by the Company, via the issuance of Common Stock as described herein, on a date selected by the Company that is in all cases during the calendar year that includes the Vesting Date and is within sixty (60) days following the date the number of PSU which are eligible to vest is determined by the Administrator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If the Original Issuance Date falls on a date that is not a business day, delivery shall instead occur on the next following business day. In addition, if:</w:t>
      </w:r>
    </w:p>
    <w:p>
      <w:pPr>
        <w:spacing w:after="0" w:line="76" w:lineRule="exact"/>
        <w:rPr>
          <w:rFonts w:ascii="Times New Roman" w:cs="Times New Roman" w:eastAsia="Times New Roman" w:hAnsi="Times New Roman"/>
          <w:sz w:val="18"/>
          <w:szCs w:val="18"/>
          <w:color w:val="auto"/>
        </w:rPr>
      </w:pPr>
    </w:p>
    <w:p>
      <w:pPr>
        <w:ind w:left="1960" w:right="140" w:hanging="656"/>
        <w:spacing w:after="0" w:line="239" w:lineRule="auto"/>
        <w:tabs>
          <w:tab w:leader="none" w:pos="1950"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1960" w:right="40" w:hanging="656"/>
        <w:spacing w:after="0" w:line="236" w:lineRule="auto"/>
        <w:tabs>
          <w:tab w:leader="none" w:pos="1960"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date that the PSUs become vested and nonforfeitable so that they are no longer subject to a “substantial risk of forfeiture” (that is, the last day of your taxable year in which the vesting of the PSUs occurs),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2" w:lineRule="exact"/>
        <w:rPr>
          <w:sz w:val="20"/>
          <w:szCs w:val="20"/>
          <w:color w:val="auto"/>
        </w:rPr>
      </w:pPr>
    </w:p>
    <w:p>
      <w:pPr>
        <w:ind w:left="1140" w:right="280" w:hanging="467"/>
        <w:spacing w:after="0" w:line="24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Total and Permanent Disability</w:t>
      </w:r>
      <w:r>
        <w:rPr>
          <w:rFonts w:ascii="Times New Roman" w:cs="Times New Roman" w:eastAsia="Times New Roman" w:hAnsi="Times New Roman"/>
          <w:sz w:val="18"/>
          <w:szCs w:val="18"/>
          <w:color w:val="auto"/>
        </w:rPr>
        <w:t>. If your PSUs vest in connection with your death or Total and Permanent Disability, your PSUs will be settled by the Company, via the issuance of Common Stock as described herein, as soon as administratively practicable on a date selected by the Company that is within the sixty (60) day period following the date of such termination (which shall be the “</w:t>
      </w:r>
      <w:r>
        <w:rPr>
          <w:rFonts w:ascii="Times New Roman" w:cs="Times New Roman" w:eastAsia="Times New Roman" w:hAnsi="Times New Roman"/>
          <w:sz w:val="18"/>
          <w:szCs w:val="18"/>
          <w:b w:val="1"/>
          <w:bCs w:val="1"/>
          <w:i w:val="1"/>
          <w:i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 on the next following business day. In addition, if:</w:t>
      </w:r>
    </w:p>
    <w:p>
      <w:pPr>
        <w:spacing w:after="0" w:line="76" w:lineRule="exact"/>
        <w:rPr>
          <w:rFonts w:ascii="Times New Roman" w:cs="Times New Roman" w:eastAsia="Times New Roman" w:hAnsi="Times New Roman"/>
          <w:sz w:val="18"/>
          <w:szCs w:val="18"/>
          <w:color w:val="auto"/>
        </w:rPr>
      </w:pPr>
    </w:p>
    <w:p>
      <w:pPr>
        <w:ind w:left="1960" w:right="760" w:hanging="656"/>
        <w:spacing w:after="0" w:line="266" w:lineRule="auto"/>
        <w:tabs>
          <w:tab w:leader="none" w:pos="19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w:t>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4" w:lineRule="exact"/>
        <w:rPr>
          <w:sz w:val="20"/>
          <w:szCs w:val="20"/>
          <w:color w:val="auto"/>
        </w:rPr>
      </w:pPr>
    </w:p>
    <w:p>
      <w:pPr>
        <w:ind w:left="1340" w:right="160"/>
        <w:spacing w:after="0" w:line="245" w:lineRule="auto"/>
        <w:rPr>
          <w:sz w:val="20"/>
          <w:szCs w:val="20"/>
          <w:color w:val="auto"/>
        </w:rPr>
      </w:pPr>
      <w:r>
        <w:rPr>
          <w:rFonts w:ascii="Times New Roman" w:cs="Times New Roman" w:eastAsia="Times New Roman" w:hAnsi="Times New Roman"/>
          <w:sz w:val="18"/>
          <w:szCs w:val="18"/>
          <w:color w:val="auto"/>
        </w:rPr>
        <w:t>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and</w:t>
      </w:r>
    </w:p>
    <w:p>
      <w:pPr>
        <w:spacing w:after="0" w:line="73" w:lineRule="exact"/>
        <w:rPr>
          <w:sz w:val="20"/>
          <w:szCs w:val="20"/>
          <w:color w:val="auto"/>
        </w:rPr>
      </w:pPr>
    </w:p>
    <w:p>
      <w:pPr>
        <w:ind w:left="1340" w:right="40" w:hanging="656"/>
        <w:spacing w:after="0" w:line="236"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date that the PSUs become vested and nonforfeitable so that they are no longer subject to a “substantial risk of forfeiture” (that is, the last day of your taxable year in which the vesting of the PSUs occurs),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2" w:lineRule="exact"/>
        <w:rPr>
          <w:rFonts w:ascii="Times New Roman" w:cs="Times New Roman" w:eastAsia="Times New Roman" w:hAnsi="Times New Roman"/>
          <w:sz w:val="18"/>
          <w:szCs w:val="18"/>
          <w:color w:val="auto"/>
        </w:rPr>
      </w:pPr>
    </w:p>
    <w:p>
      <w:pPr>
        <w:ind w:left="520" w:right="60" w:hanging="516"/>
        <w:spacing w:after="0" w:line="238"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Retirement</w:t>
      </w:r>
      <w:r>
        <w:rPr>
          <w:rFonts w:ascii="Times New Roman" w:cs="Times New Roman" w:eastAsia="Times New Roman" w:hAnsi="Times New Roman"/>
          <w:sz w:val="18"/>
          <w:szCs w:val="18"/>
          <w:color w:val="auto"/>
        </w:rPr>
        <w:t>. If your PSUs vest in connection with a Qualifying Retirement, your PSUs will be settled by the Company, via the issuance of Common Stock as described herein, on a date selected by the Company that is in all cases during the calendar year immediately following the calendar year in which your Service terminated due to the Qualifying Retirement and within sixty (60) days following the date the number of PSU which are eligible to vest in connection with such Qualifying Retirement is determined by the Administrator (which shall be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 occur on the next following business day. In addition, if:</w:t>
      </w:r>
    </w:p>
    <w:p>
      <w:pPr>
        <w:spacing w:after="0" w:line="77" w:lineRule="exact"/>
        <w:rPr>
          <w:rFonts w:ascii="Times New Roman" w:cs="Times New Roman" w:eastAsia="Times New Roman" w:hAnsi="Times New Roman"/>
          <w:sz w:val="18"/>
          <w:szCs w:val="18"/>
          <w:color w:val="auto"/>
        </w:rPr>
      </w:pPr>
    </w:p>
    <w:p>
      <w:pPr>
        <w:ind w:left="1340" w:right="140" w:hanging="656"/>
        <w:spacing w:after="0" w:line="245" w:lineRule="auto"/>
        <w:tabs>
          <w:tab w:leader="none" w:pos="133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10b5-1 Arrangement), and</w:t>
      </w:r>
    </w:p>
    <w:p>
      <w:pPr>
        <w:spacing w:after="0" w:line="72" w:lineRule="exact"/>
        <w:rPr>
          <w:rFonts w:ascii="Times New Roman" w:cs="Times New Roman" w:eastAsia="Times New Roman" w:hAnsi="Times New Roman"/>
          <w:sz w:val="18"/>
          <w:szCs w:val="18"/>
          <w:color w:val="auto"/>
        </w:rPr>
      </w:pPr>
    </w:p>
    <w:p>
      <w:pPr>
        <w:ind w:left="1340" w:right="40" w:hanging="656"/>
        <w:spacing w:after="0" w:line="237" w:lineRule="auto"/>
        <w:tabs>
          <w:tab w:leader="none" w:pos="1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Original Issuance Date.</w:t>
      </w:r>
    </w:p>
    <w:p>
      <w:pPr>
        <w:spacing w:after="0" w:line="79" w:lineRule="exact"/>
        <w:rPr>
          <w:sz w:val="20"/>
          <w:szCs w:val="20"/>
          <w:color w:val="auto"/>
        </w:rPr>
      </w:pPr>
    </w:p>
    <w:p>
      <w:pPr>
        <w:ind w:left="520" w:right="20" w:hanging="507"/>
        <w:spacing w:after="0" w:line="242" w:lineRule="auto"/>
        <w:tabs>
          <w:tab w:leader="none" w:pos="5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Qualifying Termination</w:t>
      </w:r>
      <w:r>
        <w:rPr>
          <w:rFonts w:ascii="Times New Roman" w:cs="Times New Roman" w:eastAsia="Times New Roman" w:hAnsi="Times New Roman"/>
          <w:sz w:val="18"/>
          <w:szCs w:val="18"/>
          <w:color w:val="auto"/>
        </w:rPr>
        <w:t>. If your PSUs vest in connection with a Change in Control Qualifying Termination, your PSUs will be settled by the Company, via the issuance of Common Stock as described herein, on a date selected by the Company that is in all cases during the calendar year that includes the Vesting Date and is within sixty (60) days following the date the number of PSUs which are eligible to vest is determined by the Administrator (which shall be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 occur on the next following business day. In addition, if:</w:t>
      </w:r>
    </w:p>
    <w:p>
      <w:pPr>
        <w:sectPr>
          <w:pgSz w:w="11900" w:h="16838" w:orient="portrait"/>
          <w:cols w:equalWidth="0" w:num="1">
            <w:col w:w="10620"/>
          </w:cols>
          <w:pgMar w:left="94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4" w:lineRule="exact"/>
        <w:rPr>
          <w:sz w:val="20"/>
          <w:szCs w:val="20"/>
          <w:color w:val="auto"/>
        </w:rPr>
      </w:pPr>
    </w:p>
    <w:p>
      <w:pPr>
        <w:ind w:left="1960" w:right="140" w:hanging="656"/>
        <w:spacing w:after="0" w:line="245" w:lineRule="auto"/>
        <w:tabs>
          <w:tab w:leader="none" w:pos="1950"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10b5-1 Arrangement), and</w:t>
      </w:r>
    </w:p>
    <w:p>
      <w:pPr>
        <w:spacing w:after="0" w:line="72" w:lineRule="exact"/>
        <w:rPr>
          <w:rFonts w:ascii="Times New Roman" w:cs="Times New Roman" w:eastAsia="Times New Roman" w:hAnsi="Times New Roman"/>
          <w:sz w:val="18"/>
          <w:szCs w:val="18"/>
          <w:color w:val="auto"/>
        </w:rPr>
      </w:pPr>
    </w:p>
    <w:p>
      <w:pPr>
        <w:ind w:left="1960" w:right="40" w:hanging="656"/>
        <w:spacing w:after="0" w:line="236" w:lineRule="auto"/>
        <w:tabs>
          <w:tab w:leader="none" w:pos="1960"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Vesting Date,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3" w:lineRule="exact"/>
        <w:rPr>
          <w:rFonts w:ascii="Times New Roman" w:cs="Times New Roman" w:eastAsia="Times New Roman" w:hAnsi="Times New Roman"/>
          <w:sz w:val="18"/>
          <w:szCs w:val="18"/>
          <w:color w:val="auto"/>
        </w:rPr>
      </w:pPr>
    </w:p>
    <w:p>
      <w:pPr>
        <w:ind w:left="1140" w:hanging="457"/>
        <w:spacing w:after="0" w:line="250" w:lineRule="auto"/>
        <w:tabs>
          <w:tab w:leader="none" w:pos="1128"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Company reserves the right, in its sole discretion, to settle any vested PSUs on any earlier date than as specified above to the maximum extent permitted while not triggering the imposition of additional taxation on you in respect of the shares under Section 409A of the Code.</w:t>
      </w:r>
    </w:p>
    <w:p>
      <w:pPr>
        <w:spacing w:after="0" w:line="68" w:lineRule="exact"/>
        <w:rPr>
          <w:rFonts w:ascii="Times New Roman" w:cs="Times New Roman" w:eastAsia="Times New Roman" w:hAnsi="Times New Roman"/>
          <w:sz w:val="18"/>
          <w:szCs w:val="18"/>
          <w:color w:val="auto"/>
        </w:rPr>
      </w:pPr>
    </w:p>
    <w:p>
      <w:pPr>
        <w:ind w:firstLine="8"/>
        <w:spacing w:after="0" w:line="235" w:lineRule="auto"/>
        <w:tabs>
          <w:tab w:leader="none" w:pos="6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PSUs,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PSUs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PSUs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PSUs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140" w:hanging="326"/>
        <w:spacing w:after="0" w:line="264" w:lineRule="auto"/>
        <w:tabs>
          <w:tab w:leader="none" w:pos="81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PSUs shall, without further action of the Administrator, be adjusted to reflect such event; provided, however, that any fractional PSUs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57" w:lineRule="exact"/>
        <w:rPr>
          <w:rFonts w:ascii="Times New Roman" w:cs="Times New Roman" w:eastAsia="Times New Roman" w:hAnsi="Times New Roman"/>
          <w:sz w:val="17"/>
          <w:szCs w:val="17"/>
          <w:color w:val="auto"/>
        </w:rPr>
      </w:pPr>
    </w:p>
    <w:p>
      <w:pPr>
        <w:jc w:val="both"/>
        <w:ind w:left="820" w:right="140" w:hanging="326"/>
        <w:spacing w:after="0" w:line="250" w:lineRule="auto"/>
        <w:tabs>
          <w:tab w:leader="none" w:pos="8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PSUs shall pertain to and apply to the securities to which a holder of the number of shares of Common Stock subject to the PSUs would have been entitled. If the stockholders of the Company receive by reason of</w:t>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4" w:lineRule="exact"/>
        <w:rPr>
          <w:sz w:val="20"/>
          <w:szCs w:val="20"/>
          <w:color w:val="auto"/>
        </w:rPr>
      </w:pPr>
    </w:p>
    <w:p>
      <w:pPr>
        <w:ind w:left="820"/>
        <w:spacing w:after="0" w:line="245" w:lineRule="auto"/>
        <w:rPr>
          <w:sz w:val="20"/>
          <w:szCs w:val="20"/>
          <w:color w:val="auto"/>
        </w:rPr>
      </w:pPr>
      <w:r>
        <w:rPr>
          <w:rFonts w:ascii="Times New Roman" w:cs="Times New Roman" w:eastAsia="Times New Roman" w:hAnsi="Times New Roman"/>
          <w:sz w:val="18"/>
          <w:szCs w:val="18"/>
          <w:color w:val="auto"/>
        </w:rPr>
        <w:t>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PSUs would have been entitled, in the same manner and to the same extent as the PSUs.</w:t>
      </w:r>
    </w:p>
    <w:p>
      <w:pPr>
        <w:spacing w:after="0" w:line="73" w:lineRule="exact"/>
        <w:rPr>
          <w:sz w:val="20"/>
          <w:szCs w:val="20"/>
          <w:color w:val="auto"/>
        </w:rPr>
      </w:pPr>
    </w:p>
    <w:p>
      <w:pPr>
        <w:ind w:firstLine="8"/>
        <w:spacing w:after="0" w:line="239"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PSUs or any other adverse effect on your interests under the Plan.</w:t>
      </w:r>
    </w:p>
    <w:p>
      <w:pPr>
        <w:spacing w:after="0" w:line="76" w:lineRule="exact"/>
        <w:rPr>
          <w:rFonts w:ascii="Times New Roman" w:cs="Times New Roman" w:eastAsia="Times New Roman" w:hAnsi="Times New Roman"/>
          <w:sz w:val="18"/>
          <w:szCs w:val="18"/>
          <w:color w:val="auto"/>
        </w:rPr>
      </w:pPr>
    </w:p>
    <w:p>
      <w:pPr>
        <w:ind w:right="320" w:firstLine="8"/>
        <w:spacing w:after="0" w:line="266" w:lineRule="auto"/>
        <w:tabs>
          <w:tab w:leader="none" w:pos="6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PSUs until such shares of Common Stock have been issued to you.</w:t>
      </w:r>
    </w:p>
    <w:p>
      <w:pPr>
        <w:spacing w:after="0" w:line="54" w:lineRule="exact"/>
        <w:rPr>
          <w:rFonts w:ascii="Times New Roman" w:cs="Times New Roman" w:eastAsia="Times New Roman" w:hAnsi="Times New Roman"/>
          <w:sz w:val="18"/>
          <w:szCs w:val="18"/>
          <w:color w:val="auto"/>
        </w:rPr>
      </w:pPr>
    </w:p>
    <w:p>
      <w:pPr>
        <w:ind w:right="160" w:firstLine="8"/>
        <w:spacing w:after="0" w:line="241" w:lineRule="auto"/>
        <w:tabs>
          <w:tab w:leader="none" w:pos="6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upon Breach of Non-Solicitation or Confidentiality Covenants</w:t>
      </w:r>
      <w:r>
        <w:rPr>
          <w:rFonts w:ascii="Times New Roman" w:cs="Times New Roman" w:eastAsia="Times New Roman" w:hAnsi="Times New Roman"/>
          <w:sz w:val="18"/>
          <w:szCs w:val="18"/>
          <w:color w:val="auto"/>
        </w:rPr>
        <w:t>.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PSUs will be forfeited; and (ii) you shall, within ten (10) days of notice of the Administrator’s determination of such breach, repay all cash or shares of Common Stock paid in settlement of the PSUs within twelve (12) months preceding your termination from Service. The forfeiture and clawback rights in this Section are in addition to, and not in substitution of, any rights of repurchase or other recoupment rights the Company may have.</w:t>
      </w:r>
    </w:p>
    <w:p>
      <w:pPr>
        <w:spacing w:after="0" w:line="75" w:lineRule="exact"/>
        <w:rPr>
          <w:rFonts w:ascii="Times New Roman" w:cs="Times New Roman" w:eastAsia="Times New Roman" w:hAnsi="Times New Roman"/>
          <w:sz w:val="18"/>
          <w:szCs w:val="18"/>
          <w:color w:val="auto"/>
        </w:rPr>
      </w:pPr>
    </w:p>
    <w:p>
      <w:pPr>
        <w:ind w:right="280" w:firstLine="8"/>
        <w:spacing w:after="0" w:line="239" w:lineRule="auto"/>
        <w:tabs>
          <w:tab w:leader="none" w:pos="6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PSUs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76" w:lineRule="exact"/>
        <w:rPr>
          <w:rFonts w:ascii="Times New Roman" w:cs="Times New Roman" w:eastAsia="Times New Roman" w:hAnsi="Times New Roman"/>
          <w:sz w:val="18"/>
          <w:szCs w:val="18"/>
          <w:color w:val="auto"/>
        </w:rPr>
      </w:pPr>
    </w:p>
    <w:p>
      <w:pPr>
        <w:ind w:right="20" w:firstLine="8"/>
        <w:spacing w:after="0" w:line="238" w:lineRule="auto"/>
        <w:tabs>
          <w:tab w:leader="none" w:pos="6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the Issuance of Shares</w:t>
      </w:r>
      <w:r>
        <w:rPr>
          <w:rFonts w:ascii="Times New Roman" w:cs="Times New Roman" w:eastAsia="Times New Roman" w:hAnsi="Times New Roman"/>
          <w:sz w:val="18"/>
          <w:szCs w:val="18"/>
          <w:color w:val="auto"/>
        </w:rPr>
        <w:t>. The issuance of shares of Common Stock upon settlement of the PSUs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PSUs shall relieve the Company of any liability in respect of the failure to issue such shares as to which such requisite authority shall not have been obtained. As a condition to the settlement of the PSUs,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83"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PSUs by electronic means or to request your consent to participate in the Plan or accept this award of PSUs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77" w:lineRule="exact"/>
        <w:rPr>
          <w:rFonts w:ascii="Times New Roman" w:cs="Times New Roman" w:eastAsia="Times New Roman" w:hAnsi="Times New Roman"/>
          <w:sz w:val="18"/>
          <w:szCs w:val="18"/>
          <w:color w:val="auto"/>
        </w:rPr>
      </w:pPr>
    </w:p>
    <w:p>
      <w:pPr>
        <w:jc w:val="both"/>
        <w:ind w:right="180" w:firstLine="8"/>
        <w:spacing w:after="0" w:line="250" w:lineRule="auto"/>
        <w:tabs>
          <w:tab w:leader="none" w:pos="6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PSUs granted hereunder. Any oral or written agreements, representations, warranties, written inducements, or other communications made prior to the execution of this Agreement with respect to the PSUs granted hereunder shall be void and ineffective for all purposes.</w:t>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4" w:lineRule="exact"/>
        <w:rPr>
          <w:sz w:val="20"/>
          <w:szCs w:val="20"/>
          <w:color w:val="auto"/>
        </w:rPr>
      </w:pPr>
    </w:p>
    <w:p>
      <w:pPr>
        <w:jc w:val="both"/>
        <w:ind w:right="220" w:firstLine="8"/>
        <w:spacing w:after="0" w:line="250" w:lineRule="auto"/>
        <w:tabs>
          <w:tab w:leader="none" w:pos="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PSUs as determined in the discretion of the Administrator, except as provided in the Plan or in a written document signed by each of the parties hereto.</w:t>
      </w:r>
    </w:p>
    <w:p>
      <w:pPr>
        <w:spacing w:after="0" w:line="68" w:lineRule="exact"/>
        <w:rPr>
          <w:rFonts w:ascii="Times New Roman" w:cs="Times New Roman" w:eastAsia="Times New Roman" w:hAnsi="Times New Roman"/>
          <w:sz w:val="18"/>
          <w:szCs w:val="18"/>
          <w:color w:val="auto"/>
        </w:rPr>
      </w:pPr>
    </w:p>
    <w:p>
      <w:pPr>
        <w:ind w:right="20" w:firstLine="8"/>
        <w:spacing w:after="0" w:line="251" w:lineRule="auto"/>
        <w:tabs>
          <w:tab w:leader="none" w:pos="64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409A Savings Clause</w:t>
      </w:r>
      <w:r>
        <w:rPr>
          <w:rFonts w:ascii="Times New Roman" w:cs="Times New Roman" w:eastAsia="Times New Roman" w:hAnsi="Times New Roman"/>
          <w:sz w:val="17"/>
          <w:szCs w:val="17"/>
          <w:color w:val="auto"/>
        </w:rPr>
        <w:t>. This Agreement and the PSUs granted hereunder are intended to fit within the “short-term deferral” exemption from Section 409A of the Code as set forth in Treasury Regulation Section 1.409A-1(b)(4), or alternatively comply with the payment timing requirements of Section 409A of the Code, and any ambiguities herein shall be construed consistent with such intent. In administering this Agreement, the Company shall interpret this Agreement in a manner consistent with such exemption, to the maximum extent such exemption is available. Notwithstanding the foregoing, if it is determined that the PSUs fail to satisfy the requirements of the short-term deferral exemption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73" w:lineRule="exact"/>
        <w:rPr>
          <w:rFonts w:ascii="Times New Roman" w:cs="Times New Roman" w:eastAsia="Times New Roman" w:hAnsi="Times New Roman"/>
          <w:sz w:val="17"/>
          <w:szCs w:val="17"/>
          <w:color w:val="auto"/>
        </w:rPr>
      </w:pPr>
    </w:p>
    <w:p>
      <w:pPr>
        <w:ind w:right="40" w:firstLine="8"/>
        <w:spacing w:after="0" w:line="245" w:lineRule="auto"/>
        <w:tabs>
          <w:tab w:leader="none" w:pos="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PSUs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72" w:lineRule="exact"/>
        <w:rPr>
          <w:rFonts w:ascii="Times New Roman" w:cs="Times New Roman" w:eastAsia="Times New Roman" w:hAnsi="Times New Roman"/>
          <w:sz w:val="18"/>
          <w:szCs w:val="18"/>
          <w:color w:val="auto"/>
        </w:rPr>
      </w:pPr>
    </w:p>
    <w:p>
      <w:pPr>
        <w:ind w:right="340" w:firstLine="8"/>
        <w:spacing w:after="0" w:line="264" w:lineRule="auto"/>
        <w:tabs>
          <w:tab w:leader="none" w:pos="64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56" w:lineRule="exact"/>
        <w:rPr>
          <w:rFonts w:ascii="Times New Roman" w:cs="Times New Roman" w:eastAsia="Times New Roman" w:hAnsi="Times New Roman"/>
          <w:sz w:val="17"/>
          <w:szCs w:val="17"/>
          <w:color w:val="auto"/>
        </w:rPr>
      </w:pPr>
    </w:p>
    <w:p>
      <w:pPr>
        <w:ind w:right="220" w:firstLine="8"/>
        <w:spacing w:after="0" w:line="266" w:lineRule="auto"/>
        <w:tabs>
          <w:tab w:leader="none" w:pos="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PSUs.</w:t>
      </w:r>
    </w:p>
    <w:p>
      <w:pPr>
        <w:spacing w:after="0" w:line="54" w:lineRule="exact"/>
        <w:rPr>
          <w:rFonts w:ascii="Times New Roman" w:cs="Times New Roman" w:eastAsia="Times New Roman" w:hAnsi="Times New Roman"/>
          <w:sz w:val="18"/>
          <w:szCs w:val="18"/>
          <w:color w:val="auto"/>
        </w:rPr>
      </w:pPr>
    </w:p>
    <w:p>
      <w:pPr>
        <w:ind w:right="100" w:firstLine="8"/>
        <w:spacing w:after="0" w:line="245" w:lineRule="auto"/>
        <w:tabs>
          <w:tab w:leader="none" w:pos="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PSUs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72"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81" w:lineRule="exact"/>
        <w:rPr>
          <w:rFonts w:ascii="Times New Roman" w:cs="Times New Roman" w:eastAsia="Times New Roman" w:hAnsi="Times New Roman"/>
          <w:sz w:val="18"/>
          <w:szCs w:val="18"/>
          <w:color w:val="auto"/>
        </w:rPr>
      </w:pPr>
    </w:p>
    <w:p>
      <w:pPr>
        <w:ind w:right="20" w:firstLine="8"/>
        <w:spacing w:after="0"/>
        <w:tabs>
          <w:tab w:leader="none" w:pos="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 Agreement.</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4" w:lineRule="exact"/>
        <w:rPr>
          <w:sz w:val="20"/>
          <w:szCs w:val="20"/>
          <w:color w:val="auto"/>
        </w:rPr>
      </w:pPr>
    </w:p>
    <w:p>
      <w:pPr>
        <w:ind w:right="60" w:firstLine="8"/>
        <w:spacing w:after="0" w:line="241" w:lineRule="auto"/>
        <w:tabs>
          <w:tab w:leader="none" w:pos="64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PSUs,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75" w:lineRule="exact"/>
        <w:rPr>
          <w:rFonts w:ascii="Times New Roman" w:cs="Times New Roman" w:eastAsia="Times New Roman" w:hAnsi="Times New Roman"/>
          <w:sz w:val="18"/>
          <w:szCs w:val="18"/>
          <w:color w:val="auto"/>
        </w:rPr>
      </w:pPr>
    </w:p>
    <w:p>
      <w:pPr>
        <w:ind w:right="60" w:firstLine="8"/>
        <w:spacing w:after="0" w:line="236" w:lineRule="auto"/>
        <w:tabs>
          <w:tab w:leader="none" w:pos="64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performance-based restricted stock unit award is a one-time benefit which does not create any contractual or other right to receive future grants of performance-based restricted stock units, or compensation in lieu of performance-based restricted stock units, even if performance-based restricted stock units have been granted repeatedly in the past; (ii) all determinations with respect to any such future grants and the terms thereof will be at the sole discretion of the Compensation Committee; (iii) the value of the performance-based restricted stock units is an extraordinary item of compensation which is outside the scope of your employment contract, if any; (iv) the value of the performance-based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performance-based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performance-based restricted stock units; and (vii) no claim or entitlement to compensation or damages arises if the performance-based restricted stock units decrease or do not increase in value and you irrevocably release the Company from any such claim that does arise.</w:t>
      </w:r>
    </w:p>
    <w:p>
      <w:pPr>
        <w:spacing w:after="0" w:line="82" w:lineRule="exact"/>
        <w:rPr>
          <w:rFonts w:ascii="Times New Roman" w:cs="Times New Roman" w:eastAsia="Times New Roman" w:hAnsi="Times New Roman"/>
          <w:sz w:val="18"/>
          <w:szCs w:val="18"/>
          <w:color w:val="auto"/>
        </w:rPr>
      </w:pPr>
    </w:p>
    <w:p>
      <w:pPr>
        <w:ind w:firstLine="8"/>
        <w:spacing w:after="0" w:line="236" w:lineRule="auto"/>
        <w:tabs>
          <w:tab w:leader="none" w:pos="64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performance-based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performance-based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performance-based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performance-based restricted stock unit award.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{Glossary begins on next page}</w:t>
      </w:r>
    </w:p>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90" w:lineRule="exact"/>
        <w:rPr>
          <w:sz w:val="20"/>
          <w:szCs w:val="20"/>
          <w:color w:val="auto"/>
        </w:rPr>
      </w:pPr>
    </w:p>
    <w:p>
      <w:pPr>
        <w:ind w:right="20" w:firstLine="644"/>
        <w:spacing w:after="0" w:line="271" w:lineRule="auto"/>
        <w:tabs>
          <w:tab w:leader="none" w:pos="12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of Directors of Skyward Specialty Insurance Group, Inc. or such Compensation Committee or Compensation Committees appointed by the Board to administer the Plan.</w:t>
      </w:r>
    </w:p>
    <w:p>
      <w:pPr>
        <w:spacing w:after="0" w:line="4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66"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jc w:val="both"/>
        <w:ind w:right="80" w:firstLine="644"/>
        <w:spacing w:after="0" w:line="301" w:lineRule="auto"/>
        <w:tabs>
          <w:tab w:leader="none" w:pos="129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“Change in Control Qualifying Termination” </w:t>
      </w:r>
      <w:r>
        <w:rPr>
          <w:rFonts w:ascii="Times New Roman" w:cs="Times New Roman" w:eastAsia="Times New Roman" w:hAnsi="Times New Roman"/>
          <w:sz w:val="17"/>
          <w:szCs w:val="17"/>
          <w:color w:val="auto"/>
        </w:rPr>
        <w:t>shall mean a Qualifying Termination which occurs: (i) after the commencement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Potential Change in Control Period, and (ii) within the nine (9) month period immediately preceding the closing of such Change in Control.</w:t>
      </w:r>
    </w:p>
    <w:p>
      <w:pPr>
        <w:spacing w:after="0" w:line="22" w:lineRule="exact"/>
        <w:rPr>
          <w:rFonts w:ascii="Times New Roman" w:cs="Times New Roman" w:eastAsia="Times New Roman" w:hAnsi="Times New Roman"/>
          <w:sz w:val="17"/>
          <w:szCs w:val="17"/>
          <w:color w:val="auto"/>
        </w:rPr>
      </w:pPr>
    </w:p>
    <w:p>
      <w:pPr>
        <w:ind w:left="1300" w:hanging="656"/>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7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US$0.01 par value per share, of Skyward Specialty Insurance Group, Inc.</w:t>
      </w:r>
    </w:p>
    <w:p>
      <w:pPr>
        <w:spacing w:after="0" w:line="103" w:lineRule="exact"/>
        <w:rPr>
          <w:rFonts w:ascii="Times New Roman" w:cs="Times New Roman" w:eastAsia="Times New Roman" w:hAnsi="Times New Roman"/>
          <w:sz w:val="18"/>
          <w:szCs w:val="18"/>
          <w:color w:val="auto"/>
        </w:rPr>
      </w:pPr>
    </w:p>
    <w:p>
      <w:pPr>
        <w:ind w:right="60" w:firstLine="644"/>
        <w:spacing w:after="0" w:line="271" w:lineRule="auto"/>
        <w:tabs>
          <w:tab w:leader="none" w:pos="12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03" w:lineRule="exact"/>
        <w:rPr>
          <w:rFonts w:ascii="Times New Roman" w:cs="Times New Roman" w:eastAsia="Times New Roman" w:hAnsi="Times New Roman"/>
          <w:sz w:val="18"/>
          <w:szCs w:val="18"/>
          <w:color w:val="auto"/>
        </w:rPr>
      </w:pPr>
    </w:p>
    <w:p>
      <w:pPr>
        <w:ind w:firstLine="644"/>
        <w:spacing w:after="0" w:line="237" w:lineRule="auto"/>
        <w:tabs>
          <w:tab w:leader="none" w:pos="12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your written consent, (i) a material reduction in your base salary or annual cash incentive targets; (ii) a material diminution in your title, duties, or responsibilities; (iii) any material breach of this Agreement by the Company; or (iv) any relocation of your principal place of employment of more than fifty (50)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7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PSUs made to you as set forth in the relevant Notice.</w:t>
      </w:r>
    </w:p>
    <w:p>
      <w:pPr>
        <w:spacing w:after="0" w:line="103"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xml:space="preserve">” means the separate periods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right="280" w:firstLine="644"/>
        <w:spacing w:after="0" w:line="271" w:lineRule="auto"/>
        <w:tabs>
          <w:tab w:leader="none" w:pos="129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 grant of PSUs made to you.</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Skyward Specialty Insurance Group, Inc. 2022 Long-Term Incentive Plan, as amended from time to time.</w:t>
      </w:r>
    </w:p>
    <w:p>
      <w:pPr>
        <w:spacing w:after="0" w:line="103" w:lineRule="exact"/>
        <w:rPr>
          <w:rFonts w:ascii="Times New Roman" w:cs="Times New Roman" w:eastAsia="Times New Roman" w:hAnsi="Times New Roman"/>
          <w:sz w:val="18"/>
          <w:szCs w:val="18"/>
          <w:color w:val="auto"/>
        </w:rPr>
      </w:pPr>
    </w:p>
    <w:p>
      <w:pPr>
        <w:ind w:right="200" w:firstLine="644"/>
        <w:spacing w:after="0" w:line="241" w:lineRule="auto"/>
        <w:tabs>
          <w:tab w:leader="none" w:pos="129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Change in Control Period” </w:t>
      </w:r>
      <w:r>
        <w:rPr>
          <w:rFonts w:ascii="Times New Roman" w:cs="Times New Roman" w:eastAsia="Times New Roman" w:hAnsi="Times New Roman"/>
          <w:sz w:val="18"/>
          <w:szCs w:val="18"/>
          <w:color w:val="auto"/>
        </w:rPr>
        <w:t>shall mean the period commencing on the date any of the following occur: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enters into an agreement or a letter of intent to enter into an agreement to take actions, the consummation of which would result in the occurrence of a Change in Control, or (ii) the Company or any person or entity publicly announces an intention to take or to consider taking actions which, if consummated, would constitute a Change in Control.</w:t>
      </w:r>
    </w:p>
    <w:p>
      <w:pPr>
        <w:spacing w:after="0" w:line="73" w:lineRule="exact"/>
        <w:rPr>
          <w:rFonts w:ascii="Times New Roman" w:cs="Times New Roman" w:eastAsia="Times New Roman" w:hAnsi="Times New Roman"/>
          <w:sz w:val="18"/>
          <w:szCs w:val="18"/>
          <w:color w:val="auto"/>
        </w:rPr>
      </w:pPr>
    </w:p>
    <w:p>
      <w:pPr>
        <w:ind w:right="60" w:firstLine="644"/>
        <w:spacing w:after="0" w:line="242" w:lineRule="auto"/>
        <w:tabs>
          <w:tab w:leader="none" w:pos="129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Retirement</w:t>
      </w:r>
      <w:r>
        <w:rPr>
          <w:rFonts w:ascii="Times New Roman" w:cs="Times New Roman" w:eastAsia="Times New Roman" w:hAnsi="Times New Roman"/>
          <w:sz w:val="18"/>
          <w:szCs w:val="18"/>
          <w:color w:val="auto"/>
        </w:rPr>
        <w:t>” means your “separation from service” as such term is defined under Section 409A of the Code and applicable regulations, where all the following requirements are met: (i) your termination occurs on a date that is at least one year following the beginning of the Performance Period, (ii) your termination is not a termination of Service for Cause, (iii) your 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w:t>
      </w:r>
    </w:p>
    <w:p>
      <w:pPr>
        <w:sectPr>
          <w:pgSz w:w="11900" w:h="16838" w:orient="portrait"/>
          <w:cols w:equalWidth="0" w:num="1">
            <w:col w:w="10580"/>
          </w:cols>
          <w:pgMar w:left="98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Company in succession planning and the transitioning of your responsibilities through your scheduled retirement date as determined and directed by the Company in its sole discretion; and (vii)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200" w:firstLine="644"/>
        <w:spacing w:after="0" w:line="239" w:lineRule="auto"/>
        <w:tabs>
          <w:tab w:leader="none" w:pos="129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“Qualifying Termination” </w:t>
      </w:r>
      <w:r>
        <w:rPr>
          <w:rFonts w:ascii="Times New Roman" w:cs="Times New Roman" w:eastAsia="Times New Roman" w:hAnsi="Times New Roman"/>
          <w:sz w:val="18"/>
          <w:szCs w:val="18"/>
          <w:color w:val="auto"/>
        </w:rPr>
        <w:t>means your termination without Cause or resignation for Good Reason which constitutes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440" w:firstLine="644"/>
        <w:spacing w:after="0" w:line="271" w:lineRule="auto"/>
        <w:tabs>
          <w:tab w:leader="none" w:pos="129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means the Company’s commitment to issue one share of Common Stock at a future date, subject to the terms of the Agreement and the Plan.</w:t>
      </w:r>
    </w:p>
    <w:p>
      <w:pPr>
        <w:spacing w:after="0" w:line="45" w:lineRule="exact"/>
        <w:rPr>
          <w:rFonts w:ascii="Times New Roman" w:cs="Times New Roman" w:eastAsia="Times New Roman" w:hAnsi="Times New Roman"/>
          <w:sz w:val="18"/>
          <w:szCs w:val="18"/>
          <w:color w:val="auto"/>
        </w:rPr>
      </w:pPr>
    </w:p>
    <w:p>
      <w:pPr>
        <w:ind w:right="40" w:firstLine="644"/>
        <w:spacing w:after="0" w:line="246" w:lineRule="auto"/>
        <w:tabs>
          <w:tab w:leader="none" w:pos="129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69" w:lineRule="exact"/>
        <w:rPr>
          <w:rFonts w:ascii="Times New Roman" w:cs="Times New Roman" w:eastAsia="Times New Roman" w:hAnsi="Times New Roman"/>
          <w:sz w:val="18"/>
          <w:szCs w:val="18"/>
          <w:color w:val="auto"/>
        </w:rPr>
      </w:pPr>
    </w:p>
    <w:p>
      <w:pPr>
        <w:ind w:right="220" w:firstLine="644"/>
        <w:spacing w:after="0" w:line="246" w:lineRule="auto"/>
        <w:tabs>
          <w:tab w:leader="none" w:pos="129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PSUs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PSUs may be transferred by will or by the laws of descent and distribution, the words “you” and “your” shall be deemed to include such person.</w:t>
      </w:r>
    </w:p>
    <w:p>
      <w:pPr>
        <w:sectPr>
          <w:pgSz w:w="11900" w:h="16838" w:orient="portrait"/>
          <w:cols w:equalWidth="0" w:num="1">
            <w:col w:w="10580"/>
          </w:cols>
          <w:pgMar w:left="98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Period is made up of three consecutive (3) measurement periods (each a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such Measurement Periods to be:</w:t>
      </w:r>
    </w:p>
    <w:p>
      <w:pPr>
        <w:spacing w:after="0" w:line="108"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1</w:t>
      </w:r>
      <w:r>
        <w:rPr>
          <w:sz w:val="20"/>
          <w:szCs w:val="20"/>
          <w:color w:val="auto"/>
        </w:rPr>
        <w:tab/>
      </w:r>
      <w:r>
        <w:rPr>
          <w:rFonts w:ascii="Times New Roman" w:cs="Times New Roman" w:eastAsia="Times New Roman" w:hAnsi="Times New Roman"/>
          <w:sz w:val="17"/>
          <w:szCs w:val="17"/>
          <w:color w:val="auto"/>
        </w:rPr>
        <w:t>January 1, 2024 to December 31, 2024</w:t>
      </w:r>
    </w:p>
    <w:p>
      <w:pPr>
        <w:spacing w:after="0" w:line="104"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2</w:t>
      </w:r>
      <w:r>
        <w:rPr>
          <w:sz w:val="20"/>
          <w:szCs w:val="20"/>
          <w:color w:val="auto"/>
        </w:rPr>
        <w:tab/>
      </w:r>
      <w:r>
        <w:rPr>
          <w:rFonts w:ascii="Times New Roman" w:cs="Times New Roman" w:eastAsia="Times New Roman" w:hAnsi="Times New Roman"/>
          <w:sz w:val="17"/>
          <w:szCs w:val="17"/>
          <w:color w:val="auto"/>
        </w:rPr>
        <w:t>January 1, 2025 to December 31, 2025</w:t>
      </w:r>
    </w:p>
    <w:p>
      <w:pPr>
        <w:spacing w:after="0" w:line="104"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3</w:t>
      </w:r>
      <w:r>
        <w:rPr>
          <w:sz w:val="20"/>
          <w:szCs w:val="20"/>
          <w:color w:val="auto"/>
        </w:rPr>
        <w:tab/>
      </w:r>
      <w:r>
        <w:rPr>
          <w:rFonts w:ascii="Times New Roman" w:cs="Times New Roman" w:eastAsia="Times New Roman" w:hAnsi="Times New Roman"/>
          <w:sz w:val="17"/>
          <w:szCs w:val="17"/>
          <w:color w:val="auto"/>
        </w:rPr>
        <w:t>January 1, 2026 to December 31, 2026</w:t>
      </w:r>
    </w:p>
    <w:p>
      <w:pPr>
        <w:spacing w:after="0" w:line="10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 number of PSUs earned shall be determined by reference to the Company’s Growth in Book Value per Share (GBVPS) and the Book Value per Share (BVPS) as determined and defined in the Company’s year-end GAAP financial statements, as certified by the Compensation Committee. The BVPS for the Performance Period shall be determined as a straight-line average of the BVPS at year-end for each of the Measurement Periods.</w:t>
      </w:r>
    </w:p>
    <w:p>
      <w:pPr>
        <w:spacing w:after="0" w:line="7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Participant shall earn the percentage of the targeted number of PSUs (such percentage to be interpolated only after Threshold performance is achieved) based on three-year average GBVPS relative to the peer companies (the “</w:t>
      </w:r>
      <w:r>
        <w:rPr>
          <w:rFonts w:ascii="Times New Roman" w:cs="Times New Roman" w:eastAsia="Times New Roman" w:hAnsi="Times New Roman"/>
          <w:sz w:val="18"/>
          <w:szCs w:val="18"/>
          <w:b w:val="1"/>
          <w:bCs w:val="1"/>
          <w:i w:val="1"/>
          <w:iCs w:val="1"/>
          <w:color w:val="auto"/>
        </w:rPr>
        <w:t>Peer Companies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listed below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Relative GBVPS</w:t>
      </w:r>
      <w:r>
        <w:rPr>
          <w:rFonts w:ascii="Times New Roman" w:cs="Times New Roman" w:eastAsia="Times New Roman" w:hAnsi="Times New Roman"/>
          <w:sz w:val="18"/>
          <w:szCs w:val="18"/>
          <w:color w:val="auto"/>
        </w:rPr>
        <w:t>”). The maximum number of PSUs that may vest is capped at maximum of 150% of the Target Number of PSUs.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Performance Level</w:t>
            </w:r>
          </w:p>
        </w:tc>
        <w:tc>
          <w:tcPr>
            <w:tcW w:w="3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Relative GBVPS</w:t>
            </w:r>
          </w:p>
        </w:tc>
        <w:tc>
          <w:tcPr>
            <w:tcW w:w="374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Percentage of Target Shares</w:t>
            </w:r>
          </w:p>
        </w:tc>
      </w:tr>
      <w:tr>
        <w:trPr>
          <w:trHeight w:val="22"/>
        </w:trPr>
        <w:tc>
          <w:tcPr>
            <w:tcW w:w="3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75th Percentile or greater</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3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50th Percentile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3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25th Percentile or less</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3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 GBVPS will be determined by ranking the Company and the Peer Companies listed below from highest to lowest according to their respective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GBVPS. After this ranking, the percentile performance of the Company relative to the Peer Companies listed below will be determined as follows: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 = 1- ((R-1)/(N-1))</w:t>
      </w:r>
    </w:p>
    <w:p>
      <w:pPr>
        <w:spacing w:after="0" w:line="9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where: “P” represents the percentile performance which will be rounded, if necessary, to the nearest whole percentile by application of regular rounding.</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represents the remaining number of Peer Companies, plus the Company.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represents Company’s ranking among the Peer Companies (including the Company).</w:t>
      </w:r>
    </w:p>
    <w:p>
      <w:pPr>
        <w:sectPr>
          <w:pgSz w:w="11900" w:h="16838" w:orient="portrait"/>
          <w:cols w:equalWidth="0" w:num="1">
            <w:col w:w="11240"/>
          </w:cols>
          <w:pgMar w:left="320" w:top="1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Peer Companies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adjustment below, the Peer Companies shall be:</w:t>
      </w:r>
    </w:p>
    <w:p>
      <w:pPr>
        <w:spacing w:after="0" w:line="104"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Axis Capital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Employers Insurance Group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Indemnity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Hamilton Group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Kinsale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Republic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Palomar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Assurance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RLI</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SiriusPoint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Peer Companies shall automatically be adjusted during a Performance Period as follows:</w:t>
      </w:r>
    </w:p>
    <w:p>
      <w:pPr>
        <w:spacing w:after="0" w:line="104" w:lineRule="exact"/>
        <w:rPr>
          <w:sz w:val="20"/>
          <w:szCs w:val="20"/>
          <w:color w:val="auto"/>
        </w:rPr>
      </w:pPr>
    </w:p>
    <w:p>
      <w:pPr>
        <w:ind w:left="1300" w:right="480" w:hanging="644"/>
        <w:spacing w:after="0" w:line="266" w:lineRule="auto"/>
        <w:tabs>
          <w:tab w:leader="none" w:pos="128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acquisition, or business combination transaction of a Peer Company with or by another Peer Company, the surviving entity shall remain a Peer Company.</w:t>
      </w:r>
    </w:p>
    <w:p>
      <w:pPr>
        <w:spacing w:after="0" w:line="40" w:lineRule="exact"/>
        <w:rPr>
          <w:rFonts w:ascii="Times New Roman" w:cs="Times New Roman" w:eastAsia="Times New Roman" w:hAnsi="Times New Roman"/>
          <w:sz w:val="18"/>
          <w:szCs w:val="18"/>
          <w:color w:val="auto"/>
        </w:rPr>
      </w:pPr>
    </w:p>
    <w:p>
      <w:pPr>
        <w:jc w:val="both"/>
        <w:ind w:left="1300" w:right="640" w:hanging="644"/>
        <w:spacing w:after="0" w:line="250" w:lineRule="auto"/>
        <w:tabs>
          <w:tab w:leader="none" w:pos="12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w:t>
      </w:r>
    </w:p>
    <w:p>
      <w:pPr>
        <w:spacing w:after="0" w:line="68" w:lineRule="exact"/>
        <w:rPr>
          <w:rFonts w:ascii="Times New Roman" w:cs="Times New Roman" w:eastAsia="Times New Roman" w:hAnsi="Times New Roman"/>
          <w:sz w:val="18"/>
          <w:szCs w:val="18"/>
          <w:color w:val="auto"/>
        </w:rPr>
      </w:pPr>
    </w:p>
    <w:p>
      <w:pPr>
        <w:ind w:left="1300" w:right="60" w:hanging="644"/>
        <w:spacing w:after="0" w:line="245" w:lineRule="auto"/>
        <w:tabs>
          <w:tab w:leader="none" w:pos="12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or acquisition or business combination transaction of a Peer Company by or with an entity that is not a Peer Company, a “going private” transaction involving a Peer Company or the liquidation of a Peer Company, where the Peer Company is not the surviving entity or is otherwise no longer publicly traded, the company shall no longer be a Peer Company for the entire Performance Period.</w:t>
      </w:r>
    </w:p>
    <w:p>
      <w:pPr>
        <w:spacing w:after="0" w:line="72"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bankruptcy of a Peer Company, such company shall no longer be a Peer Company for the entire Performance Period.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 in Control on Performance Period</w:t>
      </w:r>
    </w:p>
    <w:p>
      <w:pPr>
        <w:spacing w:after="0" w:line="94"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If a Change in Control occurs prior to the last date of the Performance Period, the Company reserves the right, in its sole discretion, to instead provide that the Performance Period shall consist of the period beginning on the first date of the Performance Period and ending on the closing date of the Change in Control for purposes of determining the applicable number of PSUs that are eligible to vest based on the average applicable level of performance attained for the completed and partial Measurement Periods through the date of the Change in Control, with the same weighting applied to the partial Measurement Period as any completed Measurement Period in such averaging calculation. Such measured number of PSUs will be eligible to vest subject to satisfaction of the Service Vesting Condition.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on: [_________]</w:t>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 UNDER THE SKYWARD SPECIALTY INSURANCE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LONG-TERM INCENTIVE PLAN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RATIO)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This Notice evidences the award of performance-based restricted stock units (each, a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Skyward Specialty Insurance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Skyward Specialty Insurance Group, Inc. 2022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conditioned upon your agreement to the terms of the attached Performance-Based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PSU is equivalent in value to one share of the Company’s Common Stock and represents the Company’s commitment to issue one share of the Company’s Common Stock at a future date, subject to the terms of the Agreement and the Plan. The PSUs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[February ___,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xml:space="preserve">: [January 1, 2024 to December 31, 2026, with separate Measurement Periods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Number of PSUs</w:t>
      </w:r>
      <w:r>
        <w:rPr>
          <w:rFonts w:ascii="Times New Roman" w:cs="Times New Roman" w:eastAsia="Times New Roman" w:hAnsi="Times New Roman"/>
          <w:sz w:val="18"/>
          <w:szCs w:val="18"/>
          <w:color w:val="auto"/>
        </w:rPr>
        <w:t>: [_________] subject to adjustment as provided by the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Maximum Number of PSUs</w:t>
      </w:r>
      <w:r>
        <w:rPr>
          <w:rFonts w:ascii="Times New Roman" w:cs="Times New Roman" w:eastAsia="Times New Roman" w:hAnsi="Times New Roman"/>
          <w:sz w:val="18"/>
          <w:szCs w:val="18"/>
          <w:color w:val="auto"/>
        </w:rPr>
        <w:t xml:space="preserve">: As specified on </w:t>
      </w:r>
      <w:r>
        <w:rPr>
          <w:rFonts w:ascii="Times New Roman" w:cs="Times New Roman" w:eastAsia="Times New Roman" w:hAnsi="Times New Roman"/>
          <w:sz w:val="18"/>
          <w:szCs w:val="18"/>
          <w:u w:val="single" w:color="auto"/>
          <w:color w:val="auto"/>
        </w:rPr>
        <w:t>Exhibit 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All of the PSUs are nonvested and forfeitable as of the Grant Date. In order for any PSUs to vest, each of two vesting conditions must</w:t>
      </w:r>
    </w:p>
    <w:p>
      <w:pPr>
        <w:spacing w:after="0"/>
        <w:rPr>
          <w:sz w:val="20"/>
          <w:szCs w:val="20"/>
          <w:color w:val="auto"/>
        </w:rPr>
      </w:pPr>
      <w:r>
        <w:rPr>
          <w:rFonts w:ascii="Times New Roman" w:cs="Times New Roman" w:eastAsia="Times New Roman" w:hAnsi="Times New Roman"/>
          <w:sz w:val="18"/>
          <w:szCs w:val="18"/>
          <w:color w:val="auto"/>
        </w:rPr>
        <w:t>be satisfied: (i) the Service Vesting Condition, and (ii) the Performance Vesting Condition.</w:t>
      </w:r>
    </w:p>
    <w:p>
      <w:pPr>
        <w:spacing w:after="0" w:line="7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Performance Vesting Condition</w:t>
      </w:r>
      <w:r>
        <w:rPr>
          <w:rFonts w:ascii="Times New Roman" w:cs="Times New Roman" w:eastAsia="Times New Roman" w:hAnsi="Times New Roman"/>
          <w:sz w:val="18"/>
          <w:szCs w:val="18"/>
          <w:color w:val="auto"/>
        </w:rPr>
        <w:t xml:space="preserve">: The number of Performance Stock Units that may actually vest and that the Participant may actually earn for the Award Period, is subject to the applicable level of attainment of the Performance Goals as stated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Performance Vesting Condition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7"/>
          <w:szCs w:val="17"/>
          <w:u w:val="single" w:color="auto"/>
          <w:color w:val="auto"/>
        </w:rPr>
        <w:t>Service Vesting Condition</w:t>
      </w:r>
      <w:r>
        <w:rPr>
          <w:rFonts w:ascii="Times New Roman" w:cs="Times New Roman" w:eastAsia="Times New Roman" w:hAnsi="Times New Roman"/>
          <w:sz w:val="17"/>
          <w:szCs w:val="17"/>
          <w:color w:val="auto"/>
        </w:rPr>
        <w:t>: Except as set forth in Section 3 of the Agreement, your eligibility to satisfy the Service Vesting Condition is contingent upon your Service continuing through and including the first date of January which follows the scheduled end of the Performance Period (such applicable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Vesting Date</w:t>
      </w:r>
      <w:r>
        <w:rPr>
          <w:rFonts w:ascii="Times New Roman" w:cs="Times New Roman" w:eastAsia="Times New Roman" w:hAnsi="Times New Roman"/>
          <w:sz w:val="17"/>
          <w:szCs w:val="17"/>
          <w:color w:val="auto"/>
        </w:rPr>
        <w:t xml:space="preserve">”). Subject to the terms of the Agreement, so long as your Service is continuous from the Grant Date through the Vesting Date, the number of PSUs that are eligible to vest will be based on the applicable level of attainment of the Performance Goals as stated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18"/>
          <w:szCs w:val="18"/>
          <w:color w:val="auto"/>
        </w:rPr>
        <w:t>As further specified in Section 3 of the Agreement, in the event your Service is terminated prior to the Vesting Date due to your: (A) death or Total and Permanent Disability, (B) Qualifying Retirement, or (C) Change in Control Qualifying Termination, you will be deemed to have satisfied the Service Vesting Condition and are eligible to vest in the applicable number of PSUs as specified in Section 3 of the Agreement, subject to the terms specified therein.</w:t>
      </w:r>
    </w:p>
    <w:p>
      <w:pPr>
        <w:spacing w:after="0" w:line="316"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Skyward Specialty Insurance Group, Inc.</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PSUs or the Company.</w:t>
      </w:r>
    </w:p>
    <w:p>
      <w:pPr>
        <w:spacing w:after="0" w:line="108"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49465" cy="3511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 UNDER THE SKYWARD SPECIALTY INSURANCE GROUP,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LONG-TERM INCENTIVE PLAN</w:t>
      </w:r>
    </w:p>
    <w:p>
      <w:pPr>
        <w:spacing w:after="0" w:line="70"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115" w:lineRule="exact"/>
        <w:rPr>
          <w:rFonts w:ascii="Times New Roman" w:cs="Times New Roman" w:eastAsia="Times New Roman" w:hAnsi="Times New Roman"/>
          <w:sz w:val="17"/>
          <w:szCs w:val="17"/>
          <w:color w:val="auto"/>
        </w:rPr>
      </w:pPr>
    </w:p>
    <w:p>
      <w:pPr>
        <w:jc w:val="both"/>
        <w:ind w:right="20" w:firstLine="8"/>
        <w:spacing w:after="0"/>
        <w:tabs>
          <w:tab w:leader="none" w:pos="6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PSUs are nonvested and forfeitable as of the Grant Date. So long as your Service is continuous from the Grant Date through the Vesting Date or earlier termination date as set forth in Section 3, the PSUs will become vested and nonforfeitable in accordance with the vesting conditions set forth in the Notice or this Agreement. Except for the specific circumstances, if any, described in the Notice and Section 3 of this Agreement, none of the PSUs will become vested and nonforfeitable after your Service ceases if such termination of your Service occurs prior to the Vesting Date.</w:t>
      </w:r>
    </w:p>
    <w:p>
      <w:pPr>
        <w:spacing w:after="0" w:line="76" w:lineRule="exact"/>
        <w:rPr>
          <w:rFonts w:ascii="Times New Roman" w:cs="Times New Roman" w:eastAsia="Times New Roman" w:hAnsi="Times New Roman"/>
          <w:sz w:val="18"/>
          <w:szCs w:val="18"/>
          <w:color w:val="auto"/>
        </w:rPr>
      </w:pPr>
    </w:p>
    <w:p>
      <w:pPr>
        <w:ind w:right="120" w:firstLine="8"/>
        <w:spacing w:after="0" w:line="245" w:lineRule="auto"/>
        <w:tabs>
          <w:tab w:leader="none" w:pos="6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or approved by the Administrator, if your Service with the Company ceases for any reason prior to the Vesting Date other than as specified in this Section 3, all PSUs will be forfeited to the Company immediately and automatically upon such cessation of your Service without payment of any consideration therefor and you will have no further right, title or interest in or to such PSUs or the underlying shares of Common Stock.</w:t>
      </w:r>
    </w:p>
    <w:p>
      <w:pPr>
        <w:spacing w:after="0" w:line="72" w:lineRule="exact"/>
        <w:rPr>
          <w:rFonts w:ascii="Times New Roman" w:cs="Times New Roman" w:eastAsia="Times New Roman" w:hAnsi="Times New Roman"/>
          <w:sz w:val="18"/>
          <w:szCs w:val="18"/>
          <w:color w:val="auto"/>
        </w:rPr>
      </w:pPr>
    </w:p>
    <w:p>
      <w:pPr>
        <w:ind w:left="820" w:right="160" w:hanging="326"/>
        <w:spacing w:after="0" w:line="237" w:lineRule="auto"/>
        <w:tabs>
          <w:tab w:leader="none" w:pos="81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Total and Permanent Disability</w:t>
      </w:r>
      <w:r>
        <w:rPr>
          <w:rFonts w:ascii="Times New Roman" w:cs="Times New Roman" w:eastAsia="Times New Roman" w:hAnsi="Times New Roman"/>
          <w:sz w:val="18"/>
          <w:szCs w:val="18"/>
          <w:color w:val="auto"/>
        </w:rPr>
        <w:t>. In the event your Service is terminated due to your death or Total and Permanent Disability, the number of PSUs that vest will be calculated by using the actual performance for any Measurement Periods completed on or prior to the termination date and deemed target performance achievement for any partial Measurement Period that includes the termination date, and such applicable number of PSUs shall be deemed vested as of your termination date based on such applicable average deemed and attained performance level for such completed and partial Measurement Periods with the same weighting applied to the partial Measurement Period as any completed Measurement Period in such averaging calculation. For the avoidance of doubt, any Measurement Periods that are scheduled to begin after the date in which the termination due to your death or Total and Permanent Disability occurs, if applicable, will not be included in the average calculation for purposes of determining level of performance achievement and the number of PSUs that are eligible to vest.</w:t>
      </w:r>
    </w:p>
    <w:p>
      <w:pPr>
        <w:spacing w:after="0" w:line="79" w:lineRule="exact"/>
        <w:rPr>
          <w:rFonts w:ascii="Times New Roman" w:cs="Times New Roman" w:eastAsia="Times New Roman" w:hAnsi="Times New Roman"/>
          <w:sz w:val="18"/>
          <w:szCs w:val="18"/>
          <w:color w:val="auto"/>
        </w:rPr>
      </w:pPr>
    </w:p>
    <w:p>
      <w:pPr>
        <w:ind w:left="820" w:right="20" w:hanging="326"/>
        <w:spacing w:after="0" w:line="238" w:lineRule="auto"/>
        <w:tabs>
          <w:tab w:leader="none" w:pos="8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Retirement</w:t>
      </w:r>
      <w:r>
        <w:rPr>
          <w:rFonts w:ascii="Times New Roman" w:cs="Times New Roman" w:eastAsia="Times New Roman" w:hAnsi="Times New Roman"/>
          <w:sz w:val="18"/>
          <w:szCs w:val="18"/>
          <w:color w:val="auto"/>
        </w:rPr>
        <w:t>. In the event your Service is terminated due to a Qualifying Retirement, the number of PSUs that are eligible to vest will be a pro-rata number based on the number of days you were in Service during the Performance Period and the actual average performance level achieved through the end of the Measurement Period in which the Qualifying Retirement occurs. Such pro-rata portion of the number of PSUs which are eligible to vest will be determined by dividing (i) the number of days that have elapsed prior to the date of the Qualifying Retirement date since the start of the applicable Performance Period by (ii) the total number of days in such Performance Period. The pro-rata number of PSUs which are eligible to vest based on the applicable performance level attained will be calculated by reference to the average of the actual performance for any completed Measurement Periods as of the termination date and actual performance achieved for the Measurement Period in which the Qualifying Retirement occurs, and such applicable pro-rata number of PSUs shall vest contingent on the Release Effective Date. For the avoidance of doubt, any Measurement Periods that are scheduled to begin after the date in which the Qualifying Retirement occurs will not be included in the average calculation for purposes of determining level of performance achievement and number of pro-rata PSUs which are eligible to vest.</w:t>
      </w:r>
    </w:p>
    <w:p>
      <w:pPr>
        <w:spacing w:after="0" w:line="64" w:lineRule="exact"/>
        <w:rPr>
          <w:rFonts w:ascii="Times New Roman" w:cs="Times New Roman" w:eastAsia="Times New Roman" w:hAnsi="Times New Roman"/>
          <w:sz w:val="18"/>
          <w:szCs w:val="18"/>
          <w:color w:val="auto"/>
        </w:rPr>
      </w:pPr>
    </w:p>
    <w:p>
      <w:pPr>
        <w:ind w:left="820" w:right="40" w:hanging="326"/>
        <w:spacing w:after="0" w:line="245" w:lineRule="auto"/>
        <w:tabs>
          <w:tab w:leader="none" w:pos="81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Qualifying Termination</w:t>
      </w:r>
      <w:r>
        <w:rPr>
          <w:rFonts w:ascii="Times New Roman" w:cs="Times New Roman" w:eastAsia="Times New Roman" w:hAnsi="Times New Roman"/>
          <w:sz w:val="18"/>
          <w:szCs w:val="18"/>
          <w:color w:val="auto"/>
        </w:rPr>
        <w:t>. In the event your Service is terminated due to a Change in Control Qualifying Termination, the Service Vesting Condition will be deemed satisfied on the Release Effective Date, and the total number of PSUs that are eligible to vest will be calculated by reference to actual performance attained during the Performance Period and in all cases subject to and contingent upon the closing of the Change in Control.</w:t>
      </w:r>
    </w:p>
    <w:p>
      <w:pPr>
        <w:spacing w:after="0" w:line="72" w:lineRule="exact"/>
        <w:rPr>
          <w:rFonts w:ascii="Times New Roman" w:cs="Times New Roman" w:eastAsia="Times New Roman" w:hAnsi="Times New Roman"/>
          <w:sz w:val="18"/>
          <w:szCs w:val="18"/>
          <w:color w:val="auto"/>
        </w:rPr>
      </w:pPr>
    </w:p>
    <w:p>
      <w:pPr>
        <w:ind w:right="60" w:firstLine="8"/>
        <w:spacing w:after="0" w:line="245" w:lineRule="auto"/>
        <w:tabs>
          <w:tab w:leader="none" w:pos="6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PSUs may be assigned, transferred, pledged, hypothecated or disposed of in any way, whether by operation of law or otherwise, and the PSUs shall not be subject to execution, attachment or similar process. All rights with respect to this Agreement and the PSUs shall be exercisable during your lifetime only by you or your guardian or legal representative. Notwithstanding the foregoing, the PSUs may be transferred upon your death by last will and testament or under the laws of descent and distribution.</w:t>
      </w:r>
    </w:p>
    <w:p>
      <w:pPr>
        <w:spacing w:after="0" w:line="72" w:lineRule="exact"/>
        <w:rPr>
          <w:rFonts w:ascii="Times New Roman" w:cs="Times New Roman" w:eastAsia="Times New Roman" w:hAnsi="Times New Roman"/>
          <w:sz w:val="18"/>
          <w:szCs w:val="18"/>
          <w:color w:val="auto"/>
        </w:rPr>
      </w:pPr>
    </w:p>
    <w:p>
      <w:pPr>
        <w:ind w:right="140" w:firstLine="8"/>
        <w:spacing w:after="0" w:line="245" w:lineRule="auto"/>
        <w:tabs>
          <w:tab w:leader="none" w:pos="6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PSU granted to the Grantee as set forth in this Agreement. Dividend equivalents, if credited, shall be withheld by the Company for the Grantee’s Account and shall</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be subject to the same vesting and forfeiture restrictions as the PSUs to which they are attributable and shall be paid on the same date that the PSUs to which they are attributable are settled and paid in accordance with Section 6 hereof. If your vested PSUs have been settled after the record date but prior to the dividend payment date, any PSUs that would be credited pursuant to the preceding sentence shall be settled on or as soon as practicable after the dividend payment date.</w:t>
      </w:r>
    </w:p>
    <w:p>
      <w:pPr>
        <w:spacing w:after="0" w:line="73"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PSUs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60" w:hanging="326"/>
        <w:spacing w:after="0" w:line="237" w:lineRule="auto"/>
        <w:tabs>
          <w:tab w:leader="none" w:pos="81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PSUs. Unless otherwise provided by the Administrator in accordance with the Plan, the Company will issue to you, in settlement of your PSUs and subject to the provisions of Section 6 below, the number of whole shares of Common Stock that equals the number of whole PSUs that become vested, and such vested PSUs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8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1140" w:right="60" w:hanging="417"/>
        <w:spacing w:after="0" w:line="242" w:lineRule="auto"/>
        <w:tabs>
          <w:tab w:leader="none" w:pos="114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Through Vesting Date</w:t>
      </w:r>
      <w:r>
        <w:rPr>
          <w:rFonts w:ascii="Times New Roman" w:cs="Times New Roman" w:eastAsia="Times New Roman" w:hAnsi="Times New Roman"/>
          <w:sz w:val="18"/>
          <w:szCs w:val="18"/>
          <w:color w:val="auto"/>
        </w:rPr>
        <w:t>. If your PSUs vest in connection with your continued Service through the Vesting Date, your PSUs will be settled by the Company, via the issuance of Common Stock as described herein, on a date selected by the Company that is in all cases during the calendar year that includes the Vesting Date and is within sixty (60) days following the date the number of PSU which are eligible to vest is determined by the Administrator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If the Original Issuance Date falls on a date that is not a business day, delivery shall instead occur on the next following business day. In addition, if:</w:t>
      </w:r>
    </w:p>
    <w:p>
      <w:pPr>
        <w:spacing w:after="0" w:line="76" w:lineRule="exact"/>
        <w:rPr>
          <w:rFonts w:ascii="Times New Roman" w:cs="Times New Roman" w:eastAsia="Times New Roman" w:hAnsi="Times New Roman"/>
          <w:sz w:val="18"/>
          <w:szCs w:val="18"/>
          <w:color w:val="auto"/>
        </w:rPr>
      </w:pPr>
    </w:p>
    <w:p>
      <w:pPr>
        <w:ind w:left="1960" w:right="140" w:hanging="656"/>
        <w:spacing w:after="0" w:line="239" w:lineRule="auto"/>
        <w:tabs>
          <w:tab w:leader="none" w:pos="1950" w:val="left"/>
        </w:tabs>
        <w:numPr>
          <w:ilvl w:val="3"/>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1960" w:right="40" w:hanging="656"/>
        <w:spacing w:after="0" w:line="236" w:lineRule="auto"/>
        <w:tabs>
          <w:tab w:leader="none" w:pos="1960" w:val="left"/>
        </w:tabs>
        <w:numPr>
          <w:ilvl w:val="3"/>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date that the PSUs become vested and nonforfeitable so that they are no longer subject to a “substantial risk of forfeiture” (that is, the last day of your taxable year in which the vesting of the PSUs occurs),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2" w:lineRule="exact"/>
        <w:rPr>
          <w:sz w:val="20"/>
          <w:szCs w:val="20"/>
          <w:color w:val="auto"/>
        </w:rPr>
      </w:pPr>
    </w:p>
    <w:p>
      <w:pPr>
        <w:ind w:left="1140" w:right="280" w:hanging="467"/>
        <w:spacing w:after="0" w:line="242"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Total and Permanent Disability</w:t>
      </w:r>
      <w:r>
        <w:rPr>
          <w:rFonts w:ascii="Times New Roman" w:cs="Times New Roman" w:eastAsia="Times New Roman" w:hAnsi="Times New Roman"/>
          <w:sz w:val="18"/>
          <w:szCs w:val="18"/>
          <w:color w:val="auto"/>
        </w:rPr>
        <w:t>. If your PSUs vest in connection with your death or Total and Permanent Disability, your PSUs will be settled by the Company, via the issuance of Common Stock as described herein, as soon as administratively practicable on a date selected by the Company that is within the sixty (60) day period following the date of such termination (which shall be the “</w:t>
      </w:r>
      <w:r>
        <w:rPr>
          <w:rFonts w:ascii="Times New Roman" w:cs="Times New Roman" w:eastAsia="Times New Roman" w:hAnsi="Times New Roman"/>
          <w:sz w:val="18"/>
          <w:szCs w:val="18"/>
          <w:b w:val="1"/>
          <w:bCs w:val="1"/>
          <w:i w:val="1"/>
          <w:i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 on the next following business day. In addition, if:</w:t>
      </w:r>
    </w:p>
    <w:p>
      <w:pPr>
        <w:spacing w:after="0" w:line="76" w:lineRule="exact"/>
        <w:rPr>
          <w:rFonts w:ascii="Times New Roman" w:cs="Times New Roman" w:eastAsia="Times New Roman" w:hAnsi="Times New Roman"/>
          <w:sz w:val="18"/>
          <w:szCs w:val="18"/>
          <w:color w:val="auto"/>
        </w:rPr>
      </w:pPr>
    </w:p>
    <w:p>
      <w:pPr>
        <w:ind w:left="1960" w:right="760" w:hanging="656"/>
        <w:spacing w:after="0" w:line="266" w:lineRule="auto"/>
        <w:tabs>
          <w:tab w:leader="none" w:pos="19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4" w:lineRule="exact"/>
        <w:rPr>
          <w:sz w:val="20"/>
          <w:szCs w:val="20"/>
          <w:color w:val="auto"/>
        </w:rPr>
      </w:pPr>
    </w:p>
    <w:p>
      <w:pPr>
        <w:ind w:left="1340" w:right="160"/>
        <w:spacing w:after="0" w:line="245" w:lineRule="auto"/>
        <w:rPr>
          <w:sz w:val="20"/>
          <w:szCs w:val="20"/>
          <w:color w:val="auto"/>
        </w:rPr>
      </w:pPr>
      <w:r>
        <w:rPr>
          <w:rFonts w:ascii="Times New Roman" w:cs="Times New Roman" w:eastAsia="Times New Roman" w:hAnsi="Times New Roman"/>
          <w:sz w:val="18"/>
          <w:szCs w:val="18"/>
          <w:color w:val="auto"/>
        </w:rPr>
        <w:t>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and</w:t>
      </w:r>
    </w:p>
    <w:p>
      <w:pPr>
        <w:spacing w:after="0" w:line="73" w:lineRule="exact"/>
        <w:rPr>
          <w:sz w:val="20"/>
          <w:szCs w:val="20"/>
          <w:color w:val="auto"/>
        </w:rPr>
      </w:pPr>
    </w:p>
    <w:p>
      <w:pPr>
        <w:ind w:left="1340" w:right="40" w:hanging="656"/>
        <w:spacing w:after="0" w:line="236" w:lineRule="auto"/>
        <w:tabs>
          <w:tab w:leader="none" w:pos="13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date that the PSUs become vested and nonforfeitable so that they are no longer subject to a “substantial risk of forfeiture” (that is, the last day of your taxable year in which the vesting of the PSUs occurs),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2" w:lineRule="exact"/>
        <w:rPr>
          <w:rFonts w:ascii="Times New Roman" w:cs="Times New Roman" w:eastAsia="Times New Roman" w:hAnsi="Times New Roman"/>
          <w:sz w:val="18"/>
          <w:szCs w:val="18"/>
          <w:color w:val="auto"/>
        </w:rPr>
      </w:pPr>
    </w:p>
    <w:p>
      <w:pPr>
        <w:ind w:left="520" w:right="60" w:hanging="516"/>
        <w:spacing w:after="0" w:line="238"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Retirement</w:t>
      </w:r>
      <w:r>
        <w:rPr>
          <w:rFonts w:ascii="Times New Roman" w:cs="Times New Roman" w:eastAsia="Times New Roman" w:hAnsi="Times New Roman"/>
          <w:sz w:val="18"/>
          <w:szCs w:val="18"/>
          <w:color w:val="auto"/>
        </w:rPr>
        <w:t>. If your PSUs vest in connection with a Qualifying Retirement, your PSUs will be settled by the Company, via the issuance of Common Stock as described herein, on a date selected by the Company that is in all cases during the calendar year immediately following the calendar year in which your Service terminated due to the Qualifying Retirement and within sixty (60) days following the date the number of PSU which are eligible to vest in connection with such Qualifying Retirement is determined by the Administrator (which shall be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 occur on the next following business day. In addition, if:</w:t>
      </w:r>
    </w:p>
    <w:p>
      <w:pPr>
        <w:spacing w:after="0" w:line="77" w:lineRule="exact"/>
        <w:rPr>
          <w:rFonts w:ascii="Times New Roman" w:cs="Times New Roman" w:eastAsia="Times New Roman" w:hAnsi="Times New Roman"/>
          <w:sz w:val="18"/>
          <w:szCs w:val="18"/>
          <w:color w:val="auto"/>
        </w:rPr>
      </w:pPr>
    </w:p>
    <w:p>
      <w:pPr>
        <w:ind w:left="1340" w:right="140" w:hanging="656"/>
        <w:spacing w:after="0" w:line="245" w:lineRule="auto"/>
        <w:tabs>
          <w:tab w:leader="none" w:pos="133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10b5-1 Arrangement), and</w:t>
      </w:r>
    </w:p>
    <w:p>
      <w:pPr>
        <w:spacing w:after="0" w:line="72" w:lineRule="exact"/>
        <w:rPr>
          <w:rFonts w:ascii="Times New Roman" w:cs="Times New Roman" w:eastAsia="Times New Roman" w:hAnsi="Times New Roman"/>
          <w:sz w:val="18"/>
          <w:szCs w:val="18"/>
          <w:color w:val="auto"/>
        </w:rPr>
      </w:pPr>
    </w:p>
    <w:p>
      <w:pPr>
        <w:ind w:left="1340" w:right="40" w:hanging="656"/>
        <w:spacing w:after="0" w:line="237" w:lineRule="auto"/>
        <w:tabs>
          <w:tab w:leader="none" w:pos="13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Original Issuance Date.</w:t>
      </w:r>
    </w:p>
    <w:p>
      <w:pPr>
        <w:spacing w:after="0" w:line="79" w:lineRule="exact"/>
        <w:rPr>
          <w:sz w:val="20"/>
          <w:szCs w:val="20"/>
          <w:color w:val="auto"/>
        </w:rPr>
      </w:pPr>
    </w:p>
    <w:p>
      <w:pPr>
        <w:ind w:left="520" w:right="20" w:hanging="507"/>
        <w:spacing w:after="0" w:line="239" w:lineRule="auto"/>
        <w:tabs>
          <w:tab w:leader="none" w:pos="5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Qualifying Termination</w:t>
      </w:r>
      <w:r>
        <w:rPr>
          <w:rFonts w:ascii="Times New Roman" w:cs="Times New Roman" w:eastAsia="Times New Roman" w:hAnsi="Times New Roman"/>
          <w:sz w:val="18"/>
          <w:szCs w:val="18"/>
          <w:color w:val="auto"/>
        </w:rPr>
        <w:t>. If your PSUs vest in connection with a Change in Control Qualifying Termination, your PSUs will be settled by the Company, via the issuance of Common Stock as described herein, on a date selected by the Company that is in all cases during the calendar year that includes the Vesting Date and is within sixty (60) days following the date the number of PSUs which are eligible to vest is determined by the Administrator (which shall be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 occur on the next following business day. In addition, if: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10b5-1 Arrangement), and</w:t>
      </w:r>
    </w:p>
    <w:p>
      <w:pPr>
        <w:sectPr>
          <w:pgSz w:w="11900" w:h="16838" w:orient="portrait"/>
          <w:cols w:equalWidth="0" w:num="1">
            <w:col w:w="10620"/>
          </w:cols>
          <w:pgMar w:left="94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960" w:right="40" w:hanging="656"/>
        <w:spacing w:after="0" w:line="236" w:lineRule="auto"/>
        <w:tabs>
          <w:tab w:leader="none" w:pos="1950" w:val="left"/>
        </w:tabs>
        <w:numPr>
          <w:ilvl w:val="3"/>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Vesting Date,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3" w:lineRule="exact"/>
        <w:rPr>
          <w:rFonts w:ascii="Times New Roman" w:cs="Times New Roman" w:eastAsia="Times New Roman" w:hAnsi="Times New Roman"/>
          <w:sz w:val="18"/>
          <w:szCs w:val="18"/>
          <w:color w:val="auto"/>
        </w:rPr>
      </w:pPr>
    </w:p>
    <w:p>
      <w:pPr>
        <w:ind w:left="1140" w:hanging="457"/>
        <w:spacing w:after="0" w:line="250" w:lineRule="auto"/>
        <w:tabs>
          <w:tab w:leader="none" w:pos="1128"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Company reserves the right, in its sole discretion, to settle any vested PSUs on any earlier date than as specified above to the maximum extent permitted while not triggering the imposition of additional taxation on you in respect of the shares under Section 409A of the Code.</w:t>
      </w:r>
    </w:p>
    <w:p>
      <w:pPr>
        <w:spacing w:after="0" w:line="68" w:lineRule="exact"/>
        <w:rPr>
          <w:rFonts w:ascii="Times New Roman" w:cs="Times New Roman" w:eastAsia="Times New Roman" w:hAnsi="Times New Roman"/>
          <w:sz w:val="18"/>
          <w:szCs w:val="18"/>
          <w:color w:val="auto"/>
        </w:rPr>
      </w:pPr>
    </w:p>
    <w:p>
      <w:pPr>
        <w:ind w:firstLine="8"/>
        <w:spacing w:after="0" w:line="236" w:lineRule="auto"/>
        <w:tabs>
          <w:tab w:leader="none" w:pos="6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PSUs,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PSUs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PSUs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PSUs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140" w:hanging="326"/>
        <w:spacing w:after="0" w:line="258" w:lineRule="auto"/>
        <w:tabs>
          <w:tab w:leader="none" w:pos="81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PSUs shall, without further action of the Administrator, be adjusted to reflect such event; provided, however, that any fractional PSUs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63" w:lineRule="exact"/>
        <w:rPr>
          <w:rFonts w:ascii="Times New Roman" w:cs="Times New Roman" w:eastAsia="Times New Roman" w:hAnsi="Times New Roman"/>
          <w:sz w:val="17"/>
          <w:szCs w:val="17"/>
          <w:color w:val="auto"/>
        </w:rPr>
      </w:pPr>
    </w:p>
    <w:p>
      <w:pPr>
        <w:ind w:left="820" w:right="60" w:hanging="326"/>
        <w:spacing w:after="0" w:line="241" w:lineRule="auto"/>
        <w:tabs>
          <w:tab w:leader="none" w:pos="8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PSUs shall pertain to and apply to the securities to which a holder of the number of shares of Common Stock subject to the PSUs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Common Stock subject to the PSUs would have been entitled, in the same manner and to the same extent as the PSUs.</w:t>
      </w:r>
    </w:p>
    <w:p>
      <w:pPr>
        <w:spacing w:after="0" w:line="104" w:lineRule="exact"/>
        <w:rPr>
          <w:sz w:val="20"/>
          <w:szCs w:val="20"/>
          <w:color w:val="auto"/>
        </w:rPr>
      </w:pPr>
    </w:p>
    <w:p>
      <w:pPr>
        <w:ind w:firstLine="8"/>
        <w:spacing w:after="0" w:line="242" w:lineRule="auto"/>
        <w:tabs>
          <w:tab w:leader="none" w:pos="6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PSUs or any other adverse effect on your interests under the Plan.</w:t>
      </w:r>
    </w:p>
    <w:p>
      <w:pPr>
        <w:spacing w:after="0" w:line="76" w:lineRule="exact"/>
        <w:rPr>
          <w:rFonts w:ascii="Times New Roman" w:cs="Times New Roman" w:eastAsia="Times New Roman" w:hAnsi="Times New Roman"/>
          <w:sz w:val="18"/>
          <w:szCs w:val="18"/>
          <w:color w:val="auto"/>
        </w:rPr>
      </w:pPr>
    </w:p>
    <w:p>
      <w:pPr>
        <w:ind w:right="320" w:firstLine="8"/>
        <w:spacing w:after="0" w:line="250"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PSUs until such shares of Common Stock have been issued to you.</w:t>
      </w:r>
    </w:p>
    <w:p>
      <w:pPr>
        <w:spacing w:after="0" w:line="68" w:lineRule="exact"/>
        <w:rPr>
          <w:rFonts w:ascii="Times New Roman" w:cs="Times New Roman" w:eastAsia="Times New Roman" w:hAnsi="Times New Roman"/>
          <w:sz w:val="18"/>
          <w:szCs w:val="18"/>
          <w:color w:val="auto"/>
        </w:rPr>
      </w:pPr>
    </w:p>
    <w:p>
      <w:pPr>
        <w:ind w:right="160" w:firstLine="8"/>
        <w:spacing w:after="0" w:line="241" w:lineRule="auto"/>
        <w:tabs>
          <w:tab w:leader="none" w:pos="63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upon Breach of Non-solicitation or Confidentiality Covenants</w:t>
      </w:r>
      <w:r>
        <w:rPr>
          <w:rFonts w:ascii="Times New Roman" w:cs="Times New Roman" w:eastAsia="Times New Roman" w:hAnsi="Times New Roman"/>
          <w:sz w:val="18"/>
          <w:szCs w:val="18"/>
          <w:color w:val="auto"/>
        </w:rPr>
        <w:t>.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PSUs will be forfeited; and (ii) you shall, within ten (10) days of notice of the Administrator’s determination of such breach, repay all cash or shares of Common Stock paid in settlement of the PSUs within twelve (12) months preceding your termination from Service. The forfeiture and clawback rights in this Section are in addition to, and not in substitution of, any rights of repurchase or other recoupment rights the Company may have.</w:t>
      </w:r>
    </w:p>
    <w:p>
      <w:pPr>
        <w:spacing w:after="0" w:line="75" w:lineRule="exact"/>
        <w:rPr>
          <w:rFonts w:ascii="Times New Roman" w:cs="Times New Roman" w:eastAsia="Times New Roman" w:hAnsi="Times New Roman"/>
          <w:sz w:val="18"/>
          <w:szCs w:val="18"/>
          <w:color w:val="auto"/>
        </w:rPr>
      </w:pPr>
    </w:p>
    <w:p>
      <w:pPr>
        <w:ind w:right="280" w:firstLine="8"/>
        <w:spacing w:after="0" w:line="242"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PSUs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the Issuance of Shares</w:t>
      </w:r>
      <w:r>
        <w:rPr>
          <w:rFonts w:ascii="Times New Roman" w:cs="Times New Roman" w:eastAsia="Times New Roman" w:hAnsi="Times New Roman"/>
          <w:sz w:val="18"/>
          <w:szCs w:val="18"/>
          <w:color w:val="auto"/>
        </w:rPr>
        <w:t>. The issuance of shares of Common Stock upon settlement of the PSUs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PSUs shall relieve the Company of any liability in respect of the failure to issue such shares as to which such requisite authority shall not have been obtained. As a condition to the settlement of the PSUs,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77"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PSUs by electronic means or to request your consent to participate in the Plan or accept this award of PSUs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77" w:lineRule="exact"/>
        <w:rPr>
          <w:rFonts w:ascii="Times New Roman" w:cs="Times New Roman" w:eastAsia="Times New Roman" w:hAnsi="Times New Roman"/>
          <w:sz w:val="18"/>
          <w:szCs w:val="18"/>
          <w:color w:val="auto"/>
        </w:rPr>
      </w:pPr>
    </w:p>
    <w:p>
      <w:pPr>
        <w:jc w:val="both"/>
        <w:ind w:right="180" w:firstLine="8"/>
        <w:spacing w:after="0" w:line="250"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PSUs granted hereunder. Any oral or written agreements, representations, warranties, written inducements, or other communications made prior to the execution of this Agreement with respect to the PSUs granted hereunder shall be void and ineffective for all purposes.</w:t>
      </w:r>
    </w:p>
    <w:p>
      <w:pPr>
        <w:spacing w:after="0" w:line="68" w:lineRule="exact"/>
        <w:rPr>
          <w:rFonts w:ascii="Times New Roman" w:cs="Times New Roman" w:eastAsia="Times New Roman" w:hAnsi="Times New Roman"/>
          <w:sz w:val="18"/>
          <w:szCs w:val="18"/>
          <w:color w:val="auto"/>
        </w:rPr>
      </w:pPr>
    </w:p>
    <w:p>
      <w:pPr>
        <w:jc w:val="both"/>
        <w:ind w:right="220" w:firstLine="8"/>
        <w:spacing w:after="0" w:line="250"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PSUs as determined in the discretion of the Administrator, except as provided in the Plan or in a written document signed by each of the parties hereto.</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4" w:lineRule="exact"/>
        <w:rPr>
          <w:sz w:val="20"/>
          <w:szCs w:val="20"/>
          <w:color w:val="auto"/>
        </w:rPr>
      </w:pPr>
    </w:p>
    <w:p>
      <w:pPr>
        <w:ind w:right="20" w:firstLine="8"/>
        <w:spacing w:after="0" w:line="251" w:lineRule="auto"/>
        <w:tabs>
          <w:tab w:leader="none" w:pos="64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409A Savings Clause</w:t>
      </w:r>
      <w:r>
        <w:rPr>
          <w:rFonts w:ascii="Times New Roman" w:cs="Times New Roman" w:eastAsia="Times New Roman" w:hAnsi="Times New Roman"/>
          <w:sz w:val="17"/>
          <w:szCs w:val="17"/>
          <w:color w:val="auto"/>
        </w:rPr>
        <w:t>. This Agreement and the PSUs granted hereunder are intended to fit within the “short-term deferral” exemption from Section 409A of the Code as set forth in Treasury Regulation Section 1.409A-1(b)(4), or alternatively comply with the payment timing requirements of Section 409A of the Code, and any ambiguities herein shall be construed consistent with such intent. In administering this Agreement, the Company shall interpret this Agreement in a manner consistent with such exemption, to the maximum extent such exemption is available. Notwithstanding the foregoing, if it is determined that the PSUs fail to satisfy the requirements of the short-term deferral exemption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73" w:lineRule="exact"/>
        <w:rPr>
          <w:rFonts w:ascii="Times New Roman" w:cs="Times New Roman" w:eastAsia="Times New Roman" w:hAnsi="Times New Roman"/>
          <w:sz w:val="17"/>
          <w:szCs w:val="17"/>
          <w:color w:val="auto"/>
        </w:rPr>
      </w:pPr>
    </w:p>
    <w:p>
      <w:pPr>
        <w:ind w:right="40" w:firstLine="8"/>
        <w:spacing w:after="0" w:line="245" w:lineRule="auto"/>
        <w:tabs>
          <w:tab w:leader="none" w:pos="6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PSUs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72" w:lineRule="exact"/>
        <w:rPr>
          <w:rFonts w:ascii="Times New Roman" w:cs="Times New Roman" w:eastAsia="Times New Roman" w:hAnsi="Times New Roman"/>
          <w:sz w:val="18"/>
          <w:szCs w:val="18"/>
          <w:color w:val="auto"/>
        </w:rPr>
      </w:pPr>
    </w:p>
    <w:p>
      <w:pPr>
        <w:ind w:right="340" w:firstLine="8"/>
        <w:spacing w:after="0" w:line="272" w:lineRule="auto"/>
        <w:tabs>
          <w:tab w:leader="none" w:pos="64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50" w:lineRule="exact"/>
        <w:rPr>
          <w:rFonts w:ascii="Times New Roman" w:cs="Times New Roman" w:eastAsia="Times New Roman" w:hAnsi="Times New Roman"/>
          <w:sz w:val="17"/>
          <w:szCs w:val="17"/>
          <w:color w:val="auto"/>
        </w:rPr>
      </w:pPr>
    </w:p>
    <w:p>
      <w:pPr>
        <w:ind w:right="220" w:firstLine="8"/>
        <w:spacing w:after="0" w:line="266" w:lineRule="auto"/>
        <w:tabs>
          <w:tab w:leader="none" w:pos="6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PSUs.</w:t>
      </w:r>
    </w:p>
    <w:p>
      <w:pPr>
        <w:spacing w:after="0" w:line="40" w:lineRule="exact"/>
        <w:rPr>
          <w:rFonts w:ascii="Times New Roman" w:cs="Times New Roman" w:eastAsia="Times New Roman" w:hAnsi="Times New Roman"/>
          <w:sz w:val="18"/>
          <w:szCs w:val="18"/>
          <w:color w:val="auto"/>
        </w:rPr>
      </w:pPr>
    </w:p>
    <w:p>
      <w:pPr>
        <w:ind w:right="100" w:firstLine="8"/>
        <w:spacing w:after="0" w:line="245" w:lineRule="auto"/>
        <w:tabs>
          <w:tab w:leader="none" w:pos="6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PSUs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72" w:lineRule="exact"/>
        <w:rPr>
          <w:rFonts w:ascii="Times New Roman" w:cs="Times New Roman" w:eastAsia="Times New Roman" w:hAnsi="Times New Roman"/>
          <w:sz w:val="18"/>
          <w:szCs w:val="18"/>
          <w:color w:val="auto"/>
        </w:rPr>
      </w:pPr>
    </w:p>
    <w:p>
      <w:pPr>
        <w:ind w:right="20" w:firstLine="8"/>
        <w:spacing w:after="0"/>
        <w:tabs>
          <w:tab w:leader="none" w:pos="6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 Agreement.</w:t>
      </w:r>
    </w:p>
    <w:p>
      <w:pPr>
        <w:spacing w:after="0" w:line="103" w:lineRule="exact"/>
        <w:rPr>
          <w:rFonts w:ascii="Times New Roman" w:cs="Times New Roman" w:eastAsia="Times New Roman" w:hAnsi="Times New Roman"/>
          <w:sz w:val="18"/>
          <w:szCs w:val="18"/>
          <w:color w:val="auto"/>
        </w:rPr>
      </w:pPr>
    </w:p>
    <w:p>
      <w:pPr>
        <w:ind w:right="60" w:firstLine="8"/>
        <w:spacing w:after="0" w:line="245" w:lineRule="auto"/>
        <w:tabs>
          <w:tab w:leader="none" w:pos="6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PSUs, and any reports of the Company provided generally to the Company’s stockholders; (ii) acknowledge that you may receive from the Company a paper copy of any documents delivered electronically at no cost to you by contacting the Company by telephone or in writing; (iii)</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69" w:lineRule="exact"/>
        <w:rPr>
          <w:sz w:val="20"/>
          <w:szCs w:val="20"/>
          <w:color w:val="auto"/>
        </w:rPr>
      </w:pPr>
    </w:p>
    <w:p>
      <w:pPr>
        <w:ind w:right="60" w:firstLine="8"/>
        <w:spacing w:after="0" w:line="236" w:lineRule="auto"/>
        <w:tabs>
          <w:tab w:leader="none" w:pos="6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performance-based restricted stock unit award is a one-time benefit which does not create any contractual or other right to receive future grants of performance-based restricted stock units, or compensation in lieu of performance-based restricted stock units, even if performance-based restricted stock units have been granted repeatedly in the past; (ii) all determinations with respect to any such future grants and the terms thereof will be at the sole discretion of the Compensation Committee; (iii) the value of the performance-based restricted stock units is an extraordinary item of compensation which is outside the scope of your employment contract, if any; (iv) the value of the performance-based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performance-based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performance-based restricted stock units; and (vii) no claim or entitlement to compensation or damages arises if the performance-based restricted stock units decrease or do not increase in value and you irrevocably release the Company from any such claim that does arise.</w:t>
      </w:r>
    </w:p>
    <w:p>
      <w:pPr>
        <w:spacing w:after="0" w:line="82" w:lineRule="exact"/>
        <w:rPr>
          <w:rFonts w:ascii="Times New Roman" w:cs="Times New Roman" w:eastAsia="Times New Roman" w:hAnsi="Times New Roman"/>
          <w:sz w:val="18"/>
          <w:szCs w:val="18"/>
          <w:color w:val="auto"/>
        </w:rPr>
      </w:pPr>
    </w:p>
    <w:p>
      <w:pPr>
        <w:ind w:firstLine="8"/>
        <w:spacing w:after="0" w:line="236" w:lineRule="auto"/>
        <w:tabs>
          <w:tab w:leader="none" w:pos="6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performance-based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performance-based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performance-based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performance-based restricted stock unit award.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{Glossary begins on next page}</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90" w:lineRule="exact"/>
        <w:rPr>
          <w:sz w:val="20"/>
          <w:szCs w:val="20"/>
          <w:color w:val="auto"/>
        </w:rPr>
      </w:pPr>
    </w:p>
    <w:p>
      <w:pPr>
        <w:ind w:right="20" w:firstLine="644"/>
        <w:spacing w:after="0" w:line="271" w:lineRule="auto"/>
        <w:tabs>
          <w:tab w:leader="none" w:pos="12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of Directors of Skyward Specialty Insurance Group, Inc. or such Compensation Committee or Compensation Committees appointed by the Board to administer the Plan.</w:t>
      </w:r>
    </w:p>
    <w:p>
      <w:pPr>
        <w:spacing w:after="0" w:line="4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66"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jc w:val="both"/>
        <w:ind w:right="80" w:firstLine="644"/>
        <w:spacing w:after="0" w:line="301" w:lineRule="auto"/>
        <w:tabs>
          <w:tab w:leader="none" w:pos="129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“Change in Control Qualifying Termination” </w:t>
      </w:r>
      <w:r>
        <w:rPr>
          <w:rFonts w:ascii="Times New Roman" w:cs="Times New Roman" w:eastAsia="Times New Roman" w:hAnsi="Times New Roman"/>
          <w:sz w:val="17"/>
          <w:szCs w:val="17"/>
          <w:color w:val="auto"/>
        </w:rPr>
        <w:t>shall mean a Qualifying Termination which occurs: (i) after the commencement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Potential Change in Control Period, and (ii) within the nine (9) month period immediately preceding the closing of such Change in Control.</w:t>
      </w:r>
    </w:p>
    <w:p>
      <w:pPr>
        <w:spacing w:after="0" w:line="22" w:lineRule="exact"/>
        <w:rPr>
          <w:rFonts w:ascii="Times New Roman" w:cs="Times New Roman" w:eastAsia="Times New Roman" w:hAnsi="Times New Roman"/>
          <w:sz w:val="17"/>
          <w:szCs w:val="17"/>
          <w:color w:val="auto"/>
        </w:rPr>
      </w:pPr>
    </w:p>
    <w:p>
      <w:pPr>
        <w:ind w:left="1300" w:hanging="656"/>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7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US$0.01 par value per share, of Skyward Specialty Insurance Group, Inc.</w:t>
      </w:r>
    </w:p>
    <w:p>
      <w:pPr>
        <w:spacing w:after="0" w:line="103" w:lineRule="exact"/>
        <w:rPr>
          <w:rFonts w:ascii="Times New Roman" w:cs="Times New Roman" w:eastAsia="Times New Roman" w:hAnsi="Times New Roman"/>
          <w:sz w:val="18"/>
          <w:szCs w:val="18"/>
          <w:color w:val="auto"/>
        </w:rPr>
      </w:pPr>
    </w:p>
    <w:p>
      <w:pPr>
        <w:ind w:right="60" w:firstLine="644"/>
        <w:spacing w:after="0" w:line="271" w:lineRule="auto"/>
        <w:tabs>
          <w:tab w:leader="none" w:pos="12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03" w:lineRule="exact"/>
        <w:rPr>
          <w:rFonts w:ascii="Times New Roman" w:cs="Times New Roman" w:eastAsia="Times New Roman" w:hAnsi="Times New Roman"/>
          <w:sz w:val="18"/>
          <w:szCs w:val="18"/>
          <w:color w:val="auto"/>
        </w:rPr>
      </w:pPr>
    </w:p>
    <w:p>
      <w:pPr>
        <w:ind w:firstLine="644"/>
        <w:spacing w:after="0" w:line="237" w:lineRule="auto"/>
        <w:tabs>
          <w:tab w:leader="none" w:pos="12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your written consent, (i) a material reduction in your base salary or annual cash incentive targets; (ii) a material diminution in your title, duties, or responsibilities; (iii) any material breach of this Agreement by the Company; or (iv) any relocation of your principal place of employment of more than fifty (50)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7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PSUs made to you as set forth in the relevant Notice.</w:t>
      </w:r>
    </w:p>
    <w:p>
      <w:pPr>
        <w:spacing w:after="0" w:line="103"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xml:space="preserve">” means the separate periods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right="280" w:firstLine="644"/>
        <w:spacing w:after="0" w:line="271" w:lineRule="auto"/>
        <w:tabs>
          <w:tab w:leader="none" w:pos="12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 grant of PSUs made to you.</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Skyward Specialty Insurance Group, Inc. 2022 Long-Term Incentive Plan, as amended from time to time.</w:t>
      </w:r>
    </w:p>
    <w:p>
      <w:pPr>
        <w:spacing w:after="0" w:line="103" w:lineRule="exact"/>
        <w:rPr>
          <w:rFonts w:ascii="Times New Roman" w:cs="Times New Roman" w:eastAsia="Times New Roman" w:hAnsi="Times New Roman"/>
          <w:sz w:val="18"/>
          <w:szCs w:val="18"/>
          <w:color w:val="auto"/>
        </w:rPr>
      </w:pPr>
    </w:p>
    <w:p>
      <w:pPr>
        <w:ind w:right="200" w:firstLine="644"/>
        <w:spacing w:after="0" w:line="241" w:lineRule="auto"/>
        <w:tabs>
          <w:tab w:leader="none" w:pos="12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Change in Control Period” </w:t>
      </w:r>
      <w:r>
        <w:rPr>
          <w:rFonts w:ascii="Times New Roman" w:cs="Times New Roman" w:eastAsia="Times New Roman" w:hAnsi="Times New Roman"/>
          <w:sz w:val="18"/>
          <w:szCs w:val="18"/>
          <w:color w:val="auto"/>
        </w:rPr>
        <w:t>shall mean the period commencing on the date any of the following occur: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enters into an agreement or a letter of intent to enter into an agreement to take actions, the consummation of which would result in the occurrence of a Change in Control, or (ii) the Company or any person or entity publicly announces an intention to take or to consider taking actions which, if consummated, would constitute a Change in Control.</w:t>
      </w:r>
    </w:p>
    <w:p>
      <w:pPr>
        <w:spacing w:after="0" w:line="73" w:lineRule="exact"/>
        <w:rPr>
          <w:rFonts w:ascii="Times New Roman" w:cs="Times New Roman" w:eastAsia="Times New Roman" w:hAnsi="Times New Roman"/>
          <w:sz w:val="18"/>
          <w:szCs w:val="18"/>
          <w:color w:val="auto"/>
        </w:rPr>
      </w:pPr>
    </w:p>
    <w:p>
      <w:pPr>
        <w:ind w:right="60" w:firstLine="644"/>
        <w:spacing w:after="0" w:line="242" w:lineRule="auto"/>
        <w:tabs>
          <w:tab w:leader="none" w:pos="12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Retirement</w:t>
      </w:r>
      <w:r>
        <w:rPr>
          <w:rFonts w:ascii="Times New Roman" w:cs="Times New Roman" w:eastAsia="Times New Roman" w:hAnsi="Times New Roman"/>
          <w:sz w:val="18"/>
          <w:szCs w:val="18"/>
          <w:color w:val="auto"/>
        </w:rPr>
        <w:t>” means your “separation from service” as such term is defined under Section 409A of the Code and applicable regulations, where all the following requirements are met: (i) your termination occurs on a date that is at least one year following the beginning of the Performance Period, (ii) your termination is not a termination of Service for Cause, (iii) your 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w:t>
      </w:r>
    </w:p>
    <w:p>
      <w:pPr>
        <w:sectPr>
          <w:pgSz w:w="11900" w:h="16838" w:orient="portrait"/>
          <w:cols w:equalWidth="0" w:num="1">
            <w:col w:w="10580"/>
          </w:cols>
          <w:pgMar w:left="98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Company in succession planning and the transitioning of your responsibilities through your scheduled retirement date as determined and directed by the Company in its sole discretion; and (vii)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200" w:firstLine="644"/>
        <w:spacing w:after="0" w:line="239" w:lineRule="auto"/>
        <w:tabs>
          <w:tab w:leader="none" w:pos="12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“Qualifying Termination” </w:t>
      </w:r>
      <w:r>
        <w:rPr>
          <w:rFonts w:ascii="Times New Roman" w:cs="Times New Roman" w:eastAsia="Times New Roman" w:hAnsi="Times New Roman"/>
          <w:sz w:val="18"/>
          <w:szCs w:val="18"/>
          <w:color w:val="auto"/>
        </w:rPr>
        <w:t>means your termination without Cause or resignation for Good Reason which constitutes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440" w:firstLine="644"/>
        <w:spacing w:after="0" w:line="271" w:lineRule="auto"/>
        <w:tabs>
          <w:tab w:leader="none" w:pos="12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means the Company’s commitment to issue one share of Common Stock at a future date, subject to the terms of the Agreement and the Plan.</w:t>
      </w:r>
    </w:p>
    <w:p>
      <w:pPr>
        <w:spacing w:after="0" w:line="45" w:lineRule="exact"/>
        <w:rPr>
          <w:rFonts w:ascii="Times New Roman" w:cs="Times New Roman" w:eastAsia="Times New Roman" w:hAnsi="Times New Roman"/>
          <w:sz w:val="18"/>
          <w:szCs w:val="18"/>
          <w:color w:val="auto"/>
        </w:rPr>
      </w:pPr>
    </w:p>
    <w:p>
      <w:pPr>
        <w:ind w:right="40" w:firstLine="644"/>
        <w:spacing w:after="0" w:line="246" w:lineRule="auto"/>
        <w:tabs>
          <w:tab w:leader="none" w:pos="12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69" w:lineRule="exact"/>
        <w:rPr>
          <w:rFonts w:ascii="Times New Roman" w:cs="Times New Roman" w:eastAsia="Times New Roman" w:hAnsi="Times New Roman"/>
          <w:sz w:val="18"/>
          <w:szCs w:val="18"/>
          <w:color w:val="auto"/>
        </w:rPr>
      </w:pPr>
    </w:p>
    <w:p>
      <w:pPr>
        <w:ind w:right="220" w:firstLine="644"/>
        <w:spacing w:after="0" w:line="246" w:lineRule="auto"/>
        <w:tabs>
          <w:tab w:leader="none" w:pos="12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PSUs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PSUs may be transferred by will or by the laws of descent and distribution, the words “you” and “your” shall be deemed to include such person.</w:t>
      </w:r>
    </w:p>
    <w:p>
      <w:pPr>
        <w:sectPr>
          <w:pgSz w:w="11900" w:h="16838" w:orient="portrait"/>
          <w:cols w:equalWidth="0" w:num="1">
            <w:col w:w="10580"/>
          </w:cols>
          <w:pgMar w:left="98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Period is made up of three (3) consecutive measurement periods (each a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such Measurement Periods to be:</w:t>
      </w:r>
    </w:p>
    <w:p>
      <w:pPr>
        <w:spacing w:after="0" w:line="108"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1</w:t>
      </w:r>
      <w:r>
        <w:rPr>
          <w:sz w:val="20"/>
          <w:szCs w:val="20"/>
          <w:color w:val="auto"/>
        </w:rPr>
        <w:tab/>
      </w:r>
      <w:r>
        <w:rPr>
          <w:rFonts w:ascii="Times New Roman" w:cs="Times New Roman" w:eastAsia="Times New Roman" w:hAnsi="Times New Roman"/>
          <w:sz w:val="17"/>
          <w:szCs w:val="17"/>
          <w:color w:val="auto"/>
        </w:rPr>
        <w:t>January 1, 2024 to December 31, 2024</w:t>
      </w:r>
    </w:p>
    <w:p>
      <w:pPr>
        <w:spacing w:after="0" w:line="104"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2</w:t>
      </w:r>
      <w:r>
        <w:rPr>
          <w:sz w:val="20"/>
          <w:szCs w:val="20"/>
          <w:color w:val="auto"/>
        </w:rPr>
        <w:tab/>
      </w:r>
      <w:r>
        <w:rPr>
          <w:rFonts w:ascii="Times New Roman" w:cs="Times New Roman" w:eastAsia="Times New Roman" w:hAnsi="Times New Roman"/>
          <w:sz w:val="17"/>
          <w:szCs w:val="17"/>
          <w:color w:val="auto"/>
        </w:rPr>
        <w:t>January 1, 2025 to December 31, 2025</w:t>
      </w:r>
    </w:p>
    <w:p>
      <w:pPr>
        <w:spacing w:after="0" w:line="104"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3</w:t>
      </w:r>
      <w:r>
        <w:rPr>
          <w:sz w:val="20"/>
          <w:szCs w:val="20"/>
          <w:color w:val="auto"/>
        </w:rPr>
        <w:tab/>
      </w:r>
      <w:r>
        <w:rPr>
          <w:rFonts w:ascii="Times New Roman" w:cs="Times New Roman" w:eastAsia="Times New Roman" w:hAnsi="Times New Roman"/>
          <w:sz w:val="17"/>
          <w:szCs w:val="17"/>
          <w:color w:val="auto"/>
        </w:rPr>
        <w:t>January 1, 2026 to December 31, 2026</w:t>
      </w:r>
    </w:p>
    <w:p>
      <w:pPr>
        <w:spacing w:after="0" w:line="104" w:lineRule="exact"/>
        <w:rPr>
          <w:sz w:val="20"/>
          <w:szCs w:val="20"/>
          <w:color w:val="auto"/>
        </w:rPr>
      </w:pPr>
    </w:p>
    <w:p>
      <w:pPr>
        <w:jc w:val="both"/>
        <w:ind w:right="360"/>
        <w:spacing w:after="0" w:line="242" w:lineRule="auto"/>
        <w:rPr>
          <w:sz w:val="20"/>
          <w:szCs w:val="20"/>
          <w:color w:val="auto"/>
        </w:rPr>
      </w:pPr>
      <w:r>
        <w:rPr>
          <w:rFonts w:ascii="Times New Roman" w:cs="Times New Roman" w:eastAsia="Times New Roman" w:hAnsi="Times New Roman"/>
          <w:sz w:val="18"/>
          <w:szCs w:val="18"/>
          <w:color w:val="auto"/>
        </w:rPr>
        <w:t>The number of PSUs earned shall be determined by reference to the Company’s Combined Ratio, as defined and calculated in the Company’s year-end GAAP financial statements, as determined by the Compensation Committee. The Combined Ratio for the Performance Period shall be determined as a straight-line average of the Combined Ratios at year-end for each of the Measurement Periods.</w:t>
      </w:r>
    </w:p>
    <w:p>
      <w:pPr>
        <w:spacing w:after="0" w:line="7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Participant shall earn the percentage of the targeted number of PSUs (such percentage after Threshold level achievement to be interpolated) based on the average Combined Ratio for the Performance Period, as noted below. The maximum number of PSUs that may vest is capped at maximum of 150% of the Target Number of PSUs.</w:t>
      </w:r>
    </w:p>
    <w:p>
      <w:pPr>
        <w:spacing w:after="0" w:line="108" w:lineRule="exact"/>
        <w:rPr>
          <w:sz w:val="20"/>
          <w:szCs w:val="20"/>
          <w:color w:val="auto"/>
        </w:rPr>
      </w:pPr>
    </w:p>
    <w:tbl>
      <w:tblPr>
        <w:tblLayout w:type="fixed"/>
        <w:tblInd w:w="2250" w:type="dxa"/>
        <w:tblCellMar>
          <w:top w:w="0" w:type="dxa"/>
          <w:left w:w="0" w:type="dxa"/>
          <w:bottom w:w="0" w:type="dxa"/>
          <w:right w:w="0" w:type="dxa"/>
        </w:tblCellMar>
      </w:tblPr>
      <w:tr>
        <w:trPr>
          <w:trHeight w:val="248"/>
        </w:trPr>
        <w:tc>
          <w:tcPr>
            <w:tcW w:w="3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Calculated 3-year Average Combined Ratio</w:t>
            </w:r>
          </w:p>
        </w:tc>
        <w:tc>
          <w:tcPr>
            <w:tcW w:w="2920" w:type="dxa"/>
            <w:vAlign w:val="bottom"/>
            <w:tcBorders>
              <w:top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 of PSUs Earned</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87.5% or greater (Maximum)</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89.5%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44"/>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92.5% (Target)</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34"/>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95.5% (Threshold)</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95.5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 in Control on Performance Period</w:t>
      </w:r>
    </w:p>
    <w:p>
      <w:pPr>
        <w:spacing w:after="0" w:line="94"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If a Change in Control occurs prior to the last date of the Performance Period, the Company reserves the right, in its sole discretion, to instead provide that the Performance Period shall consist of the period beginning on the first date of the Performance Period and ending on the closing date of the Change in Control for purposes of determining the applicable number of PSUs that are eligible to vest based on the average applicable level of performance attained for the completed and partial Measurement Periods through the date of the Change in Control, with the same weighting applied to the partial Measurement Period as any completed Measurement Period in such averaging calculation. Such measured number of PSUs will be eligible to vest subject to satisfaction of the Service Vesting Condition.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on: [ ___________]</w:t>
      </w:r>
    </w:p>
    <w:p>
      <w:pPr>
        <w:sectPr>
          <w:pgSz w:w="11900" w:h="16838" w:orient="portrait"/>
          <w:cols w:equalWidth="0" w:num="1">
            <w:col w:w="11240"/>
          </w:cols>
          <w:pgMar w:left="32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 UNDER THE SKYWARD SPECIALTY INSURANCE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LONG-TERM INCENTIVE PLAN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RATIO)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This Notice evidences the award of performance-based restricted stock units (each, a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Skyward Specialty Insurance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Skyward Specialty Insurance Group, Inc. 2022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conditioned upon your agreement to the terms of the attached Performance-Based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PSU is equivalent in value to one share of the Company’s Common Stock and represents the Company’s commitment to issue one share of the Company’s Common Stock at a future date, subject to the terms of the Agreement and the Plan. The PSUs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[February ___,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xml:space="preserve">: [January 1, 2024 to December 31, 2026, with separate Measurement Periods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Number of PSUs</w:t>
      </w:r>
      <w:r>
        <w:rPr>
          <w:rFonts w:ascii="Times New Roman" w:cs="Times New Roman" w:eastAsia="Times New Roman" w:hAnsi="Times New Roman"/>
          <w:sz w:val="18"/>
          <w:szCs w:val="18"/>
          <w:color w:val="auto"/>
        </w:rPr>
        <w:t>: [_________] subject to adjustment as provided by the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Maximum Number of PSUs</w:t>
      </w:r>
      <w:r>
        <w:rPr>
          <w:rFonts w:ascii="Times New Roman" w:cs="Times New Roman" w:eastAsia="Times New Roman" w:hAnsi="Times New Roman"/>
          <w:sz w:val="18"/>
          <w:szCs w:val="18"/>
          <w:color w:val="auto"/>
        </w:rPr>
        <w:t xml:space="preserve">: As specified on </w:t>
      </w:r>
      <w:r>
        <w:rPr>
          <w:rFonts w:ascii="Times New Roman" w:cs="Times New Roman" w:eastAsia="Times New Roman" w:hAnsi="Times New Roman"/>
          <w:sz w:val="18"/>
          <w:szCs w:val="18"/>
          <w:u w:val="single" w:color="auto"/>
          <w:color w:val="auto"/>
        </w:rPr>
        <w:t>Exhibit 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All of the PSUs are nonvested and forfeitable as of the Grant Date. In order for any PSUs to vest, each of two vesting conditions must</w:t>
      </w:r>
    </w:p>
    <w:p>
      <w:pPr>
        <w:spacing w:after="0"/>
        <w:rPr>
          <w:sz w:val="20"/>
          <w:szCs w:val="20"/>
          <w:color w:val="auto"/>
        </w:rPr>
      </w:pPr>
      <w:r>
        <w:rPr>
          <w:rFonts w:ascii="Times New Roman" w:cs="Times New Roman" w:eastAsia="Times New Roman" w:hAnsi="Times New Roman"/>
          <w:sz w:val="18"/>
          <w:szCs w:val="18"/>
          <w:color w:val="auto"/>
        </w:rPr>
        <w:t>be satisfied: (i) the Service Vesting Condition, and (ii) the Performance Vesting Condition.</w:t>
      </w:r>
    </w:p>
    <w:p>
      <w:pPr>
        <w:spacing w:after="0" w:line="7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Performance Vesting Condition</w:t>
      </w:r>
      <w:r>
        <w:rPr>
          <w:rFonts w:ascii="Times New Roman" w:cs="Times New Roman" w:eastAsia="Times New Roman" w:hAnsi="Times New Roman"/>
          <w:sz w:val="18"/>
          <w:szCs w:val="18"/>
          <w:color w:val="auto"/>
        </w:rPr>
        <w:t xml:space="preserve">: The number of Performance Stock Units that may actually vest and that the Participant may actually earn for the Award Period, is subject to the applicable level of attainment of the Performance Goals as stated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Performance Vesting Condition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7"/>
          <w:szCs w:val="17"/>
          <w:u w:val="single" w:color="auto"/>
          <w:color w:val="auto"/>
        </w:rPr>
        <w:t>Service Vesting Condition</w:t>
      </w:r>
      <w:r>
        <w:rPr>
          <w:rFonts w:ascii="Times New Roman" w:cs="Times New Roman" w:eastAsia="Times New Roman" w:hAnsi="Times New Roman"/>
          <w:sz w:val="17"/>
          <w:szCs w:val="17"/>
          <w:color w:val="auto"/>
        </w:rPr>
        <w:t>: Except as set forth in Section 3 of the Agreement, your eligibility to satisfy the Service Vesting Condition is contingent upon your Service continuing through and including the first date of January which follows the scheduled end of the Performance Period (such applicable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Vesting Date</w:t>
      </w:r>
      <w:r>
        <w:rPr>
          <w:rFonts w:ascii="Times New Roman" w:cs="Times New Roman" w:eastAsia="Times New Roman" w:hAnsi="Times New Roman"/>
          <w:sz w:val="17"/>
          <w:szCs w:val="17"/>
          <w:color w:val="auto"/>
        </w:rPr>
        <w:t xml:space="preserve">”). Subject to the terms of the Agreement, so long as your Service is continuous from the Grant Date through the Vesting Date, the number of PSUs that are eligible to vest will be based on the applicable level of attainment of the Performance Goals as stated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18"/>
          <w:szCs w:val="18"/>
          <w:color w:val="auto"/>
        </w:rPr>
        <w:t>As further specified in Section 3 of the Agreement, in the event your Service is terminated prior to the Vesting Date due to your: (A) death or Total and Permanent Disability, (B) Qualifying Retirement, or (C) Change in Control Qualifying Termination, you will be deemed to have satisfied the Service Vesting Condition and are eligible to vest in the applicable number of PSUs as specified in Section 3 of the Agreement, subject to the terms specified therein.</w:t>
      </w:r>
    </w:p>
    <w:p>
      <w:pPr>
        <w:spacing w:after="0" w:line="316"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Skyward Specialty Insurance Group, Inc.</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PSUs or the Company.</w:t>
      </w:r>
    </w:p>
    <w:p>
      <w:pPr>
        <w:spacing w:after="0" w:line="108"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49465" cy="3517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149465" cy="3517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UNITS AGREEMENT UNDER THE SKYWARD SPECIALTY INSURANCE GROUP,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LONG-TERM INCENTIVE PLAN</w:t>
      </w:r>
    </w:p>
    <w:p>
      <w:pPr>
        <w:spacing w:after="0" w:line="70"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115" w:lineRule="exact"/>
        <w:rPr>
          <w:rFonts w:ascii="Times New Roman" w:cs="Times New Roman" w:eastAsia="Times New Roman" w:hAnsi="Times New Roman"/>
          <w:sz w:val="17"/>
          <w:szCs w:val="17"/>
          <w:color w:val="auto"/>
        </w:rPr>
      </w:pPr>
    </w:p>
    <w:p>
      <w:pPr>
        <w:jc w:val="both"/>
        <w:ind w:right="20" w:firstLine="8"/>
        <w:spacing w:after="0"/>
        <w:tabs>
          <w:tab w:leader="none" w:pos="6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PSUs are nonvested and forfeitable as of the Grant Date. So long as your Service is continuous from the Grant Date through the Vesting Date or earlier termination date as set forth in Section 3, the PSUs will become vested and nonforfeitable in accordance with the vesting conditions set forth in the Notice or this Agreement. Except for the specific circumstances, if any, described in the Notice and Section 3 of this Agreement, none of the PSUs will become vested and nonforfeitable after your Service ceases if such termination of your Service occurs prior to the Vesting Date.</w:t>
      </w:r>
    </w:p>
    <w:p>
      <w:pPr>
        <w:spacing w:after="0" w:line="76" w:lineRule="exact"/>
        <w:rPr>
          <w:rFonts w:ascii="Times New Roman" w:cs="Times New Roman" w:eastAsia="Times New Roman" w:hAnsi="Times New Roman"/>
          <w:sz w:val="18"/>
          <w:szCs w:val="18"/>
          <w:color w:val="auto"/>
        </w:rPr>
      </w:pPr>
    </w:p>
    <w:p>
      <w:pPr>
        <w:ind w:right="120" w:firstLine="8"/>
        <w:spacing w:after="0" w:line="245" w:lineRule="auto"/>
        <w:tabs>
          <w:tab w:leader="none" w:pos="6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or approved by the Administrator, if your Service with the Company ceases for any reason prior to the Vesting Date other than as specified in this Section 3, all PSUs will be forfeited to the Company immediately and automatically upon such cessation of your Service without payment of any consideration therefor and you will have no further right, title or interest in or to such PSUs or the underlying shares of Common Stock.</w:t>
      </w:r>
    </w:p>
    <w:p>
      <w:pPr>
        <w:spacing w:after="0" w:line="72" w:lineRule="exact"/>
        <w:rPr>
          <w:rFonts w:ascii="Times New Roman" w:cs="Times New Roman" w:eastAsia="Times New Roman" w:hAnsi="Times New Roman"/>
          <w:sz w:val="18"/>
          <w:szCs w:val="18"/>
          <w:color w:val="auto"/>
        </w:rPr>
      </w:pPr>
    </w:p>
    <w:p>
      <w:pPr>
        <w:ind w:left="820" w:right="160" w:hanging="326"/>
        <w:spacing w:after="0" w:line="237" w:lineRule="auto"/>
        <w:tabs>
          <w:tab w:leader="none" w:pos="81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Total and Permanent Disability</w:t>
      </w:r>
      <w:r>
        <w:rPr>
          <w:rFonts w:ascii="Times New Roman" w:cs="Times New Roman" w:eastAsia="Times New Roman" w:hAnsi="Times New Roman"/>
          <w:sz w:val="18"/>
          <w:szCs w:val="18"/>
          <w:color w:val="auto"/>
        </w:rPr>
        <w:t>. In the event your Service is terminated due to your death or Total and Permanent Disability, the number of PSUs that vest will be calculated by using the actual performance for any Measurement Periods completed on or prior to the termination date and deemed target performance achievement for any partial Measurement Period that includes the termination date, and such applicable number of PSUs shall be deemed vested as of your termination date based on such applicable average deemed and attained performance level for such completed and partial Measurement Periods with the same weighting applied to the partial Measurement Period as any completed Measurement Period in such averaging calculation. For the avoidance of doubt, any Measurement Periods that are scheduled to begin after the date in which the termination due to your death or Total and Permanent Disability occurs, if applicable, will not be included in the average calculation for purposes of determining level of performance achievement and the number of PSUs that are eligible to vest.</w:t>
      </w:r>
    </w:p>
    <w:p>
      <w:pPr>
        <w:spacing w:after="0" w:line="79" w:lineRule="exact"/>
        <w:rPr>
          <w:rFonts w:ascii="Times New Roman" w:cs="Times New Roman" w:eastAsia="Times New Roman" w:hAnsi="Times New Roman"/>
          <w:sz w:val="18"/>
          <w:szCs w:val="18"/>
          <w:color w:val="auto"/>
        </w:rPr>
      </w:pPr>
    </w:p>
    <w:p>
      <w:pPr>
        <w:ind w:left="820" w:right="20" w:hanging="326"/>
        <w:spacing w:after="0" w:line="238" w:lineRule="auto"/>
        <w:tabs>
          <w:tab w:leader="none" w:pos="8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Retirement</w:t>
      </w:r>
      <w:r>
        <w:rPr>
          <w:rFonts w:ascii="Times New Roman" w:cs="Times New Roman" w:eastAsia="Times New Roman" w:hAnsi="Times New Roman"/>
          <w:sz w:val="18"/>
          <w:szCs w:val="18"/>
          <w:color w:val="auto"/>
        </w:rPr>
        <w:t>. In the event your Service is terminated due to a Qualifying Retirement, the number of PSUs that are eligible to vest will be a pro-rata number based on the number of days you were in Service during the Performance Period and the actual average performance level achieved through the end of the Measurement Period in which the Qualifying Retirement occurs. Such pro-rata portion of the number of PSUs which are eligible to vest will be determined by dividing (i) the number of days that have elapsed prior to the date of the Qualifying Retirement date since the start of the applicable Performance Period by (ii) the total number of days in such Performance Period. The pro-rata number of PSUs which are eligible to vest based on the applicable performance level attained will be calculated by reference to the average of the actual performance for any completed Measurement Periods as of the termination date and actual performance achieved for the Measurement Period in which the Qualifying Retirement occurs, and such applicable pro-rata number of PSUs shall vest contingent on the Release Effective Date. For the avoidance of doubt, any Measurement Periods that are scheduled to begin after the date in which the Qualifying Retirement occurs will not be included in the average calculation for purposes of determining level of performance achievement and number of pro-rata PSUs which are eligible to vest.</w:t>
      </w:r>
    </w:p>
    <w:p>
      <w:pPr>
        <w:spacing w:after="0" w:line="64" w:lineRule="exact"/>
        <w:rPr>
          <w:rFonts w:ascii="Times New Roman" w:cs="Times New Roman" w:eastAsia="Times New Roman" w:hAnsi="Times New Roman"/>
          <w:sz w:val="18"/>
          <w:szCs w:val="18"/>
          <w:color w:val="auto"/>
        </w:rPr>
      </w:pPr>
    </w:p>
    <w:p>
      <w:pPr>
        <w:ind w:left="820" w:right="40" w:hanging="326"/>
        <w:spacing w:after="0" w:line="245" w:lineRule="auto"/>
        <w:tabs>
          <w:tab w:leader="none" w:pos="81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Qualifying Termination</w:t>
      </w:r>
      <w:r>
        <w:rPr>
          <w:rFonts w:ascii="Times New Roman" w:cs="Times New Roman" w:eastAsia="Times New Roman" w:hAnsi="Times New Roman"/>
          <w:sz w:val="18"/>
          <w:szCs w:val="18"/>
          <w:color w:val="auto"/>
        </w:rPr>
        <w:t>. In the event your Service is terminated due to a Change in Control Qualifying Termination, the Service Vesting Condition will be deemed satisfied on the Release Effective Date, and the total number of PSUs that are eligible to vest will be calculated by reference to actual performance attained during the Performance Period and in all cases subject to and contingent upon the closing of the Change in Control.</w:t>
      </w:r>
    </w:p>
    <w:p>
      <w:pPr>
        <w:spacing w:after="0" w:line="72" w:lineRule="exact"/>
        <w:rPr>
          <w:rFonts w:ascii="Times New Roman" w:cs="Times New Roman" w:eastAsia="Times New Roman" w:hAnsi="Times New Roman"/>
          <w:sz w:val="18"/>
          <w:szCs w:val="18"/>
          <w:color w:val="auto"/>
        </w:rPr>
      </w:pPr>
    </w:p>
    <w:p>
      <w:pPr>
        <w:ind w:right="60" w:firstLine="8"/>
        <w:spacing w:after="0" w:line="245" w:lineRule="auto"/>
        <w:tabs>
          <w:tab w:leader="none" w:pos="6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PSUs may be assigned, transferred, pledged, hypothecated or disposed of in any way, whether by operation of law or otherwise, and the PSUs shall not be subject to execution, attachment or similar process. All rights with respect to this Agreement and the PSUs shall be exercisable during your lifetime only by you or your guardian or legal representative. Notwithstanding the foregoing, the PSUs may be transferred upon your death by last will and testament or under the laws of descent and distribution.</w:t>
      </w:r>
    </w:p>
    <w:p>
      <w:pPr>
        <w:spacing w:after="0" w:line="72" w:lineRule="exact"/>
        <w:rPr>
          <w:rFonts w:ascii="Times New Roman" w:cs="Times New Roman" w:eastAsia="Times New Roman" w:hAnsi="Times New Roman"/>
          <w:sz w:val="18"/>
          <w:szCs w:val="18"/>
          <w:color w:val="auto"/>
        </w:rPr>
      </w:pPr>
    </w:p>
    <w:p>
      <w:pPr>
        <w:ind w:right="140" w:firstLine="8"/>
        <w:spacing w:after="0" w:line="245" w:lineRule="auto"/>
        <w:tabs>
          <w:tab w:leader="none" w:pos="6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PSU granted to the Grantee as set forth in this Agreement. Dividend equivalents, if credited, shall be withheld by the Company for the Grantee’s Account and shall</w:t>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be subject to the same vesting and forfeiture restrictions as the PSUs to which they are attributable and shall be paid on the same date that the PSUs to which they are attributable are settled and paid in accordance with Section 6 hereof. If your vested PSUs have been settled after the record date but prior to the dividend payment date, any PSUs that would be credited pursuant to the preceding sentence shall be settled on or as soon as practicable after the dividend payment date.</w:t>
      </w:r>
    </w:p>
    <w:p>
      <w:pPr>
        <w:spacing w:after="0" w:line="73"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PSUs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60" w:hanging="326"/>
        <w:spacing w:after="0" w:line="237" w:lineRule="auto"/>
        <w:tabs>
          <w:tab w:leader="none" w:pos="81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PSUs. Unless otherwise provided by the Administrator in accordance with the Plan, the Company will issue to you, in settlement of your PSUs and subject to the provisions of Section 6 below, the number of whole shares of Common Stock that equals the number of whole PSUs that become vested, and such vested PSUs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8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1140" w:right="60" w:hanging="417"/>
        <w:spacing w:after="0" w:line="242" w:lineRule="auto"/>
        <w:tabs>
          <w:tab w:leader="none" w:pos="114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Through Vesting Date</w:t>
      </w:r>
      <w:r>
        <w:rPr>
          <w:rFonts w:ascii="Times New Roman" w:cs="Times New Roman" w:eastAsia="Times New Roman" w:hAnsi="Times New Roman"/>
          <w:sz w:val="18"/>
          <w:szCs w:val="18"/>
          <w:color w:val="auto"/>
        </w:rPr>
        <w:t>. If your PSUs vest in connection with your continued Service through the Vesting Date, your PSUs will be settled by the Company, via the issuance of Common Stock as described herein, on a date selected by the Company that is in all cases during the calendar year that includes the Vesting Date and is within sixty (60) days following the date the number of PSU which are eligible to vest is determined by the Administrator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If the Original Issuance Date falls on a date that is not a business day, delivery shall instead occur on the next following business day. In addition, if:</w:t>
      </w:r>
    </w:p>
    <w:p>
      <w:pPr>
        <w:spacing w:after="0" w:line="76" w:lineRule="exact"/>
        <w:rPr>
          <w:rFonts w:ascii="Times New Roman" w:cs="Times New Roman" w:eastAsia="Times New Roman" w:hAnsi="Times New Roman"/>
          <w:sz w:val="18"/>
          <w:szCs w:val="18"/>
          <w:color w:val="auto"/>
        </w:rPr>
      </w:pPr>
    </w:p>
    <w:p>
      <w:pPr>
        <w:ind w:left="1960" w:right="140" w:hanging="656"/>
        <w:spacing w:after="0" w:line="239" w:lineRule="auto"/>
        <w:tabs>
          <w:tab w:leader="none" w:pos="1950"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1960" w:right="40" w:hanging="656"/>
        <w:spacing w:after="0" w:line="236" w:lineRule="auto"/>
        <w:tabs>
          <w:tab w:leader="none" w:pos="1960"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date that the PSUs become vested and nonforfeitable so that they are no longer subject to a “substantial risk of forfeiture” (that is, the last day of your taxable year in which the vesting of the PSUs occurs),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2" w:lineRule="exact"/>
        <w:rPr>
          <w:sz w:val="20"/>
          <w:szCs w:val="20"/>
          <w:color w:val="auto"/>
        </w:rPr>
      </w:pPr>
    </w:p>
    <w:p>
      <w:pPr>
        <w:ind w:left="1140" w:right="280" w:hanging="467"/>
        <w:spacing w:after="0" w:line="242"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Total and Permanent Disability</w:t>
      </w:r>
      <w:r>
        <w:rPr>
          <w:rFonts w:ascii="Times New Roman" w:cs="Times New Roman" w:eastAsia="Times New Roman" w:hAnsi="Times New Roman"/>
          <w:sz w:val="18"/>
          <w:szCs w:val="18"/>
          <w:color w:val="auto"/>
        </w:rPr>
        <w:t>. If your PSUs vest in connection with your death or Total and Permanent Disability, your PSUs will be settled by the Company, via the issuance of Common Stock as described herein, as soon as administratively practicable on a date selected by the Company that is within the sixty (60) day period following the date of such termination (which shall be the “</w:t>
      </w:r>
      <w:r>
        <w:rPr>
          <w:rFonts w:ascii="Times New Roman" w:cs="Times New Roman" w:eastAsia="Times New Roman" w:hAnsi="Times New Roman"/>
          <w:sz w:val="18"/>
          <w:szCs w:val="18"/>
          <w:b w:val="1"/>
          <w:bCs w:val="1"/>
          <w:i w:val="1"/>
          <w:i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 on the next following business day. In addition, if:</w:t>
      </w:r>
    </w:p>
    <w:p>
      <w:pPr>
        <w:spacing w:after="0" w:line="76" w:lineRule="exact"/>
        <w:rPr>
          <w:rFonts w:ascii="Times New Roman" w:cs="Times New Roman" w:eastAsia="Times New Roman" w:hAnsi="Times New Roman"/>
          <w:sz w:val="18"/>
          <w:szCs w:val="18"/>
          <w:color w:val="auto"/>
        </w:rPr>
      </w:pPr>
    </w:p>
    <w:p>
      <w:pPr>
        <w:ind w:left="1960" w:right="760" w:hanging="656"/>
        <w:spacing w:after="0" w:line="266" w:lineRule="auto"/>
        <w:tabs>
          <w:tab w:leader="none" w:pos="195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4" w:lineRule="exact"/>
        <w:rPr>
          <w:sz w:val="20"/>
          <w:szCs w:val="20"/>
          <w:color w:val="auto"/>
        </w:rPr>
      </w:pPr>
    </w:p>
    <w:p>
      <w:pPr>
        <w:ind w:left="1340" w:right="160"/>
        <w:spacing w:after="0" w:line="245" w:lineRule="auto"/>
        <w:rPr>
          <w:sz w:val="20"/>
          <w:szCs w:val="20"/>
          <w:color w:val="auto"/>
        </w:rPr>
      </w:pPr>
      <w:r>
        <w:rPr>
          <w:rFonts w:ascii="Times New Roman" w:cs="Times New Roman" w:eastAsia="Times New Roman" w:hAnsi="Times New Roman"/>
          <w:sz w:val="18"/>
          <w:szCs w:val="18"/>
          <w:color w:val="auto"/>
        </w:rPr>
        <w:t>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and</w:t>
      </w:r>
    </w:p>
    <w:p>
      <w:pPr>
        <w:spacing w:after="0" w:line="73" w:lineRule="exact"/>
        <w:rPr>
          <w:sz w:val="20"/>
          <w:szCs w:val="20"/>
          <w:color w:val="auto"/>
        </w:rPr>
      </w:pPr>
    </w:p>
    <w:p>
      <w:pPr>
        <w:ind w:left="1340" w:right="40" w:hanging="656"/>
        <w:spacing w:after="0" w:line="236" w:lineRule="auto"/>
        <w:tabs>
          <w:tab w:leader="none" w:pos="13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date that the PSUs become vested and nonforfeitable so that they are no longer subject to a “substantial risk of forfeiture” (that is, the last day of your taxable year in which the vesting of the PSUs occurs),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2" w:lineRule="exact"/>
        <w:rPr>
          <w:rFonts w:ascii="Times New Roman" w:cs="Times New Roman" w:eastAsia="Times New Roman" w:hAnsi="Times New Roman"/>
          <w:sz w:val="18"/>
          <w:szCs w:val="18"/>
          <w:color w:val="auto"/>
        </w:rPr>
      </w:pPr>
    </w:p>
    <w:p>
      <w:pPr>
        <w:ind w:left="520" w:right="60" w:hanging="516"/>
        <w:spacing w:after="0" w:line="238"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Retirement</w:t>
      </w:r>
      <w:r>
        <w:rPr>
          <w:rFonts w:ascii="Times New Roman" w:cs="Times New Roman" w:eastAsia="Times New Roman" w:hAnsi="Times New Roman"/>
          <w:sz w:val="18"/>
          <w:szCs w:val="18"/>
          <w:color w:val="auto"/>
        </w:rPr>
        <w:t>. If your PSUs vest in connection with a Qualifying Retirement, your PSUs will be settled by the Company, via the issuance of Common Stock as described herein, on a date selected by the Company that is in all cases during the calendar year immediately following the calendar year in which your Service terminated due to the Qualifying Retirement and within sixty (60) days following the date the number of PSU which are eligible to vest in connection with such Qualifying Retirement is determined by the Administrator (which shall be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 occur on the next following business day. In addition, if:</w:t>
      </w:r>
    </w:p>
    <w:p>
      <w:pPr>
        <w:spacing w:after="0" w:line="77" w:lineRule="exact"/>
        <w:rPr>
          <w:rFonts w:ascii="Times New Roman" w:cs="Times New Roman" w:eastAsia="Times New Roman" w:hAnsi="Times New Roman"/>
          <w:sz w:val="18"/>
          <w:szCs w:val="18"/>
          <w:color w:val="auto"/>
        </w:rPr>
      </w:pPr>
    </w:p>
    <w:p>
      <w:pPr>
        <w:ind w:left="1340" w:right="140" w:hanging="656"/>
        <w:spacing w:after="0" w:line="245" w:lineRule="auto"/>
        <w:tabs>
          <w:tab w:leader="none" w:pos="133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10b5-1 Arrangement), and</w:t>
      </w:r>
    </w:p>
    <w:p>
      <w:pPr>
        <w:spacing w:after="0" w:line="72" w:lineRule="exact"/>
        <w:rPr>
          <w:rFonts w:ascii="Times New Roman" w:cs="Times New Roman" w:eastAsia="Times New Roman" w:hAnsi="Times New Roman"/>
          <w:sz w:val="18"/>
          <w:szCs w:val="18"/>
          <w:color w:val="auto"/>
        </w:rPr>
      </w:pPr>
    </w:p>
    <w:p>
      <w:pPr>
        <w:ind w:left="1340" w:right="40" w:hanging="656"/>
        <w:spacing w:after="0" w:line="237" w:lineRule="auto"/>
        <w:tabs>
          <w:tab w:leader="none" w:pos="13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Original Issuance Date.</w:t>
      </w:r>
    </w:p>
    <w:p>
      <w:pPr>
        <w:spacing w:after="0" w:line="79" w:lineRule="exact"/>
        <w:rPr>
          <w:sz w:val="20"/>
          <w:szCs w:val="20"/>
          <w:color w:val="auto"/>
        </w:rPr>
      </w:pPr>
    </w:p>
    <w:p>
      <w:pPr>
        <w:ind w:left="520" w:right="20" w:hanging="507"/>
        <w:spacing w:after="0" w:line="239" w:lineRule="auto"/>
        <w:tabs>
          <w:tab w:leader="none" w:pos="5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Qualifying Termination</w:t>
      </w:r>
      <w:r>
        <w:rPr>
          <w:rFonts w:ascii="Times New Roman" w:cs="Times New Roman" w:eastAsia="Times New Roman" w:hAnsi="Times New Roman"/>
          <w:sz w:val="18"/>
          <w:szCs w:val="18"/>
          <w:color w:val="auto"/>
        </w:rPr>
        <w:t>. If your PSUs vest in connection with a Change in Control Qualifying Termination, your PSUs will be settled by the Company, via the issuance of Common Stock as described herein, on a date selected by the Company that is in all cases during the calendar year that includes the Vesting Date and is within sixty (60) days following the date the number of PSUs which are eligible to vest is determined by the Administrator (which shall be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with respect to such PSUs). If the Original Issuance Date falls on a date that is not a business day, delivery shall instead occur on the next following business day. In addition, if: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10b5-1 Arrangement), and</w:t>
      </w:r>
    </w:p>
    <w:p>
      <w:pPr>
        <w:sectPr>
          <w:pgSz w:w="11900" w:h="16838" w:orient="portrait"/>
          <w:cols w:equalWidth="0" w:num="1">
            <w:col w:w="10620"/>
          </w:cols>
          <w:pgMar w:left="94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960" w:right="40" w:hanging="656"/>
        <w:spacing w:after="0" w:line="236" w:lineRule="auto"/>
        <w:tabs>
          <w:tab w:leader="none" w:pos="1950"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PSU, and (B) not to permit you to enter into a “same day sale” commitment with a broker-dealer pursuant to Section 7 of this Agreement (including but not limited to a commitment under a 10b5-1 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that includes the Vesting Date, or, if and only if permitted in a manner that complies with Treasury Regulations Section 1.409A-1(b)(4), no later than the date that is the 15th day of the third calendar month of the applicable year following the year in which the shares of Common Stock under such PSU are no longer subject to a “substantial risk of forfeiture” within the meaning of Treasury Regulations Section 1.409A-1(d).</w:t>
      </w:r>
    </w:p>
    <w:p>
      <w:pPr>
        <w:spacing w:after="0" w:line="83" w:lineRule="exact"/>
        <w:rPr>
          <w:rFonts w:ascii="Times New Roman" w:cs="Times New Roman" w:eastAsia="Times New Roman" w:hAnsi="Times New Roman"/>
          <w:sz w:val="18"/>
          <w:szCs w:val="18"/>
          <w:color w:val="auto"/>
        </w:rPr>
      </w:pPr>
    </w:p>
    <w:p>
      <w:pPr>
        <w:ind w:left="1140" w:hanging="457"/>
        <w:spacing w:after="0" w:line="250" w:lineRule="auto"/>
        <w:tabs>
          <w:tab w:leader="none" w:pos="1128"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Company reserves the right, in its sole discretion, to settle any vested PSUs on any earlier date than as specified above to the maximum extent permitted while not triggering the imposition of additional taxation on you in respect of the shares under Section 409A of the Code.</w:t>
      </w:r>
    </w:p>
    <w:p>
      <w:pPr>
        <w:spacing w:after="0" w:line="68" w:lineRule="exact"/>
        <w:rPr>
          <w:rFonts w:ascii="Times New Roman" w:cs="Times New Roman" w:eastAsia="Times New Roman" w:hAnsi="Times New Roman"/>
          <w:sz w:val="18"/>
          <w:szCs w:val="18"/>
          <w:color w:val="auto"/>
        </w:rPr>
      </w:pPr>
    </w:p>
    <w:p>
      <w:pPr>
        <w:ind w:firstLine="8"/>
        <w:spacing w:after="0" w:line="236" w:lineRule="auto"/>
        <w:tabs>
          <w:tab w:leader="none" w:pos="6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PSUs,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PSUs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PSUs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PSUs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140" w:hanging="326"/>
        <w:spacing w:after="0" w:line="258" w:lineRule="auto"/>
        <w:tabs>
          <w:tab w:leader="none" w:pos="81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PSUs shall, without further action of the Administrator, be adjusted to reflect such event; provided, however, that any fractional PSUs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63" w:lineRule="exact"/>
        <w:rPr>
          <w:rFonts w:ascii="Times New Roman" w:cs="Times New Roman" w:eastAsia="Times New Roman" w:hAnsi="Times New Roman"/>
          <w:sz w:val="17"/>
          <w:szCs w:val="17"/>
          <w:color w:val="auto"/>
        </w:rPr>
      </w:pPr>
    </w:p>
    <w:p>
      <w:pPr>
        <w:ind w:left="820" w:right="60" w:hanging="326"/>
        <w:spacing w:after="0" w:line="241" w:lineRule="auto"/>
        <w:tabs>
          <w:tab w:leader="none" w:pos="8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PSUs shall pertain to and apply to the securities to which a holder of the number of shares of Common Stock subject to the PSUs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Common Stock subject to the PSUs would have been entitled, in the same manner and to the same extent as the PSUs.</w:t>
      </w:r>
    </w:p>
    <w:p>
      <w:pPr>
        <w:spacing w:after="0" w:line="104" w:lineRule="exact"/>
        <w:rPr>
          <w:sz w:val="20"/>
          <w:szCs w:val="20"/>
          <w:color w:val="auto"/>
        </w:rPr>
      </w:pPr>
    </w:p>
    <w:p>
      <w:pPr>
        <w:ind w:firstLine="8"/>
        <w:spacing w:after="0" w:line="242" w:lineRule="auto"/>
        <w:tabs>
          <w:tab w:leader="none" w:pos="6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PSUs or any other adverse effect on your interests under the Plan.</w:t>
      </w:r>
    </w:p>
    <w:p>
      <w:pPr>
        <w:spacing w:after="0" w:line="76" w:lineRule="exact"/>
        <w:rPr>
          <w:rFonts w:ascii="Times New Roman" w:cs="Times New Roman" w:eastAsia="Times New Roman" w:hAnsi="Times New Roman"/>
          <w:sz w:val="18"/>
          <w:szCs w:val="18"/>
          <w:color w:val="auto"/>
        </w:rPr>
      </w:pPr>
    </w:p>
    <w:p>
      <w:pPr>
        <w:ind w:right="320" w:firstLine="8"/>
        <w:spacing w:after="0" w:line="250"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PSUs until such shares of Common Stock have been issued to you.</w:t>
      </w:r>
    </w:p>
    <w:p>
      <w:pPr>
        <w:spacing w:after="0" w:line="68" w:lineRule="exact"/>
        <w:rPr>
          <w:rFonts w:ascii="Times New Roman" w:cs="Times New Roman" w:eastAsia="Times New Roman" w:hAnsi="Times New Roman"/>
          <w:sz w:val="18"/>
          <w:szCs w:val="18"/>
          <w:color w:val="auto"/>
        </w:rPr>
      </w:pPr>
    </w:p>
    <w:p>
      <w:pPr>
        <w:ind w:right="160" w:firstLine="8"/>
        <w:spacing w:after="0" w:line="241" w:lineRule="auto"/>
        <w:tabs>
          <w:tab w:leader="none" w:pos="63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upon Breach of Non-solicitation or Confidentiality Covenants</w:t>
      </w:r>
      <w:r>
        <w:rPr>
          <w:rFonts w:ascii="Times New Roman" w:cs="Times New Roman" w:eastAsia="Times New Roman" w:hAnsi="Times New Roman"/>
          <w:sz w:val="18"/>
          <w:szCs w:val="18"/>
          <w:color w:val="auto"/>
        </w:rPr>
        <w:t>.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PSUs will be forfeited; and (ii) you shall, within ten (10) days of notice of the Administrator’s determination of such breach, repay all cash or shares of Common Stock paid in settlement of the PSUs within twelve (12) months preceding your termination from Service. The forfeiture and clawback rights in this Section are in addition to, and not in substitution of, any rights of repurchase or other recoupment rights the Company may have.</w:t>
      </w:r>
    </w:p>
    <w:p>
      <w:pPr>
        <w:spacing w:after="0" w:line="75" w:lineRule="exact"/>
        <w:rPr>
          <w:rFonts w:ascii="Times New Roman" w:cs="Times New Roman" w:eastAsia="Times New Roman" w:hAnsi="Times New Roman"/>
          <w:sz w:val="18"/>
          <w:szCs w:val="18"/>
          <w:color w:val="auto"/>
        </w:rPr>
      </w:pPr>
    </w:p>
    <w:p>
      <w:pPr>
        <w:ind w:right="280" w:firstLine="8"/>
        <w:spacing w:after="0" w:line="242"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PSUs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the Issuance of Shares</w:t>
      </w:r>
      <w:r>
        <w:rPr>
          <w:rFonts w:ascii="Times New Roman" w:cs="Times New Roman" w:eastAsia="Times New Roman" w:hAnsi="Times New Roman"/>
          <w:sz w:val="18"/>
          <w:szCs w:val="18"/>
          <w:color w:val="auto"/>
        </w:rPr>
        <w:t>. The issuance of shares of Common Stock upon settlement of the PSUs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PSUs shall relieve the Company of any liability in respect of the failure to issue such shares as to which such requisite authority shall not have been obtained. As a condition to the settlement of the PSUs,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77"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PSUs by electronic means or to request your consent to participate in the Plan or accept this award of PSUs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77" w:lineRule="exact"/>
        <w:rPr>
          <w:rFonts w:ascii="Times New Roman" w:cs="Times New Roman" w:eastAsia="Times New Roman" w:hAnsi="Times New Roman"/>
          <w:sz w:val="18"/>
          <w:szCs w:val="18"/>
          <w:color w:val="auto"/>
        </w:rPr>
      </w:pPr>
    </w:p>
    <w:p>
      <w:pPr>
        <w:jc w:val="both"/>
        <w:ind w:right="180" w:firstLine="8"/>
        <w:spacing w:after="0" w:line="250"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PSUs granted hereunder. Any oral or written agreements, representations, warranties, written inducements, or other communications made prior to the execution of this Agreement with respect to the PSUs granted hereunder shall be void and ineffective for all purposes.</w:t>
      </w:r>
    </w:p>
    <w:p>
      <w:pPr>
        <w:spacing w:after="0" w:line="68" w:lineRule="exact"/>
        <w:rPr>
          <w:rFonts w:ascii="Times New Roman" w:cs="Times New Roman" w:eastAsia="Times New Roman" w:hAnsi="Times New Roman"/>
          <w:sz w:val="18"/>
          <w:szCs w:val="18"/>
          <w:color w:val="auto"/>
        </w:rPr>
      </w:pPr>
    </w:p>
    <w:p>
      <w:pPr>
        <w:jc w:val="both"/>
        <w:ind w:right="220" w:firstLine="8"/>
        <w:spacing w:after="0" w:line="250"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PSUs as determined in the discretion of the Administrator, except as provided in the Plan or in a written document signed by each of the parties hereto.</w:t>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4" w:lineRule="exact"/>
        <w:rPr>
          <w:sz w:val="20"/>
          <w:szCs w:val="20"/>
          <w:color w:val="auto"/>
        </w:rPr>
      </w:pPr>
    </w:p>
    <w:p>
      <w:pPr>
        <w:ind w:right="20" w:firstLine="8"/>
        <w:spacing w:after="0" w:line="251" w:lineRule="auto"/>
        <w:tabs>
          <w:tab w:leader="none" w:pos="64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409A Savings Clause</w:t>
      </w:r>
      <w:r>
        <w:rPr>
          <w:rFonts w:ascii="Times New Roman" w:cs="Times New Roman" w:eastAsia="Times New Roman" w:hAnsi="Times New Roman"/>
          <w:sz w:val="17"/>
          <w:szCs w:val="17"/>
          <w:color w:val="auto"/>
        </w:rPr>
        <w:t>. This Agreement and the PSUs granted hereunder are intended to fit within the “short-term deferral” exemption from Section 409A of the Code as set forth in Treasury Regulation Section 1.409A-1(b)(4), or alternatively comply with the payment timing requirements of Section 409A of the Code, and any ambiguities herein shall be construed consistent with such intent. In administering this Agreement, the Company shall interpret this Agreement in a manner consistent with such exemption, to the maximum extent such exemption is available. Notwithstanding the foregoing, if it is determined that the PSUs fail to satisfy the requirements of the short-term deferral exemption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73" w:lineRule="exact"/>
        <w:rPr>
          <w:rFonts w:ascii="Times New Roman" w:cs="Times New Roman" w:eastAsia="Times New Roman" w:hAnsi="Times New Roman"/>
          <w:sz w:val="17"/>
          <w:szCs w:val="17"/>
          <w:color w:val="auto"/>
        </w:rPr>
      </w:pPr>
    </w:p>
    <w:p>
      <w:pPr>
        <w:ind w:right="40" w:firstLine="8"/>
        <w:spacing w:after="0" w:line="245"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PSUs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72" w:lineRule="exact"/>
        <w:rPr>
          <w:rFonts w:ascii="Times New Roman" w:cs="Times New Roman" w:eastAsia="Times New Roman" w:hAnsi="Times New Roman"/>
          <w:sz w:val="18"/>
          <w:szCs w:val="18"/>
          <w:color w:val="auto"/>
        </w:rPr>
      </w:pPr>
    </w:p>
    <w:p>
      <w:pPr>
        <w:ind w:right="340" w:firstLine="8"/>
        <w:spacing w:after="0" w:line="272" w:lineRule="auto"/>
        <w:tabs>
          <w:tab w:leader="none" w:pos="64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50" w:lineRule="exact"/>
        <w:rPr>
          <w:rFonts w:ascii="Times New Roman" w:cs="Times New Roman" w:eastAsia="Times New Roman" w:hAnsi="Times New Roman"/>
          <w:sz w:val="17"/>
          <w:szCs w:val="17"/>
          <w:color w:val="auto"/>
        </w:rPr>
      </w:pPr>
    </w:p>
    <w:p>
      <w:pPr>
        <w:ind w:right="220" w:firstLine="8"/>
        <w:spacing w:after="0" w:line="266"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PSUs.</w:t>
      </w:r>
    </w:p>
    <w:p>
      <w:pPr>
        <w:spacing w:after="0" w:line="40" w:lineRule="exact"/>
        <w:rPr>
          <w:rFonts w:ascii="Times New Roman" w:cs="Times New Roman" w:eastAsia="Times New Roman" w:hAnsi="Times New Roman"/>
          <w:sz w:val="18"/>
          <w:szCs w:val="18"/>
          <w:color w:val="auto"/>
        </w:rPr>
      </w:pPr>
    </w:p>
    <w:p>
      <w:pPr>
        <w:ind w:right="100" w:firstLine="8"/>
        <w:spacing w:after="0" w:line="245"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PSUs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72" w:lineRule="exact"/>
        <w:rPr>
          <w:rFonts w:ascii="Times New Roman" w:cs="Times New Roman" w:eastAsia="Times New Roman" w:hAnsi="Times New Roman"/>
          <w:sz w:val="18"/>
          <w:szCs w:val="18"/>
          <w:color w:val="auto"/>
        </w:rPr>
      </w:pPr>
    </w:p>
    <w:p>
      <w:pPr>
        <w:ind w:right="20" w:firstLine="8"/>
        <w:spacing w:after="0"/>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 Agreement.</w:t>
      </w:r>
    </w:p>
    <w:p>
      <w:pPr>
        <w:spacing w:after="0" w:line="103" w:lineRule="exact"/>
        <w:rPr>
          <w:rFonts w:ascii="Times New Roman" w:cs="Times New Roman" w:eastAsia="Times New Roman" w:hAnsi="Times New Roman"/>
          <w:sz w:val="18"/>
          <w:szCs w:val="18"/>
          <w:color w:val="auto"/>
        </w:rPr>
      </w:pPr>
    </w:p>
    <w:p>
      <w:pPr>
        <w:ind w:right="60" w:firstLine="8"/>
        <w:spacing w:after="0" w:line="245"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PSUs, and any reports of the Company provided generally to the Company’s stockholders; (ii) acknowledge that you may receive from the Company a paper copy of any documents delivered electronically at no cost to you by contacting the Company by telephone or in writing; (iii)</w:t>
      </w:r>
    </w:p>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69" w:lineRule="exact"/>
        <w:rPr>
          <w:sz w:val="20"/>
          <w:szCs w:val="20"/>
          <w:color w:val="auto"/>
        </w:rPr>
      </w:pPr>
    </w:p>
    <w:p>
      <w:pPr>
        <w:ind w:right="60" w:firstLine="8"/>
        <w:spacing w:after="0" w:line="236" w:lineRule="auto"/>
        <w:tabs>
          <w:tab w:leader="none" w:pos="6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performance-based restricted stock unit award is a one-time benefit which does not create any contractual or other right to receive future grants of performance-based restricted stock units, or compensation in lieu of performance-based restricted stock units, even if performance-based restricted stock units have been granted repeatedly in the past; (ii) all determinations with respect to any such future grants and the terms thereof will be at the sole discretion of the Compensation Committee; (iii) the value of the performance-based restricted stock units is an extraordinary item of compensation which is outside the scope of your employment contract, if any; (iv) the value of the performance-based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performance-based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performance-based restricted stock units; and (vii) no claim or entitlement to compensation or damages arises if the performance-based restricted stock units decrease or do not increase in value and you irrevocably release the Company from any such claim that does arise.</w:t>
      </w:r>
    </w:p>
    <w:p>
      <w:pPr>
        <w:spacing w:after="0" w:line="82" w:lineRule="exact"/>
        <w:rPr>
          <w:rFonts w:ascii="Times New Roman" w:cs="Times New Roman" w:eastAsia="Times New Roman" w:hAnsi="Times New Roman"/>
          <w:sz w:val="18"/>
          <w:szCs w:val="18"/>
          <w:color w:val="auto"/>
        </w:rPr>
      </w:pPr>
    </w:p>
    <w:p>
      <w:pPr>
        <w:ind w:firstLine="8"/>
        <w:spacing w:after="0" w:line="236" w:lineRule="auto"/>
        <w:tabs>
          <w:tab w:leader="none" w:pos="6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performance-based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performance-based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performance-based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performance-based restricted stock unit award.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{Glossary begins on next page}</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90" w:lineRule="exact"/>
        <w:rPr>
          <w:sz w:val="20"/>
          <w:szCs w:val="20"/>
          <w:color w:val="auto"/>
        </w:rPr>
      </w:pPr>
    </w:p>
    <w:p>
      <w:pPr>
        <w:ind w:right="20" w:firstLine="644"/>
        <w:spacing w:after="0" w:line="271" w:lineRule="auto"/>
        <w:tabs>
          <w:tab w:leader="none" w:pos="12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of Directors of Skyward Specialty Insurance Group, Inc. or such Compensation Committee or Compensation Committees appointed by the Board to administer the Plan.</w:t>
      </w:r>
    </w:p>
    <w:p>
      <w:pPr>
        <w:spacing w:after="0" w:line="4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66"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jc w:val="both"/>
        <w:ind w:right="80" w:firstLine="644"/>
        <w:spacing w:after="0" w:line="301" w:lineRule="auto"/>
        <w:tabs>
          <w:tab w:leader="none" w:pos="129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“Change in Control Qualifying Termination” </w:t>
      </w:r>
      <w:r>
        <w:rPr>
          <w:rFonts w:ascii="Times New Roman" w:cs="Times New Roman" w:eastAsia="Times New Roman" w:hAnsi="Times New Roman"/>
          <w:sz w:val="17"/>
          <w:szCs w:val="17"/>
          <w:color w:val="auto"/>
        </w:rPr>
        <w:t>shall mean a Qualifying Termination which occurs: (i) after the commencement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Potential Change in Control Period, and (ii) within the nine (9) month period immediately preceding the closing of such Change in Control.</w:t>
      </w:r>
    </w:p>
    <w:p>
      <w:pPr>
        <w:spacing w:after="0" w:line="22" w:lineRule="exact"/>
        <w:rPr>
          <w:rFonts w:ascii="Times New Roman" w:cs="Times New Roman" w:eastAsia="Times New Roman" w:hAnsi="Times New Roman"/>
          <w:sz w:val="17"/>
          <w:szCs w:val="17"/>
          <w:color w:val="auto"/>
        </w:rPr>
      </w:pPr>
    </w:p>
    <w:p>
      <w:pPr>
        <w:ind w:left="1300" w:hanging="656"/>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7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US$0.01 par value per share, of Skyward Specialty Insurance Group, Inc.</w:t>
      </w:r>
    </w:p>
    <w:p>
      <w:pPr>
        <w:spacing w:after="0" w:line="103" w:lineRule="exact"/>
        <w:rPr>
          <w:rFonts w:ascii="Times New Roman" w:cs="Times New Roman" w:eastAsia="Times New Roman" w:hAnsi="Times New Roman"/>
          <w:sz w:val="18"/>
          <w:szCs w:val="18"/>
          <w:color w:val="auto"/>
        </w:rPr>
      </w:pPr>
    </w:p>
    <w:p>
      <w:pPr>
        <w:ind w:right="60" w:firstLine="644"/>
        <w:spacing w:after="0" w:line="271" w:lineRule="auto"/>
        <w:tabs>
          <w:tab w:leader="none" w:pos="12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03" w:lineRule="exact"/>
        <w:rPr>
          <w:rFonts w:ascii="Times New Roman" w:cs="Times New Roman" w:eastAsia="Times New Roman" w:hAnsi="Times New Roman"/>
          <w:sz w:val="18"/>
          <w:szCs w:val="18"/>
          <w:color w:val="auto"/>
        </w:rPr>
      </w:pPr>
    </w:p>
    <w:p>
      <w:pPr>
        <w:ind w:right="40" w:firstLine="644"/>
        <w:spacing w:after="0" w:line="237" w:lineRule="auto"/>
        <w:tabs>
          <w:tab w:leader="none" w:pos="12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your written consent, (i) a material reduction in your base salary or annual cash incentive targets; (ii) any material breach of this Agreement by the Company; or (iii) any relocation of your principal place of employment of more than fifty (50) miles (unless you are currently working, or is provided the opportunity to work, remotely or otherwise not required to relocate your principal place of employment, in which case this subpart (iii)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PSUs made to you as set forth in the relevant Notice.</w:t>
      </w:r>
    </w:p>
    <w:p>
      <w:pPr>
        <w:spacing w:after="0" w:line="73"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PSUs made to you as set forth in the relevant Notice.</w:t>
      </w:r>
    </w:p>
    <w:p>
      <w:pPr>
        <w:spacing w:after="0" w:line="103"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xml:space="preserve">” means the separate periods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right="280" w:firstLine="644"/>
        <w:spacing w:after="0" w:line="271" w:lineRule="auto"/>
        <w:tabs>
          <w:tab w:leader="none" w:pos="129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 grant of PSUs made to you.</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Skyward Specialty Insurance Group, Inc. 2022 Long-Term Incentive Plan, as amended from time to time.</w:t>
      </w:r>
    </w:p>
    <w:p>
      <w:pPr>
        <w:spacing w:after="0" w:line="90" w:lineRule="exact"/>
        <w:rPr>
          <w:rFonts w:ascii="Times New Roman" w:cs="Times New Roman" w:eastAsia="Times New Roman" w:hAnsi="Times New Roman"/>
          <w:sz w:val="18"/>
          <w:szCs w:val="18"/>
          <w:color w:val="auto"/>
        </w:rPr>
      </w:pPr>
    </w:p>
    <w:p>
      <w:pPr>
        <w:ind w:right="200" w:firstLine="644"/>
        <w:spacing w:after="0" w:line="246" w:lineRule="auto"/>
        <w:tabs>
          <w:tab w:leader="none" w:pos="129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Change in Control Period” </w:t>
      </w:r>
      <w:r>
        <w:rPr>
          <w:rFonts w:ascii="Times New Roman" w:cs="Times New Roman" w:eastAsia="Times New Roman" w:hAnsi="Times New Roman"/>
          <w:sz w:val="18"/>
          <w:szCs w:val="18"/>
          <w:color w:val="auto"/>
        </w:rPr>
        <w:t>shall mean the period commencing on the date any of the following occur: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enters into an agreement or a letter of intent to enter into an agreement to take actions, the consummation of which would result in the occurrence of a Change in Control, or (ii) the Company or any person or entity publicly announces an intention to take or to consider taking actions which, if consummated, would constitute a Change in Control.</w:t>
      </w:r>
    </w:p>
    <w:p>
      <w:pPr>
        <w:spacing w:after="0" w:line="69" w:lineRule="exact"/>
        <w:rPr>
          <w:rFonts w:ascii="Times New Roman" w:cs="Times New Roman" w:eastAsia="Times New Roman" w:hAnsi="Times New Roman"/>
          <w:sz w:val="18"/>
          <w:szCs w:val="18"/>
          <w:color w:val="auto"/>
        </w:rPr>
      </w:pPr>
    </w:p>
    <w:p>
      <w:pPr>
        <w:ind w:right="60" w:firstLine="644"/>
        <w:spacing w:after="0" w:line="242" w:lineRule="auto"/>
        <w:tabs>
          <w:tab w:leader="none" w:pos="129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Retirement</w:t>
      </w:r>
      <w:r>
        <w:rPr>
          <w:rFonts w:ascii="Times New Roman" w:cs="Times New Roman" w:eastAsia="Times New Roman" w:hAnsi="Times New Roman"/>
          <w:sz w:val="18"/>
          <w:szCs w:val="18"/>
          <w:color w:val="auto"/>
        </w:rPr>
        <w:t>” means your “separation from service” as such term is defined under Section 409A of the Code and applicable regulations, where all the following requirements are met: (i) your termination occurs on a date that is at least one year following the beginning of the Performance Period, (ii) your termination is not a termination of Service for Cause, (iii) your 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w:t>
      </w:r>
    </w:p>
    <w:p>
      <w:pPr>
        <w:sectPr>
          <w:pgSz w:w="11900" w:h="16838" w:orient="portrait"/>
          <w:cols w:equalWidth="0" w:num="1">
            <w:col w:w="10580"/>
          </w:cols>
          <w:pgMar w:left="98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Company in succession planning and the transitioning of your responsibilities through your scheduled retirement date as determined and directed by the Company in its sole discretion; and (vii)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200" w:firstLine="644"/>
        <w:spacing w:after="0" w:line="239" w:lineRule="auto"/>
        <w:tabs>
          <w:tab w:leader="none" w:pos="129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“Qualifying Termination” </w:t>
      </w:r>
      <w:r>
        <w:rPr>
          <w:rFonts w:ascii="Times New Roman" w:cs="Times New Roman" w:eastAsia="Times New Roman" w:hAnsi="Times New Roman"/>
          <w:sz w:val="18"/>
          <w:szCs w:val="18"/>
          <w:color w:val="auto"/>
        </w:rPr>
        <w:t>means your termination without Cause or resignation for Good Reason which constitutes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440" w:firstLine="644"/>
        <w:spacing w:after="0" w:line="271" w:lineRule="auto"/>
        <w:tabs>
          <w:tab w:leader="none" w:pos="129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means the Company’s commitment to issue one share of Common Stock at a future date, subject to the terms of the Agreement and the Plan.</w:t>
      </w:r>
    </w:p>
    <w:p>
      <w:pPr>
        <w:spacing w:after="0" w:line="45" w:lineRule="exact"/>
        <w:rPr>
          <w:rFonts w:ascii="Times New Roman" w:cs="Times New Roman" w:eastAsia="Times New Roman" w:hAnsi="Times New Roman"/>
          <w:sz w:val="18"/>
          <w:szCs w:val="18"/>
          <w:color w:val="auto"/>
        </w:rPr>
      </w:pPr>
    </w:p>
    <w:p>
      <w:pPr>
        <w:ind w:right="40" w:firstLine="644"/>
        <w:spacing w:after="0" w:line="246" w:lineRule="auto"/>
        <w:tabs>
          <w:tab w:leader="none" w:pos="129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69" w:lineRule="exact"/>
        <w:rPr>
          <w:rFonts w:ascii="Times New Roman" w:cs="Times New Roman" w:eastAsia="Times New Roman" w:hAnsi="Times New Roman"/>
          <w:sz w:val="18"/>
          <w:szCs w:val="18"/>
          <w:color w:val="auto"/>
        </w:rPr>
      </w:pPr>
    </w:p>
    <w:p>
      <w:pPr>
        <w:ind w:right="220" w:firstLine="644"/>
        <w:spacing w:after="0" w:line="246" w:lineRule="auto"/>
        <w:tabs>
          <w:tab w:leader="none" w:pos="129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PSUs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PSUs may be transferred by will or by the laws of descent and distribution, the words “you” and “your” shall be deemed to include such person.</w:t>
      </w:r>
    </w:p>
    <w:p>
      <w:pPr>
        <w:sectPr>
          <w:pgSz w:w="11900" w:h="16838" w:orient="portrait"/>
          <w:cols w:equalWidth="0" w:num="1">
            <w:col w:w="10580"/>
          </w:cols>
          <w:pgMar w:left="980" w:top="1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Period is made up of three (3) consecutive measurement periods (each a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such Measurement Periods to be:</w:t>
      </w:r>
    </w:p>
    <w:p>
      <w:pPr>
        <w:spacing w:after="0" w:line="108"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1</w:t>
      </w:r>
      <w:r>
        <w:rPr>
          <w:sz w:val="20"/>
          <w:szCs w:val="20"/>
          <w:color w:val="auto"/>
        </w:rPr>
        <w:tab/>
      </w:r>
      <w:r>
        <w:rPr>
          <w:rFonts w:ascii="Times New Roman" w:cs="Times New Roman" w:eastAsia="Times New Roman" w:hAnsi="Times New Roman"/>
          <w:sz w:val="17"/>
          <w:szCs w:val="17"/>
          <w:color w:val="auto"/>
        </w:rPr>
        <w:t>January 1, 2024 to December 31, 2024</w:t>
      </w:r>
    </w:p>
    <w:p>
      <w:pPr>
        <w:spacing w:after="0" w:line="104"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2</w:t>
      </w:r>
      <w:r>
        <w:rPr>
          <w:sz w:val="20"/>
          <w:szCs w:val="20"/>
          <w:color w:val="auto"/>
        </w:rPr>
        <w:tab/>
      </w:r>
      <w:r>
        <w:rPr>
          <w:rFonts w:ascii="Times New Roman" w:cs="Times New Roman" w:eastAsia="Times New Roman" w:hAnsi="Times New Roman"/>
          <w:sz w:val="17"/>
          <w:szCs w:val="17"/>
          <w:color w:val="auto"/>
        </w:rPr>
        <w:t>January 1, 2025 to December 31, 2025</w:t>
      </w:r>
    </w:p>
    <w:p>
      <w:pPr>
        <w:spacing w:after="0" w:line="104"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3</w:t>
      </w:r>
      <w:r>
        <w:rPr>
          <w:sz w:val="20"/>
          <w:szCs w:val="20"/>
          <w:color w:val="auto"/>
        </w:rPr>
        <w:tab/>
      </w:r>
      <w:r>
        <w:rPr>
          <w:rFonts w:ascii="Times New Roman" w:cs="Times New Roman" w:eastAsia="Times New Roman" w:hAnsi="Times New Roman"/>
          <w:sz w:val="17"/>
          <w:szCs w:val="17"/>
          <w:color w:val="auto"/>
        </w:rPr>
        <w:t>January 1, 2026 to December 31, 2026</w:t>
      </w:r>
    </w:p>
    <w:p>
      <w:pPr>
        <w:spacing w:after="0" w:line="104" w:lineRule="exact"/>
        <w:rPr>
          <w:sz w:val="20"/>
          <w:szCs w:val="20"/>
          <w:color w:val="auto"/>
        </w:rPr>
      </w:pPr>
    </w:p>
    <w:p>
      <w:pPr>
        <w:jc w:val="both"/>
        <w:ind w:right="360"/>
        <w:spacing w:after="0" w:line="242" w:lineRule="auto"/>
        <w:rPr>
          <w:sz w:val="20"/>
          <w:szCs w:val="20"/>
          <w:color w:val="auto"/>
        </w:rPr>
      </w:pPr>
      <w:r>
        <w:rPr>
          <w:rFonts w:ascii="Times New Roman" w:cs="Times New Roman" w:eastAsia="Times New Roman" w:hAnsi="Times New Roman"/>
          <w:sz w:val="18"/>
          <w:szCs w:val="18"/>
          <w:color w:val="auto"/>
        </w:rPr>
        <w:t>The number of PSUs earned shall be determined by reference to the Company’s Combined Ratio, as defined and calculated in the Company’s year-end GAAP financial statements, as determined by the Compensation Committee. The Combined Ratio for the Performance Period shall be determined as a straight-line average of the Combined Ratios at year-end for each of the Measurement Periods.</w:t>
      </w:r>
    </w:p>
    <w:p>
      <w:pPr>
        <w:spacing w:after="0" w:line="7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Participant shall earn the percentage of the targeted number of PSUs (such percentage after Threshold level achievement to be interpolated) based on the average Combined Ratio for the Performance Period, as noted below. The maximum number of PSUs that may vest is capped at maximum of 150% of the Target Number of PSUs.</w:t>
      </w:r>
    </w:p>
    <w:p>
      <w:pPr>
        <w:spacing w:after="0" w:line="108" w:lineRule="exact"/>
        <w:rPr>
          <w:sz w:val="20"/>
          <w:szCs w:val="20"/>
          <w:color w:val="auto"/>
        </w:rPr>
      </w:pPr>
    </w:p>
    <w:tbl>
      <w:tblPr>
        <w:tblLayout w:type="fixed"/>
        <w:tblInd w:w="2250" w:type="dxa"/>
        <w:tblCellMar>
          <w:top w:w="0" w:type="dxa"/>
          <w:left w:w="0" w:type="dxa"/>
          <w:bottom w:w="0" w:type="dxa"/>
          <w:right w:w="0" w:type="dxa"/>
        </w:tblCellMar>
      </w:tblPr>
      <w:tr>
        <w:trPr>
          <w:trHeight w:val="248"/>
        </w:trPr>
        <w:tc>
          <w:tcPr>
            <w:tcW w:w="3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Calculated 3-year Average Combined Ratio</w:t>
            </w:r>
          </w:p>
        </w:tc>
        <w:tc>
          <w:tcPr>
            <w:tcW w:w="2920" w:type="dxa"/>
            <w:vAlign w:val="bottom"/>
            <w:tcBorders>
              <w:top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 of PSUs Earned</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87.5% or greater (Maximum)</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89.5%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92.5% (Target)</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34"/>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95.5% (Threshold)</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95.5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 in Control on Performance Period</w:t>
      </w:r>
    </w:p>
    <w:p>
      <w:pPr>
        <w:spacing w:after="0" w:line="94"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If a Change in Control occurs prior to the last date of the Performance Period, the Company reserves the right, in its sole discretion, to instead provide that the Performance Period shall consist of the period beginning on the first date of the Performance Period and ending on the closing date of the Change in Control for purposes of determining the applicable number of PSUs that are eligible to vest based on the average applicable level of performance attained for the completed and partial Measurement Periods through the date of the Change in Control, with the same weighting applied to the partial Measurement Period as any completed Measurement Period in such averaging calculation. Such measured number of PSUs will be eligible to vest subject to satisfaction of the Service Vesting Condition.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on: [ ___________]</w:t>
      </w:r>
    </w:p>
    <w:p>
      <w:pPr>
        <w:sectPr>
          <w:pgSz w:w="11900" w:h="16838" w:orient="portrait"/>
          <w:cols w:equalWidth="0" w:num="1">
            <w:col w:w="11240"/>
          </w:cols>
          <w:pgMar w:left="320" w:top="1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 UNIT AGREEMENT UNDER THE SKYWARD SPECIALTY INSURANCE GROUP, INC. 2022 LONG-TERM INCENTIVE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RATIO)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This Notice evidences the award of cash-settled performance stock units (each, a “</w:t>
      </w:r>
      <w:r>
        <w:rPr>
          <w:rFonts w:ascii="Times New Roman" w:cs="Times New Roman" w:eastAsia="Times New Roman" w:hAnsi="Times New Roman"/>
          <w:sz w:val="18"/>
          <w:szCs w:val="18"/>
          <w:b w:val="1"/>
          <w:bCs w:val="1"/>
          <w:i w:val="1"/>
          <w:iCs w:val="1"/>
          <w:color w:val="auto"/>
        </w:rPr>
        <w:t>PU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PUs</w:t>
      </w:r>
      <w:r>
        <w:rPr>
          <w:rFonts w:ascii="Times New Roman" w:cs="Times New Roman" w:eastAsia="Times New Roman" w:hAnsi="Times New Roman"/>
          <w:sz w:val="18"/>
          <w:szCs w:val="18"/>
          <w:color w:val="auto"/>
        </w:rPr>
        <w:t>”) of Skyward Specialty Insurance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Skyward Specialty Insurance Group, Inc. 2022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conditioned upon your agreement to the terms of the attached Performance Unit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PU is equivalent in value to the dollar value provided for in this Notice, subject to the terms of the Agreement and the Plan. The PUs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[February ___,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Dollar Value per PU:</w:t>
      </w:r>
      <w:r>
        <w:rPr>
          <w:rFonts w:ascii="Times New Roman" w:cs="Times New Roman" w:eastAsia="Times New Roman" w:hAnsi="Times New Roman"/>
          <w:sz w:val="18"/>
          <w:szCs w:val="18"/>
          <w:color w:val="auto"/>
        </w:rPr>
        <w:t xml:space="preserve"> $100 per PU</w:t>
      </w:r>
    </w:p>
    <w:p>
      <w:pPr>
        <w:spacing w:after="0" w:line="10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xml:space="preserve"> January 1, 2024 to December 31, 2026, with separate Measurement Periods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Notwithstanding the foregoing, upon the occurrence of a Change in Control, the Performance Period shall consist of the period beginning on January 1, 2024 and ending on the closing date of the Change in Control.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Target Number of PUs:</w:t>
      </w:r>
      <w:r>
        <w:rPr>
          <w:rFonts w:ascii="Times New Roman" w:cs="Times New Roman" w:eastAsia="Times New Roman" w:hAnsi="Times New Roman"/>
          <w:sz w:val="18"/>
          <w:szCs w:val="18"/>
          <w:color w:val="auto"/>
        </w:rPr>
        <w:t xml:space="preserve"> [ ] subject to adjustment as provided by the Agreement.</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number of Performance Units that the Participant actually earns for the Award Period, up to a maximum of 150% of the target, is subject to adjustment as provided by the Agreement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100% of the PUs become vested on December 31, 2026</w:t>
      </w:r>
    </w:p>
    <w:p>
      <w:pPr>
        <w:spacing w:after="0" w:line="104"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 xml:space="preserve">All of the PUs are nonvested and forfeitable as of the Grant Date. Subject to the terms of the Agreement, so long as your Service is continuous from the Grant Date through the applicable date upon which the Vesting Date is scheduled to occur, the number of PUs vested will be based on the Performance Goals as stated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the event your Service is terminated (A) due to death or Total and Permanent Disability, (B) due to Retirement, or (C) without Cause in connection with a Change in Control, you will become vested as set forth in Section 3 of the Agreement.</w:t>
      </w:r>
    </w:p>
    <w:p>
      <w:pPr>
        <w:spacing w:after="0" w:line="316"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Skyward Specialty Insurance Group, Inc.</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PUs or the Company.</w:t>
      </w:r>
    </w:p>
    <w:p>
      <w:pPr>
        <w:spacing w:after="0" w:line="108"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49465" cy="3517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149465" cy="3517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 UNIT AGREEMENT UNDER THE SKYWARD SPECIALTY INSURANCE GROUP, INC. 2022 LONG-TERM INCENTIVE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84"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115" w:lineRule="exact"/>
        <w:rPr>
          <w:rFonts w:ascii="Times New Roman" w:cs="Times New Roman" w:eastAsia="Times New Roman" w:hAnsi="Times New Roman"/>
          <w:sz w:val="17"/>
          <w:szCs w:val="17"/>
          <w:color w:val="auto"/>
        </w:rPr>
      </w:pPr>
    </w:p>
    <w:p>
      <w:pPr>
        <w:jc w:val="both"/>
        <w:ind w:right="120" w:firstLine="8"/>
        <w:spacing w:after="0"/>
        <w:tabs>
          <w:tab w:leader="none" w:pos="64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PUs are nonvested and forfeitable as of the Grant Date. So long as your Service is continuous from the Grant Date through the applicable date upon which vesting is scheduled to occur, the PUs will become vested and nonforfeitable in accordance with the vesting schedule set forth in the Notice. Except for the circumstances, if any, described in the Notice, none of the PUs will become vested and nonforfeitable after your Service ceases.</w:t>
      </w:r>
    </w:p>
    <w:p>
      <w:pPr>
        <w:spacing w:after="0" w:line="76" w:lineRule="exact"/>
        <w:rPr>
          <w:rFonts w:ascii="Times New Roman" w:cs="Times New Roman" w:eastAsia="Times New Roman" w:hAnsi="Times New Roman"/>
          <w:sz w:val="18"/>
          <w:szCs w:val="18"/>
          <w:color w:val="auto"/>
        </w:rPr>
      </w:pPr>
    </w:p>
    <w:p>
      <w:pPr>
        <w:ind w:right="40" w:firstLine="8"/>
        <w:spacing w:after="0" w:line="250" w:lineRule="auto"/>
        <w:tabs>
          <w:tab w:leader="none" w:pos="64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if your Service with the Company ceases for any reason, all PUs that are not then vested and nonforfeitable will be forfeited to the Company immediately and automatically upon such cessation without payment of any consideration therefor and you will have no further right, title or interest in or to such PUs or the underlying cash amount.</w:t>
      </w:r>
    </w:p>
    <w:p>
      <w:pPr>
        <w:spacing w:after="0" w:line="68" w:lineRule="exact"/>
        <w:rPr>
          <w:rFonts w:ascii="Times New Roman" w:cs="Times New Roman" w:eastAsia="Times New Roman" w:hAnsi="Times New Roman"/>
          <w:sz w:val="18"/>
          <w:szCs w:val="18"/>
          <w:color w:val="auto"/>
        </w:rPr>
      </w:pPr>
    </w:p>
    <w:p>
      <w:pPr>
        <w:ind w:left="820" w:hanging="326"/>
        <w:spacing w:after="0" w:line="241" w:lineRule="auto"/>
        <w:tabs>
          <w:tab w:leader="none" w:pos="81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 due to death or Total and Permanent Disability</w:t>
      </w:r>
      <w:r>
        <w:rPr>
          <w:rFonts w:ascii="Times New Roman" w:cs="Times New Roman" w:eastAsia="Times New Roman" w:hAnsi="Times New Roman"/>
          <w:sz w:val="18"/>
          <w:szCs w:val="18"/>
          <w:color w:val="auto"/>
        </w:rPr>
        <w:t>. In the event your Service is terminated due to your death or Total and Permanent Disability, the number of PUs that vest will be calculated by using the actual performance for any completed Measurement Periods as of the termination date and target performance achievement for any partial Measurement Periods outstanding as of the termination date. For the avoidance of doubt, any Measurement Periods that are scheduled to begin after the date in which the termination due to your death or Total and Permanent Disability occurs will not be included in the average calculation for purposes of determining level of performance achievement.</w:t>
      </w:r>
    </w:p>
    <w:p>
      <w:pPr>
        <w:spacing w:after="0" w:line="75" w:lineRule="exact"/>
        <w:rPr>
          <w:rFonts w:ascii="Times New Roman" w:cs="Times New Roman" w:eastAsia="Times New Roman" w:hAnsi="Times New Roman"/>
          <w:sz w:val="18"/>
          <w:szCs w:val="18"/>
          <w:color w:val="auto"/>
        </w:rPr>
      </w:pPr>
    </w:p>
    <w:p>
      <w:pPr>
        <w:ind w:left="820" w:right="20" w:hanging="326"/>
        <w:spacing w:after="0" w:line="236" w:lineRule="auto"/>
        <w:tabs>
          <w:tab w:leader="none" w:pos="8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Retirement.</w:t>
      </w:r>
      <w:r>
        <w:rPr>
          <w:rFonts w:ascii="Times New Roman" w:cs="Times New Roman" w:eastAsia="Times New Roman" w:hAnsi="Times New Roman"/>
          <w:sz w:val="18"/>
          <w:szCs w:val="18"/>
          <w:color w:val="auto"/>
        </w:rPr>
        <w:t xml:space="preserve"> In the event your Service is terminated due to a Qualifying Retirement, the number of PUs that are eligible to vest will be a pro-rata number based on the number of days you were in Service during the Performance Period and the actual average performance level achieved through the end of the Measurement Period in which the Qualifying Retirement occurs. Such pro-rata portion of the number of PUs which are eligible to vest will be determined by dividing (i) the number of days that have elapsed prior to the date of the Qualifying Retirement date since the start of the applicable Performance Period by (ii) the total number of days in such Performance Period. The pro-rata number of PUs which are eligible to vest based on the applicable performance level attained will be calculated by reference to the average of the actual performance for any completed Measurement Periods as of the termination date and actual performance achieved for the Measurement Period in which the Qualifying Retirement occurs, and such applicable pro-rata number of PUs shall vest contingent on the Release Effective Date. For the avoidance of doubt, any Measurement Periods that are scheduled to begin after the date in which the Qualifying Retirement occurs will not be included in the average calculation for purposes of determining level of performance achievement and number of pro-rata PUs which are eligible to vest.</w:t>
      </w:r>
    </w:p>
    <w:p>
      <w:pPr>
        <w:spacing w:after="0" w:line="83" w:lineRule="exact"/>
        <w:rPr>
          <w:rFonts w:ascii="Times New Roman" w:cs="Times New Roman" w:eastAsia="Times New Roman" w:hAnsi="Times New Roman"/>
          <w:sz w:val="18"/>
          <w:szCs w:val="18"/>
          <w:color w:val="auto"/>
        </w:rPr>
      </w:pPr>
    </w:p>
    <w:p>
      <w:pPr>
        <w:ind w:left="820" w:right="240" w:hanging="326"/>
        <w:spacing w:after="0" w:line="245" w:lineRule="auto"/>
        <w:tabs>
          <w:tab w:leader="none" w:pos="81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 in connection with a Change in Control.</w:t>
      </w:r>
      <w:r>
        <w:rPr>
          <w:rFonts w:ascii="Times New Roman" w:cs="Times New Roman" w:eastAsia="Times New Roman" w:hAnsi="Times New Roman"/>
          <w:sz w:val="18"/>
          <w:szCs w:val="18"/>
          <w:color w:val="auto"/>
        </w:rPr>
        <w:t xml:space="preserve"> In the event your Service is terminated without Cause immediately before and contingent upon a Change in Control, the number of PUs that vest will be calculated by using the actual performance for any completed Measurement Periods as of the termination date and full target performance achievement for the Measurement Period in which the Change in Control occurs.</w:t>
      </w:r>
    </w:p>
    <w:p>
      <w:pPr>
        <w:spacing w:after="0" w:line="72" w:lineRule="exact"/>
        <w:rPr>
          <w:rFonts w:ascii="Times New Roman" w:cs="Times New Roman" w:eastAsia="Times New Roman" w:hAnsi="Times New Roman"/>
          <w:sz w:val="18"/>
          <w:szCs w:val="18"/>
          <w:color w:val="auto"/>
        </w:rPr>
      </w:pPr>
    </w:p>
    <w:p>
      <w:pPr>
        <w:ind w:right="160" w:firstLine="8"/>
        <w:spacing w:after="0"/>
        <w:tabs>
          <w:tab w:leader="none" w:pos="64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PUs may be assigned, transferred, pledged, hypothecated or disposed of in any way, whether by operation of law or otherwise, and the PUs shall not be subject to execution, attachment or similar process. All rights with respect to this Agreement and the PUs shall be exercisable during your lifetime only by you or your guardian or legal representative. Notwithstanding the foregoing, the PUs may be transferred upon your death by last will and testament or under the laws of descent and distribution.</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PUs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20" w:hanging="326"/>
        <w:spacing w:after="0" w:line="242" w:lineRule="auto"/>
        <w:tabs>
          <w:tab w:leader="none" w:pos="81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PUs. Unless otherwise provided by the Administrator in accordance with the Plan, the Company will issue to you, in settlement of your PUs and subject to the provisions of Section 6 below, a lump sum cash amount equal to (A) the dollar value of one PU as set forth in the Notice on the date of settlement, multiplied by (B) the number of whole PUs that become vested, and such vested PUs will terminate and cease to be outstanding upon cash settlement.</w:t>
      </w:r>
    </w:p>
    <w:p>
      <w:pPr>
        <w:spacing w:after="0" w:line="76" w:lineRule="exact"/>
        <w:rPr>
          <w:rFonts w:ascii="Times New Roman" w:cs="Times New Roman" w:eastAsia="Times New Roman" w:hAnsi="Times New Roman"/>
          <w:sz w:val="18"/>
          <w:szCs w:val="18"/>
          <w:color w:val="auto"/>
        </w:rPr>
      </w:pPr>
    </w:p>
    <w:p>
      <w:pPr>
        <w:ind w:left="820" w:right="540" w:hanging="326"/>
        <w:spacing w:after="0" w:line="266" w:lineRule="auto"/>
        <w:tabs>
          <w:tab w:leader="none" w:pos="8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Your PUs will be settled by the Company, in cash, as described herein, on the date that the PUs become vested and nonforfeitable. However, if a scheduled issuance date falls on a</w:t>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394" w:lineRule="exact"/>
        <w:rPr>
          <w:sz w:val="20"/>
          <w:szCs w:val="20"/>
          <w:color w:val="auto"/>
        </w:rPr>
      </w:pPr>
    </w:p>
    <w:p>
      <w:pPr>
        <w:ind w:left="820" w:right="320"/>
        <w:spacing w:after="0" w:line="266" w:lineRule="auto"/>
        <w:rPr>
          <w:sz w:val="20"/>
          <w:szCs w:val="20"/>
          <w:color w:val="auto"/>
        </w:rPr>
      </w:pPr>
      <w:r>
        <w:rPr>
          <w:rFonts w:ascii="Times New Roman" w:cs="Times New Roman" w:eastAsia="Times New Roman" w:hAnsi="Times New Roman"/>
          <w:sz w:val="18"/>
          <w:szCs w:val="18"/>
          <w:color w:val="auto"/>
        </w:rPr>
        <w:t>Saturday, Sunday or federal holiday, such issuance date shall instead fall on the next following day that the principal executive offices of the Company are open for business.</w:t>
      </w:r>
    </w:p>
    <w:p>
      <w:pPr>
        <w:spacing w:after="0" w:line="54" w:lineRule="exact"/>
        <w:rPr>
          <w:sz w:val="20"/>
          <w:szCs w:val="20"/>
          <w:color w:val="auto"/>
        </w:rPr>
      </w:pPr>
    </w:p>
    <w:p>
      <w:pPr>
        <w:ind w:right="20" w:firstLine="8"/>
        <w:spacing w:after="0" w:line="245" w:lineRule="auto"/>
        <w:tabs>
          <w:tab w:leader="none" w:pos="64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cash distribution subject to your PUs, or at any time thereafter as requested by the Company, you hereby authorize any required withholding from the cash payment issuable to you and/or otherwise agree to make adequate provision in cash for any sums required to satisfy the federal, state, local and foreign tax withholding obligations of the Company or any Affiliate which arise in connection with your PUs.</w:t>
      </w:r>
    </w:p>
    <w:p>
      <w:pPr>
        <w:spacing w:after="0" w:line="72" w:lineRule="exact"/>
        <w:rPr>
          <w:rFonts w:ascii="Times New Roman" w:cs="Times New Roman" w:eastAsia="Times New Roman" w:hAnsi="Times New Roman"/>
          <w:sz w:val="18"/>
          <w:szCs w:val="18"/>
          <w:color w:val="auto"/>
        </w:rPr>
      </w:pPr>
    </w:p>
    <w:p>
      <w:pPr>
        <w:ind w:firstLine="8"/>
        <w:spacing w:after="0" w:line="239" w:lineRule="auto"/>
        <w:tabs>
          <w:tab w:leader="none" w:pos="64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PUs or any other adverse effect on your interests under the Plan.</w:t>
      </w:r>
    </w:p>
    <w:p>
      <w:pPr>
        <w:spacing w:after="0" w:line="76" w:lineRule="exact"/>
        <w:rPr>
          <w:rFonts w:ascii="Times New Roman" w:cs="Times New Roman" w:eastAsia="Times New Roman" w:hAnsi="Times New Roman"/>
          <w:sz w:val="18"/>
          <w:szCs w:val="18"/>
          <w:color w:val="auto"/>
        </w:rPr>
      </w:pPr>
    </w:p>
    <w:p>
      <w:pPr>
        <w:ind w:firstLine="8"/>
        <w:spacing w:after="0" w:line="241" w:lineRule="auto"/>
        <w:tabs>
          <w:tab w:leader="none" w:pos="64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upon Breach of Non-solicitation or Confidentiality Covenants.</w:t>
      </w:r>
      <w:r>
        <w:rPr>
          <w:rFonts w:ascii="Times New Roman" w:cs="Times New Roman" w:eastAsia="Times New Roman" w:hAnsi="Times New Roman"/>
          <w:sz w:val="18"/>
          <w:szCs w:val="18"/>
          <w:color w:val="auto"/>
        </w:rPr>
        <w:t xml:space="preserve">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PUs will be forfeited; and (ii) you shall, within ten (10) days of notice of the Administrator’s determination of such breach, repay all cash paid in settlement of the PUs within twelve (12) months preceding your termination from Service. The forfeiture and clawback rights in this Section are in addition to, and not in substitution of, any rights of repurchase or other recoupment rights the Company may have.</w:t>
      </w:r>
    </w:p>
    <w:p>
      <w:pPr>
        <w:spacing w:after="0" w:line="75" w:lineRule="exact"/>
        <w:rPr>
          <w:rFonts w:ascii="Times New Roman" w:cs="Times New Roman" w:eastAsia="Times New Roman" w:hAnsi="Times New Roman"/>
          <w:sz w:val="18"/>
          <w:szCs w:val="18"/>
          <w:color w:val="auto"/>
        </w:rPr>
      </w:pPr>
    </w:p>
    <w:p>
      <w:pPr>
        <w:ind w:right="80" w:firstLine="8"/>
        <w:spacing w:after="0" w:line="239" w:lineRule="auto"/>
        <w:tabs>
          <w:tab w:leader="none" w:pos="64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PUs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PUs or the rights thereof, or the dissolution or liquidation of the Company, or any sale or transfer of all or any part of the Company’s assets or business, or any other corporate act or proceeding, whether of a similar character or otherwise.</w:t>
      </w:r>
    </w:p>
    <w:p>
      <w:pPr>
        <w:spacing w:after="0" w:line="76" w:lineRule="exact"/>
        <w:rPr>
          <w:rFonts w:ascii="Times New Roman" w:cs="Times New Roman" w:eastAsia="Times New Roman" w:hAnsi="Times New Roman"/>
          <w:sz w:val="18"/>
          <w:szCs w:val="18"/>
          <w:color w:val="auto"/>
        </w:rPr>
      </w:pPr>
    </w:p>
    <w:p>
      <w:pPr>
        <w:ind w:right="180" w:firstLine="8"/>
        <w:spacing w:after="0" w:line="245" w:lineRule="auto"/>
        <w:tabs>
          <w:tab w:leader="none" w:pos="6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Settlement</w:t>
      </w:r>
      <w:r>
        <w:rPr>
          <w:rFonts w:ascii="Times New Roman" w:cs="Times New Roman" w:eastAsia="Times New Roman" w:hAnsi="Times New Roman"/>
          <w:sz w:val="18"/>
          <w:szCs w:val="18"/>
          <w:color w:val="auto"/>
        </w:rPr>
        <w:t>. Only to the extent applicable, the settlement of the PUs shall be subject to and in compliance with all applicable requirements of federal, state, or foreign law with respect to such securities. As a condition to the settlement of the PUs,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72" w:lineRule="exact"/>
        <w:rPr>
          <w:rFonts w:ascii="Times New Roman" w:cs="Times New Roman" w:eastAsia="Times New Roman" w:hAnsi="Times New Roman"/>
          <w:sz w:val="18"/>
          <w:szCs w:val="18"/>
          <w:color w:val="auto"/>
        </w:rPr>
      </w:pPr>
    </w:p>
    <w:p>
      <w:pPr>
        <w:ind w:right="40" w:firstLine="8"/>
        <w:spacing w:after="0" w:line="237" w:lineRule="auto"/>
        <w:tabs>
          <w:tab w:leader="none" w:pos="63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PUs by electronic means or to request your consent to participate in the Plan or accept this award of PUs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77" w:lineRule="exact"/>
        <w:rPr>
          <w:rFonts w:ascii="Times New Roman" w:cs="Times New Roman" w:eastAsia="Times New Roman" w:hAnsi="Times New Roman"/>
          <w:sz w:val="18"/>
          <w:szCs w:val="18"/>
          <w:color w:val="auto"/>
        </w:rPr>
      </w:pPr>
    </w:p>
    <w:p>
      <w:pPr>
        <w:ind w:right="60" w:firstLine="8"/>
        <w:spacing w:after="0" w:line="250" w:lineRule="auto"/>
        <w:tabs>
          <w:tab w:leader="none" w:pos="6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PUs granted hereunder. Any oral or written agreements, representations, warranties, written inducements, or other communications made prior to the execution of this Agreement with respect to the PUs granted hereunder shall be void and ineffective for all purposes.</w:t>
      </w:r>
    </w:p>
    <w:p>
      <w:pPr>
        <w:spacing w:after="0" w:line="68" w:lineRule="exact"/>
        <w:rPr>
          <w:rFonts w:ascii="Times New Roman" w:cs="Times New Roman" w:eastAsia="Times New Roman" w:hAnsi="Times New Roman"/>
          <w:sz w:val="18"/>
          <w:szCs w:val="18"/>
          <w:color w:val="auto"/>
        </w:rPr>
      </w:pPr>
    </w:p>
    <w:p>
      <w:pPr>
        <w:ind w:right="220" w:firstLine="8"/>
        <w:spacing w:after="0" w:line="250" w:lineRule="auto"/>
        <w:tabs>
          <w:tab w:leader="none" w:pos="6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PUs as determined in the discretion of the Administrator, except as provided in the Plan or in a written document signed by each of the parties hereto.</w:t>
      </w:r>
    </w:p>
    <w:p>
      <w:pPr>
        <w:spacing w:after="0" w:line="68" w:lineRule="exact"/>
        <w:rPr>
          <w:rFonts w:ascii="Times New Roman" w:cs="Times New Roman" w:eastAsia="Times New Roman" w:hAnsi="Times New Roman"/>
          <w:sz w:val="18"/>
          <w:szCs w:val="18"/>
          <w:color w:val="auto"/>
        </w:rPr>
      </w:pPr>
    </w:p>
    <w:p>
      <w:pPr>
        <w:ind w:right="100" w:firstLine="8"/>
        <w:spacing w:after="0" w:line="245" w:lineRule="auto"/>
        <w:tabs>
          <w:tab w:leader="none" w:pos="6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Savings Clause</w:t>
      </w:r>
      <w:r>
        <w:rPr>
          <w:rFonts w:ascii="Times New Roman" w:cs="Times New Roman" w:eastAsia="Times New Roman" w:hAnsi="Times New Roman"/>
          <w:sz w:val="18"/>
          <w:szCs w:val="18"/>
          <w:color w:val="auto"/>
        </w:rPr>
        <w:t>. This Agreement and the PUs granted hereunder are intended to fit within the “short-term deferral” exemption from Section 409A of the Code as set forth in Treasury Regulation Section 1.409A-1(b) (4). In administering this Agreement, the Company shall interpret this Agreement in a manner consistent with such exemption. Notwithstanding the foregoing, if it is determined that the PUs fail to satisfy the requirements of the</w:t>
      </w:r>
    </w:p>
    <w:p>
      <w:pPr>
        <w:sectPr>
          <w:pgSz w:w="11900" w:h="16838" w:orient="portrait"/>
          <w:cols w:equalWidth="0" w:num="1">
            <w:col w:w="11240"/>
          </w:cols>
          <w:pgMar w:left="320" w:top="1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39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65" w:lineRule="exact"/>
        <w:rPr>
          <w:sz w:val="20"/>
          <w:szCs w:val="20"/>
          <w:color w:val="auto"/>
        </w:rPr>
      </w:pPr>
    </w:p>
    <w:p>
      <w:pPr>
        <w:ind w:right="20" w:firstLine="8"/>
        <w:spacing w:after="0" w:line="245" w:lineRule="auto"/>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PUs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72" w:lineRule="exact"/>
        <w:rPr>
          <w:rFonts w:ascii="Times New Roman" w:cs="Times New Roman" w:eastAsia="Times New Roman" w:hAnsi="Times New Roman"/>
          <w:sz w:val="18"/>
          <w:szCs w:val="18"/>
          <w:color w:val="auto"/>
        </w:rPr>
      </w:pPr>
    </w:p>
    <w:p>
      <w:pPr>
        <w:ind w:right="340" w:firstLine="8"/>
        <w:spacing w:after="0" w:line="272" w:lineRule="auto"/>
        <w:tabs>
          <w:tab w:leader="none" w:pos="64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50" w:lineRule="exact"/>
        <w:rPr>
          <w:rFonts w:ascii="Times New Roman" w:cs="Times New Roman" w:eastAsia="Times New Roman" w:hAnsi="Times New Roman"/>
          <w:sz w:val="17"/>
          <w:szCs w:val="17"/>
          <w:color w:val="auto"/>
        </w:rPr>
      </w:pPr>
    </w:p>
    <w:p>
      <w:pPr>
        <w:ind w:right="80" w:firstLine="8"/>
        <w:spacing w:after="0" w:line="266" w:lineRule="auto"/>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a cash payment in the future in accordance with its terms. You have the status of a general unsecured creditor of the Company as a result of receiving the grant of PUs.</w:t>
      </w:r>
    </w:p>
    <w:p>
      <w:pPr>
        <w:spacing w:after="0" w:line="54" w:lineRule="exact"/>
        <w:rPr>
          <w:rFonts w:ascii="Times New Roman" w:cs="Times New Roman" w:eastAsia="Times New Roman" w:hAnsi="Times New Roman"/>
          <w:sz w:val="18"/>
          <w:szCs w:val="18"/>
          <w:color w:val="auto"/>
        </w:rPr>
      </w:pPr>
    </w:p>
    <w:p>
      <w:pPr>
        <w:ind w:right="40" w:firstLine="8"/>
        <w:spacing w:after="0" w:line="245" w:lineRule="auto"/>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PUs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59" w:lineRule="exact"/>
        <w:rPr>
          <w:rFonts w:ascii="Times New Roman" w:cs="Times New Roman" w:eastAsia="Times New Roman" w:hAnsi="Times New Roman"/>
          <w:sz w:val="18"/>
          <w:szCs w:val="18"/>
          <w:color w:val="auto"/>
        </w:rPr>
      </w:pPr>
    </w:p>
    <w:p>
      <w:pPr>
        <w:ind w:right="20" w:firstLine="8"/>
        <w:spacing w:after="0"/>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 Agreement.</w:t>
      </w:r>
    </w:p>
    <w:p>
      <w:pPr>
        <w:spacing w:after="0" w:line="103" w:lineRule="exact"/>
        <w:rPr>
          <w:rFonts w:ascii="Times New Roman" w:cs="Times New Roman" w:eastAsia="Times New Roman" w:hAnsi="Times New Roman"/>
          <w:sz w:val="18"/>
          <w:szCs w:val="18"/>
          <w:color w:val="auto"/>
        </w:rPr>
      </w:pPr>
    </w:p>
    <w:p>
      <w:pPr>
        <w:ind w:right="60" w:firstLine="8"/>
        <w:spacing w:after="0" w:line="241" w:lineRule="auto"/>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PUs,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75" w:lineRule="exact"/>
        <w:rPr>
          <w:rFonts w:ascii="Times New Roman" w:cs="Times New Roman" w:eastAsia="Times New Roman" w:hAnsi="Times New Roman"/>
          <w:sz w:val="18"/>
          <w:szCs w:val="18"/>
          <w:color w:val="auto"/>
        </w:rPr>
      </w:pPr>
    </w:p>
    <w:p>
      <w:pPr>
        <w:ind w:right="20" w:firstLine="8"/>
        <w:spacing w:after="0" w:line="250" w:lineRule="auto"/>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cash settled performance stock unit award is a one-time benefit which does not create any contractual or other right to receive future grants of cash settled performance stock units, or compensation in lieu of cash settled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-869950</wp:posOffset>
            </wp:positionV>
            <wp:extent cx="285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39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stock units, even if cash settled performance stock units have been granted repeatedly in the past; (ii) all determinations with respect to any such future grants and the terms thereof will be at the sole discretion of the Compensation Committee; (iii) the value of the cash settled performance stock units is an extraordinary item of compensation which is outside the scope of your employment contract, if any; (iv) the value of the cash settled performance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cash settled performance units ceases upon termination of Service with the Company or transfer of employment from the Company, or other cessation of eligibility for any reason, except as may otherwise be explicitly provided in this Agreement; (vi) the Company does not guarantee any future value of the cash settled performance units; and (vii) no claim or entitlement to compensation or damages arises if the cash settled performance units decrease or do not increase in value and you irrevocably release the Company from any such claim that does arise.</w:t>
      </w:r>
    </w:p>
    <w:p>
      <w:pPr>
        <w:spacing w:after="0" w:line="77" w:lineRule="exact"/>
        <w:rPr>
          <w:sz w:val="20"/>
          <w:szCs w:val="20"/>
          <w:color w:val="auto"/>
        </w:rPr>
      </w:pPr>
    </w:p>
    <w:p>
      <w:pPr>
        <w:ind w:firstLine="8"/>
        <w:spacing w:after="0" w:line="236" w:lineRule="auto"/>
        <w:tabs>
          <w:tab w:leader="none" w:pos="6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cash settled performance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cash settled performance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cash settled performance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cash settled performance unit award.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90" w:lineRule="exact"/>
        <w:rPr>
          <w:sz w:val="20"/>
          <w:szCs w:val="20"/>
          <w:color w:val="auto"/>
        </w:rPr>
      </w:pPr>
    </w:p>
    <w:p>
      <w:pPr>
        <w:ind w:left="180" w:right="20" w:firstLine="4"/>
        <w:spacing w:after="0" w:line="271" w:lineRule="auto"/>
        <w:tabs>
          <w:tab w:leader="none" w:pos="8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of Directors of Skyward Specialty Insurance Group, Inc. or such Compensation Committee or Compensation Committees appointed by the Board to administer the Plan.</w:t>
      </w:r>
    </w:p>
    <w:p>
      <w:pPr>
        <w:spacing w:after="0" w:line="4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80" w:right="520" w:firstLine="4"/>
        <w:spacing w:after="0" w:line="271" w:lineRule="auto"/>
        <w:tabs>
          <w:tab w:leader="none" w:pos="8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 reference.</w:t>
      </w:r>
    </w:p>
    <w:p>
      <w:pPr>
        <w:spacing w:after="0" w:line="4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set forth in the Plan.</w:t>
      </w:r>
    </w:p>
    <w:p>
      <w:pPr>
        <w:spacing w:after="0" w:line="103" w:lineRule="exact"/>
        <w:rPr>
          <w:rFonts w:ascii="Times New Roman" w:cs="Times New Roman" w:eastAsia="Times New Roman" w:hAnsi="Times New Roman"/>
          <w:sz w:val="18"/>
          <w:szCs w:val="18"/>
          <w:color w:val="auto"/>
        </w:rPr>
      </w:pPr>
    </w:p>
    <w:p>
      <w:pPr>
        <w:ind w:left="180" w:right="60" w:firstLine="4"/>
        <w:spacing w:after="0" w:line="252" w:lineRule="auto"/>
        <w:tabs>
          <w:tab w:leader="none" w:pos="8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 in Control Qualifying Termination” </w:t>
      </w:r>
      <w:r>
        <w:rPr>
          <w:rFonts w:ascii="Times New Roman" w:cs="Times New Roman" w:eastAsia="Times New Roman" w:hAnsi="Times New Roman"/>
          <w:sz w:val="18"/>
          <w:szCs w:val="18"/>
          <w:color w:val="auto"/>
        </w:rPr>
        <w:t>shall mean a Qualifying Termination which occurs: (i) after the commencement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Potential Change in Control Period, and (ii) within the nine (9) month period immediately preceding the closing of such Change in Control.</w:t>
      </w:r>
    </w:p>
    <w:p>
      <w:pPr>
        <w:spacing w:after="0" w:line="50" w:lineRule="exact"/>
        <w:rPr>
          <w:rFonts w:ascii="Times New Roman" w:cs="Times New Roman" w:eastAsia="Times New Roman" w:hAnsi="Times New Roman"/>
          <w:sz w:val="18"/>
          <w:szCs w:val="18"/>
          <w:color w:val="auto"/>
        </w:rPr>
      </w:pPr>
    </w:p>
    <w:p>
      <w:pPr>
        <w:ind w:left="180" w:right="240" w:firstLine="4"/>
        <w:spacing w:after="0" w:line="271" w:lineRule="auto"/>
        <w:tabs>
          <w:tab w:leader="none" w:pos="8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 thereunder.</w:t>
      </w:r>
    </w:p>
    <w:p>
      <w:pPr>
        <w:spacing w:after="0" w:line="45" w:lineRule="exact"/>
        <w:rPr>
          <w:rFonts w:ascii="Times New Roman" w:cs="Times New Roman" w:eastAsia="Times New Roman" w:hAnsi="Times New Roman"/>
          <w:sz w:val="18"/>
          <w:szCs w:val="18"/>
          <w:color w:val="auto"/>
        </w:rPr>
      </w:pPr>
    </w:p>
    <w:p>
      <w:pPr>
        <w:jc w:val="both"/>
        <w:ind w:left="180" w:right="60" w:firstLine="4"/>
        <w:spacing w:after="0" w:line="271" w:lineRule="auto"/>
        <w:tabs>
          <w:tab w:leader="none" w:pos="8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4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03" w:lineRule="exact"/>
        <w:rPr>
          <w:rFonts w:ascii="Times New Roman" w:cs="Times New Roman" w:eastAsia="Times New Roman" w:hAnsi="Times New Roman"/>
          <w:sz w:val="18"/>
          <w:szCs w:val="18"/>
          <w:color w:val="auto"/>
        </w:rPr>
      </w:pPr>
    </w:p>
    <w:p>
      <w:pPr>
        <w:ind w:left="180" w:right="40" w:firstLine="4"/>
        <w:spacing w:after="0" w:line="237" w:lineRule="auto"/>
        <w:tabs>
          <w:tab w:leader="none" w:pos="82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your written consent, (i) a material reduction in your base salary or annual cash incentive targets; (ii) any material breach of this Agreement by the Company; or (iii) any relocation of your principal place of employment of more than fifty (50) miles (unless you are currently working, or is provided the opportunity to work, remotely or otherwise not required to relocate your principal place of employment, in which case this subpart (iii)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PUs made to you as set forth in the relevant Notice.</w:t>
      </w:r>
    </w:p>
    <w:p>
      <w:pPr>
        <w:spacing w:after="0" w:line="73"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PUs made to you as set forth in the relevant Notice.</w:t>
      </w:r>
    </w:p>
    <w:p>
      <w:pPr>
        <w:spacing w:after="0" w:line="103" w:lineRule="exact"/>
        <w:rPr>
          <w:rFonts w:ascii="Times New Roman" w:cs="Times New Roman" w:eastAsia="Times New Roman" w:hAnsi="Times New Roman"/>
          <w:sz w:val="18"/>
          <w:szCs w:val="18"/>
          <w:color w:val="auto"/>
        </w:rPr>
      </w:pPr>
    </w:p>
    <w:p>
      <w:pPr>
        <w:ind w:left="180" w:right="280" w:firstLine="4"/>
        <w:spacing w:after="0" w:line="271" w:lineRule="auto"/>
        <w:tabs>
          <w:tab w:leader="none" w:pos="82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 grant of PUs made to you.</w:t>
      </w:r>
    </w:p>
    <w:p>
      <w:pPr>
        <w:spacing w:after="0" w:line="45"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xml:space="preserve">” means the separate periods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Skyward Specialty Insurance Group, Inc. 2022 Long-Term Incentive Plan, as amended from time to time.</w:t>
      </w:r>
    </w:p>
    <w:p>
      <w:pPr>
        <w:spacing w:after="0" w:line="103" w:lineRule="exact"/>
        <w:rPr>
          <w:rFonts w:ascii="Times New Roman" w:cs="Times New Roman" w:eastAsia="Times New Roman" w:hAnsi="Times New Roman"/>
          <w:sz w:val="18"/>
          <w:szCs w:val="18"/>
          <w:color w:val="auto"/>
        </w:rPr>
      </w:pPr>
    </w:p>
    <w:p>
      <w:pPr>
        <w:ind w:left="180" w:right="100" w:firstLine="4"/>
        <w:spacing w:after="0" w:line="271" w:lineRule="auto"/>
        <w:tabs>
          <w:tab w:leader="none" w:pos="82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w:t>
      </w:r>
      <w:r>
        <w:rPr>
          <w:rFonts w:ascii="Times New Roman" w:cs="Times New Roman" w:eastAsia="Times New Roman" w:hAnsi="Times New Roman"/>
          <w:sz w:val="18"/>
          <w:szCs w:val="18"/>
          <w:color w:val="auto"/>
        </w:rPr>
        <w:t>” means the Company’s commitment to pay a cash mount equal to the dollar value of for each performance unit as set forth in the Notice at a future date, subject to the terms of the Agreement and the Plan</w:t>
      </w:r>
    </w:p>
    <w:p>
      <w:pPr>
        <w:spacing w:after="0" w:line="45" w:lineRule="exact"/>
        <w:rPr>
          <w:rFonts w:ascii="Times New Roman" w:cs="Times New Roman" w:eastAsia="Times New Roman" w:hAnsi="Times New Roman"/>
          <w:sz w:val="18"/>
          <w:szCs w:val="18"/>
          <w:color w:val="auto"/>
        </w:rPr>
      </w:pPr>
    </w:p>
    <w:p>
      <w:pPr>
        <w:ind w:left="180" w:firstLine="4"/>
        <w:spacing w:after="0" w:line="241" w:lineRule="auto"/>
        <w:tabs>
          <w:tab w:leader="none" w:pos="82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Change in Control Period” </w:t>
      </w:r>
      <w:r>
        <w:rPr>
          <w:rFonts w:ascii="Times New Roman" w:cs="Times New Roman" w:eastAsia="Times New Roman" w:hAnsi="Times New Roman"/>
          <w:sz w:val="18"/>
          <w:szCs w:val="18"/>
          <w:color w:val="auto"/>
        </w:rPr>
        <w:t>shall mean the period commencing on the date any of the following occur: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enters into an agreement or a letter of intent to enter into an agreement to take actions, the consummation of which would result in the occurrence of a Change in Control, or (ii) the Company or any person or entity publicly announces an intention to take or to consider taking actions which, if consummated, would constitute a Change in Control.</w:t>
      </w:r>
    </w:p>
    <w:p>
      <w:pPr>
        <w:spacing w:after="0" w:line="73" w:lineRule="exact"/>
        <w:rPr>
          <w:rFonts w:ascii="Times New Roman" w:cs="Times New Roman" w:eastAsia="Times New Roman" w:hAnsi="Times New Roman"/>
          <w:sz w:val="18"/>
          <w:szCs w:val="18"/>
          <w:color w:val="auto"/>
        </w:rPr>
      </w:pPr>
    </w:p>
    <w:p>
      <w:pPr>
        <w:ind w:left="180" w:right="320" w:firstLine="4"/>
        <w:spacing w:after="0" w:line="252" w:lineRule="auto"/>
        <w:tabs>
          <w:tab w:leader="none" w:pos="82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Retirement</w:t>
      </w:r>
      <w:r>
        <w:rPr>
          <w:rFonts w:ascii="Times New Roman" w:cs="Times New Roman" w:eastAsia="Times New Roman" w:hAnsi="Times New Roman"/>
          <w:sz w:val="18"/>
          <w:szCs w:val="18"/>
          <w:color w:val="auto"/>
        </w:rPr>
        <w:t>” means your “separation from service” as such term is defined under Section 409A of the Code and applicable regulations, where all the following requirements are met: (i) your termination occurs on a date that is at least one year following the beginning of the Performance Period, (ii) your termination is not a termination of Service for Cause, (iii) your</w:t>
      </w:r>
    </w:p>
    <w:p>
      <w:pPr>
        <w:sectPr>
          <w:pgSz w:w="11900" w:h="16838" w:orient="portrait"/>
          <w:cols w:equalWidth="0" w:num="1">
            <w:col w:w="10120"/>
          </w:cols>
          <w:pgMar w:left="144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394" w:lineRule="exact"/>
        <w:rPr>
          <w:sz w:val="20"/>
          <w:szCs w:val="20"/>
          <w:color w:val="auto"/>
        </w:rPr>
      </w:pPr>
    </w:p>
    <w:p>
      <w:pPr>
        <w:ind w:left="180" w:right="80"/>
        <w:spacing w:after="0"/>
        <w:rPr>
          <w:sz w:val="20"/>
          <w:szCs w:val="20"/>
          <w:color w:val="auto"/>
        </w:rPr>
      </w:pPr>
      <w:r>
        <w:rPr>
          <w:rFonts w:ascii="Times New Roman" w:cs="Times New Roman" w:eastAsia="Times New Roman" w:hAnsi="Times New Roman"/>
          <w:sz w:val="18"/>
          <w:szCs w:val="18"/>
          <w:color w:val="auto"/>
        </w:rPr>
        <w:t>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 Company in succession planning and the transitioning of your responsibilities through your scheduled retirement date as determined and directed by the Company in its sole discretion; and (vii)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180" w:right="220" w:firstLine="4"/>
        <w:spacing w:after="0" w:line="243" w:lineRule="auto"/>
        <w:tabs>
          <w:tab w:leader="none" w:pos="82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“Qualifying Termination” </w:t>
      </w:r>
      <w:r>
        <w:rPr>
          <w:rFonts w:ascii="Times New Roman" w:cs="Times New Roman" w:eastAsia="Times New Roman" w:hAnsi="Times New Roman"/>
          <w:sz w:val="18"/>
          <w:szCs w:val="18"/>
          <w:color w:val="auto"/>
        </w:rPr>
        <w:t>means your termination without Cause or resignation for Good Reason which constitutes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180" w:right="200" w:firstLine="4"/>
        <w:spacing w:after="0" w:line="266" w:lineRule="auto"/>
        <w:tabs>
          <w:tab w:leader="none" w:pos="823"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51" w:lineRule="exact"/>
        <w:rPr>
          <w:rFonts w:ascii="Times New Roman" w:cs="Times New Roman" w:eastAsia="Times New Roman" w:hAnsi="Times New Roman"/>
          <w:sz w:val="17"/>
          <w:szCs w:val="17"/>
          <w:color w:val="auto"/>
        </w:rPr>
      </w:pPr>
    </w:p>
    <w:p>
      <w:pPr>
        <w:jc w:val="both"/>
        <w:ind w:left="180" w:right="20" w:firstLine="4"/>
        <w:spacing w:after="0" w:line="246" w:lineRule="auto"/>
        <w:tabs>
          <w:tab w:leader="none" w:pos="82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PUs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PUs may be transferred by will or by the laws of descent and distribution, the words “you” and “your” shall be deemed to include such person.</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FFFFFF"/>
        </w:rPr>
        <w:t>__</w:t>
      </w:r>
    </w:p>
    <w:p>
      <w:pPr>
        <w:sectPr>
          <w:pgSz w:w="11900" w:h="16838" w:orient="portrait"/>
          <w:cols w:equalWidth="0" w:num="1">
            <w:col w:w="10120"/>
          </w:cols>
          <w:pgMar w:left="144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Period is made up of three (3) consecutive measurement periods (each a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such Measurement Periods to be:</w:t>
      </w:r>
    </w:p>
    <w:p>
      <w:pPr>
        <w:spacing w:after="0" w:line="108"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1</w:t>
      </w:r>
      <w:r>
        <w:rPr>
          <w:sz w:val="20"/>
          <w:szCs w:val="20"/>
          <w:color w:val="auto"/>
        </w:rPr>
        <w:tab/>
      </w:r>
      <w:r>
        <w:rPr>
          <w:rFonts w:ascii="Times New Roman" w:cs="Times New Roman" w:eastAsia="Times New Roman" w:hAnsi="Times New Roman"/>
          <w:sz w:val="17"/>
          <w:szCs w:val="17"/>
          <w:color w:val="auto"/>
        </w:rPr>
        <w:t>January 1, 2024 to December 31, 2024</w:t>
      </w:r>
    </w:p>
    <w:p>
      <w:pPr>
        <w:spacing w:after="0" w:line="104"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2</w:t>
      </w:r>
      <w:r>
        <w:rPr>
          <w:sz w:val="20"/>
          <w:szCs w:val="20"/>
          <w:color w:val="auto"/>
        </w:rPr>
        <w:tab/>
      </w:r>
      <w:r>
        <w:rPr>
          <w:rFonts w:ascii="Times New Roman" w:cs="Times New Roman" w:eastAsia="Times New Roman" w:hAnsi="Times New Roman"/>
          <w:sz w:val="17"/>
          <w:szCs w:val="17"/>
          <w:color w:val="auto"/>
        </w:rPr>
        <w:t>January 1, 2025 to December 31, 2025</w:t>
      </w:r>
    </w:p>
    <w:p>
      <w:pPr>
        <w:spacing w:after="0" w:line="104" w:lineRule="exact"/>
        <w:rPr>
          <w:sz w:val="20"/>
          <w:szCs w:val="20"/>
          <w:color w:val="auto"/>
        </w:rPr>
      </w:pPr>
    </w:p>
    <w:p>
      <w:pPr>
        <w:ind w:left="1300"/>
        <w:spacing w:after="0"/>
        <w:tabs>
          <w:tab w:leader="none" w:pos="3140" w:val="left"/>
        </w:tabs>
        <w:rPr>
          <w:sz w:val="20"/>
          <w:szCs w:val="20"/>
          <w:color w:val="auto"/>
        </w:rPr>
      </w:pPr>
      <w:r>
        <w:rPr>
          <w:rFonts w:ascii="Times New Roman" w:cs="Times New Roman" w:eastAsia="Times New Roman" w:hAnsi="Times New Roman"/>
          <w:sz w:val="18"/>
          <w:szCs w:val="18"/>
          <w:color w:val="auto"/>
        </w:rPr>
        <w:t>Measurement Period 3</w:t>
      </w:r>
      <w:r>
        <w:rPr>
          <w:sz w:val="20"/>
          <w:szCs w:val="20"/>
          <w:color w:val="auto"/>
        </w:rPr>
        <w:tab/>
      </w:r>
      <w:r>
        <w:rPr>
          <w:rFonts w:ascii="Times New Roman" w:cs="Times New Roman" w:eastAsia="Times New Roman" w:hAnsi="Times New Roman"/>
          <w:sz w:val="17"/>
          <w:szCs w:val="17"/>
          <w:color w:val="auto"/>
        </w:rPr>
        <w:t>January 1, 2026 to December 31, 2026</w:t>
      </w:r>
    </w:p>
    <w:p>
      <w:pPr>
        <w:spacing w:after="0" w:line="1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number of PUs earned shall be determined by reference to the Company’s Combined Ratio, as defined and calculated in the Company’s year-end GAAP financial statements, as certified by the Compensation Committee. The Combined Ratio for the Performance Period shall be determined as a straight-line average of the Combined Ratios at year-end for each of the Measurement Periods.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shall earn the percentage of the targeted number of PUs (such percentage after Threshold level achievement to be interpolated) based on the average Combined Ratio for the Performance Period, as noted below:</w:t>
      </w:r>
    </w:p>
    <w:p>
      <w:pPr>
        <w:spacing w:after="0" w:line="80" w:lineRule="exact"/>
        <w:rPr>
          <w:sz w:val="20"/>
          <w:szCs w:val="20"/>
          <w:color w:val="auto"/>
        </w:rPr>
      </w:pPr>
    </w:p>
    <w:tbl>
      <w:tblPr>
        <w:tblLayout w:type="fixed"/>
        <w:tblInd w:w="2570" w:type="dxa"/>
        <w:tblCellMar>
          <w:top w:w="0" w:type="dxa"/>
          <w:left w:w="0" w:type="dxa"/>
          <w:bottom w:w="0" w:type="dxa"/>
          <w:right w:w="0" w:type="dxa"/>
        </w:tblCellMar>
      </w:tblPr>
      <w:tr>
        <w:trPr>
          <w:trHeight w:val="248"/>
        </w:trPr>
        <w:tc>
          <w:tcPr>
            <w:tcW w:w="32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Calculated 3-year Average Combined Ratio</w:t>
            </w:r>
          </w:p>
        </w:tc>
        <w:tc>
          <w:tcPr>
            <w:tcW w:w="29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of PUs Earned</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87.5% or greater (Maximum)</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89.5%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91.5%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44"/>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92.5% (Target)</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34"/>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93.5%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94.5%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95.5% (Threshold)</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95.5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 in Control on Performance Period</w:t>
      </w:r>
    </w:p>
    <w:p>
      <w:pPr>
        <w:spacing w:after="0" w:line="9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If a Change in Control occurs prior to the last date of the Performance Period, the Company reserves the right, in its sole discretion, to instead provide that the Performance Period shall consist of the period beginning on the first date of the Performance Period and ending on the closing date of the Change in Control for purposes of determining the applicable number of PUs that are eligible to vest based on the average applicable level of performance attained for the completed and partial Measurement Periods through the date of the Change in Control, with the same weighting applied to the partial Measurement Period as any completed Measurement Period in such averaging calculation. Such measured number of PUs will be eligible to vest subject to satisfaction of the Service Vesting Condition.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on: [ ___________]</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RESTRICTED STOCK UNITS NOTICE UNDER THE SKYWARD SPECIALTY INSURANCE GROUP, INC. 2022 LONG-TERM INCENTIVE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This Notice evidences the award of restricted stock units (each, a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of Skyward Specialty Insurance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Skyward Specialty Insurance Group, Inc. 2022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conditioned upon your agreement to the terms of the attached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[February ___,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RSUs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All of the RSUs are nonvested and forfeitable as of the Grant Date. So long as your Service (as defined in the Agreement) is continuous from the Grant Date through the applicable Vesting Date, 100% of the RSUs will become vested on the Vesting Date.</w:t>
      </w:r>
    </w:p>
    <w:p>
      <w:pPr>
        <w:spacing w:after="0" w:line="18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In the event your Service is terminated due to a Qualifying Retirement which occurs prior to the Vesting Date and on a date that is at least twelve (12) months following January 1st of the applicable calendar year that includes the Grant Date (such January 1st, the “Vesting Start Date”), a pro-rata portion of the not yet vested RSUs shall become vested upon such termination of Service due to a Qualifying Retirement. The number of the RSUs that will become vested will be determined by (i) dividing the number of days you were continuously employed or rendering services during the period starting on the Vesting Date and ending on the date immediately prior to the termination date by the total number of days of the applicable vesting period (as measured from the Vesting Start Date to the Vesting Date), and multiplying the result of such fraction by the total number of RSUs. Such pro-rata portion of the RSUs will be rounded down to the nearest whole share.</w:t>
      </w:r>
    </w:p>
    <w:p>
      <w:pPr>
        <w:spacing w:after="0" w:line="8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the event your Service is terminated due to your death or Total and Permanent Disability, 100% of the RSUs that had not yet become vested will become vested.</w:t>
      </w:r>
    </w:p>
    <w:p>
      <w:pPr>
        <w:spacing w:after="0" w:line="55"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Notwithstanding anything to the contrary in the Notice or Plan, in the event your Service is terminated without Cause or for Good Reason immediately before or during the twelve (12) month period immediately following a Change in Control, 100% of the RSUs that had not yet become vested will become vested.</w:t>
      </w:r>
    </w:p>
    <w:p>
      <w:pPr>
        <w:spacing w:after="0" w:line="30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Skyward Specialty Insurance Group, Inc.</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122"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49465" cy="3511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RESTRICTED STOCK UNITS AGREEMENT UNDER THE SKYWARD SPECIALTY INSURANCE GROUP, INC. 2022 LONG-TERM</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84"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115" w:lineRule="exact"/>
        <w:rPr>
          <w:rFonts w:ascii="Times New Roman" w:cs="Times New Roman" w:eastAsia="Times New Roman" w:hAnsi="Times New Roman"/>
          <w:sz w:val="17"/>
          <w:szCs w:val="17"/>
          <w:color w:val="auto"/>
        </w:rPr>
      </w:pPr>
    </w:p>
    <w:p>
      <w:pPr>
        <w:jc w:val="both"/>
        <w:ind w:firstLine="8"/>
        <w:spacing w:after="0" w:line="245" w:lineRule="auto"/>
        <w:tabs>
          <w:tab w:leader="none" w:pos="6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72" w:lineRule="exact"/>
        <w:rPr>
          <w:rFonts w:ascii="Times New Roman" w:cs="Times New Roman" w:eastAsia="Times New Roman" w:hAnsi="Times New Roman"/>
          <w:sz w:val="18"/>
          <w:szCs w:val="18"/>
          <w:color w:val="auto"/>
        </w:rPr>
      </w:pPr>
    </w:p>
    <w:p>
      <w:pPr>
        <w:ind w:right="120" w:firstLine="8"/>
        <w:spacing w:after="0" w:line="250" w:lineRule="auto"/>
        <w:tabs>
          <w:tab w:leader="none" w:pos="6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55" w:lineRule="exact"/>
        <w:rPr>
          <w:rFonts w:ascii="Times New Roman" w:cs="Times New Roman" w:eastAsia="Times New Roman" w:hAnsi="Times New Roman"/>
          <w:sz w:val="18"/>
          <w:szCs w:val="18"/>
          <w:color w:val="auto"/>
        </w:rPr>
      </w:pPr>
    </w:p>
    <w:p>
      <w:pPr>
        <w:ind w:right="40" w:firstLine="8"/>
        <w:spacing w:after="0" w:line="245" w:lineRule="auto"/>
        <w:tabs>
          <w:tab w:leader="none" w:pos="6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72" w:lineRule="exact"/>
        <w:rPr>
          <w:rFonts w:ascii="Times New Roman" w:cs="Times New Roman" w:eastAsia="Times New Roman" w:hAnsi="Times New Roman"/>
          <w:sz w:val="18"/>
          <w:szCs w:val="18"/>
          <w:color w:val="auto"/>
        </w:rPr>
      </w:pPr>
    </w:p>
    <w:p>
      <w:pPr>
        <w:ind w:right="20" w:firstLine="8"/>
        <w:spacing w:after="0"/>
        <w:tabs>
          <w:tab w:leader="none" w:pos="6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xml:space="preserve"> 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RSU granted to the Grantee as set forth in this Agreement. Dividend equivalents, if credited, shall be withheld by the Company for the Grantee's Account and shall be subject to the same vesting and forfeiture restrictions as the RSUs to which they are attributable and shall be paid on the same date that the RSUs to which they are attributable are settled and paid in accordance with Section 6 hereof. If your vested RSUs have been settled after the record date but prior to the dividend payment date, any RSUs that would be credited pursuant to the preceding sentence shall be settled on or as soon as practicable after the dividend payment date.</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40" w:hanging="326"/>
        <w:spacing w:after="0" w:line="238" w:lineRule="auto"/>
        <w:tabs>
          <w:tab w:leader="none" w:pos="81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7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77" w:lineRule="exact"/>
        <w:rPr>
          <w:rFonts w:ascii="Times New Roman" w:cs="Times New Roman" w:eastAsia="Times New Roman" w:hAnsi="Times New Roman"/>
          <w:sz w:val="18"/>
          <w:szCs w:val="18"/>
          <w:color w:val="auto"/>
        </w:rPr>
      </w:pPr>
    </w:p>
    <w:p>
      <w:pPr>
        <w:ind w:left="820" w:right="120" w:hanging="326"/>
        <w:spacing w:after="0" w:line="250" w:lineRule="auto"/>
        <w:tabs>
          <w:tab w:leader="none" w:pos="8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Your RSUs will be settled by the Company, via the issuance of Common Stock as described herein, on the date that the RSUs become vested and nonforfeitable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If the Original Issuance Date falls on a date that is not a business day, delivery shall instead occur on the next following business day. In addition, if:</w:t>
      </w:r>
    </w:p>
    <w:p>
      <w:pPr>
        <w:spacing w:after="0" w:line="68" w:lineRule="exact"/>
        <w:rPr>
          <w:rFonts w:ascii="Times New Roman" w:cs="Times New Roman" w:eastAsia="Times New Roman" w:hAnsi="Times New Roman"/>
          <w:sz w:val="18"/>
          <w:szCs w:val="18"/>
          <w:color w:val="auto"/>
        </w:rPr>
      </w:pPr>
    </w:p>
    <w:p>
      <w:pPr>
        <w:ind w:left="1460" w:right="60" w:hanging="413"/>
        <w:spacing w:after="0" w:line="242" w:lineRule="auto"/>
        <w:tabs>
          <w:tab w:leader="none" w:pos="146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1460" w:right="280" w:hanging="463"/>
        <w:spacing w:after="0" w:line="242" w:lineRule="auto"/>
        <w:tabs>
          <w:tab w:leader="none" w:pos="146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RSU, and (B) not to permit you to enter into a “same day sale” commitment with a broker-dealer pursuant to Section 7 of this Agreement (including but not limited to a commitment under a 10b5-1 Arrangement) and (C) not to permit you to pay your Withholding Taxes in cash, then the shares</w:t>
      </w:r>
    </w:p>
    <w:p>
      <w:pPr>
        <w:sectPr>
          <w:pgSz w:w="11900" w:h="16838" w:orient="portrait"/>
          <w:cols w:equalWidth="0" w:num="1">
            <w:col w:w="11240"/>
          </w:cols>
          <w:pgMar w:left="320" w:top="11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394" w:lineRule="exact"/>
        <w:rPr>
          <w:sz w:val="20"/>
          <w:szCs w:val="20"/>
          <w:color w:val="auto"/>
        </w:rPr>
      </w:pPr>
    </w:p>
    <w:p>
      <w:pPr>
        <w:ind w:left="1460" w:right="40"/>
        <w:spacing w:after="0"/>
        <w:rPr>
          <w:sz w:val="20"/>
          <w:szCs w:val="20"/>
          <w:color w:val="auto"/>
        </w:rPr>
      </w:pPr>
      <w:r>
        <w:rPr>
          <w:rFonts w:ascii="Times New Roman" w:cs="Times New Roman" w:eastAsia="Times New Roman" w:hAnsi="Times New Roman"/>
          <w:sz w:val="18"/>
          <w:szCs w:val="18"/>
          <w:color w:val="auto"/>
        </w:rPr>
        <w:t>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63" w:lineRule="exact"/>
        <w:rPr>
          <w:sz w:val="20"/>
          <w:szCs w:val="20"/>
          <w:color w:val="auto"/>
        </w:rPr>
      </w:pPr>
    </w:p>
    <w:p>
      <w:pPr>
        <w:ind w:firstLine="8"/>
        <w:spacing w:after="0" w:line="236" w:lineRule="auto"/>
        <w:tabs>
          <w:tab w:leader="none" w:pos="6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120" w:hanging="326"/>
        <w:spacing w:after="0" w:line="264" w:lineRule="auto"/>
        <w:tabs>
          <w:tab w:leader="none" w:pos="81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57" w:lineRule="exact"/>
        <w:rPr>
          <w:rFonts w:ascii="Times New Roman" w:cs="Times New Roman" w:eastAsia="Times New Roman" w:hAnsi="Times New Roman"/>
          <w:sz w:val="17"/>
          <w:szCs w:val="17"/>
          <w:color w:val="auto"/>
        </w:rPr>
      </w:pPr>
    </w:p>
    <w:p>
      <w:pPr>
        <w:ind w:left="820" w:right="60" w:hanging="326"/>
        <w:spacing w:after="0" w:line="237" w:lineRule="auto"/>
        <w:tabs>
          <w:tab w:leader="none" w:pos="8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81" w:lineRule="exact"/>
        <w:rPr>
          <w:rFonts w:ascii="Times New Roman" w:cs="Times New Roman" w:eastAsia="Times New Roman" w:hAnsi="Times New Roman"/>
          <w:sz w:val="18"/>
          <w:szCs w:val="18"/>
          <w:color w:val="auto"/>
        </w:rPr>
      </w:pPr>
    </w:p>
    <w:p>
      <w:pPr>
        <w:ind w:firstLine="8"/>
        <w:spacing w:after="0" w:line="242" w:lineRule="auto"/>
        <w:tabs>
          <w:tab w:leader="none" w:pos="6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ectPr>
          <w:pgSz w:w="11900" w:h="16838" w:orient="portrait"/>
          <w:cols w:equalWidth="0" w:num="1">
            <w:col w:w="11240"/>
          </w:cols>
          <w:pgMar w:left="320" w:top="11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394" w:lineRule="exact"/>
        <w:rPr>
          <w:sz w:val="20"/>
          <w:szCs w:val="20"/>
          <w:color w:val="auto"/>
        </w:rPr>
      </w:pPr>
    </w:p>
    <w:p>
      <w:pPr>
        <w:ind w:right="320" w:firstLine="8"/>
        <w:spacing w:after="0" w:line="266" w:lineRule="auto"/>
        <w:tabs>
          <w:tab w:leader="none" w:pos="6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RSUs until such shares of Common Stock have been issued to you.</w:t>
      </w:r>
    </w:p>
    <w:p>
      <w:pPr>
        <w:spacing w:after="0" w:line="54" w:lineRule="exact"/>
        <w:rPr>
          <w:rFonts w:ascii="Times New Roman" w:cs="Times New Roman" w:eastAsia="Times New Roman" w:hAnsi="Times New Roman"/>
          <w:sz w:val="18"/>
          <w:szCs w:val="18"/>
          <w:color w:val="auto"/>
        </w:rPr>
      </w:pPr>
    </w:p>
    <w:p>
      <w:pPr>
        <w:ind w:right="140" w:firstLine="8"/>
        <w:spacing w:after="0" w:line="238" w:lineRule="auto"/>
        <w:tabs>
          <w:tab w:leader="none" w:pos="63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upon Breach of Non-solicitation or Confidentiality Covenants.</w:t>
      </w:r>
      <w:r>
        <w:rPr>
          <w:rFonts w:ascii="Times New Roman" w:cs="Times New Roman" w:eastAsia="Times New Roman" w:hAnsi="Times New Roman"/>
          <w:sz w:val="18"/>
          <w:szCs w:val="18"/>
          <w:color w:val="auto"/>
        </w:rPr>
        <w:t xml:space="preserve">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RSUs will be forfeited; and (ii) you shall, within ten (10) days of notice of the Administrator’s determination of such breach, repay all cash or shares of Common Stock paid in settlement of the RSUs within twelve (12) months preceding your termination from Service. The forfeiture and clawback rights in this Section are in addition to, and not in substitution of, any rights of repurchase or other recoupment rights the Company may have.</w:t>
      </w:r>
    </w:p>
    <w:p>
      <w:pPr>
        <w:spacing w:after="0" w:line="77" w:lineRule="exact"/>
        <w:rPr>
          <w:rFonts w:ascii="Times New Roman" w:cs="Times New Roman" w:eastAsia="Times New Roman" w:hAnsi="Times New Roman"/>
          <w:sz w:val="18"/>
          <w:szCs w:val="18"/>
          <w:color w:val="auto"/>
        </w:rPr>
      </w:pPr>
    </w:p>
    <w:p>
      <w:pPr>
        <w:ind w:right="260" w:firstLine="8"/>
        <w:spacing w:after="0" w:line="242" w:lineRule="auto"/>
        <w:tabs>
          <w:tab w:leader="none" w:pos="6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Issuance of Shares</w:t>
      </w:r>
      <w:r>
        <w:rPr>
          <w:rFonts w:ascii="Times New Roman" w:cs="Times New Roman" w:eastAsia="Times New Roman" w:hAnsi="Times New Roman"/>
          <w:sz w:val="18"/>
          <w:szCs w:val="18"/>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77" w:lineRule="exact"/>
        <w:rPr>
          <w:rFonts w:ascii="Times New Roman" w:cs="Times New Roman" w:eastAsia="Times New Roman" w:hAnsi="Times New Roman"/>
          <w:sz w:val="18"/>
          <w:szCs w:val="18"/>
          <w:color w:val="auto"/>
        </w:rPr>
      </w:pPr>
    </w:p>
    <w:p>
      <w:pPr>
        <w:ind w:right="20" w:firstLine="8"/>
        <w:spacing w:after="0" w:line="238" w:lineRule="auto"/>
        <w:tabs>
          <w:tab w:leader="none" w:pos="6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83" w:lineRule="exact"/>
        <w:rPr>
          <w:rFonts w:ascii="Times New Roman" w:cs="Times New Roman" w:eastAsia="Times New Roman" w:hAnsi="Times New Roman"/>
          <w:sz w:val="18"/>
          <w:szCs w:val="18"/>
          <w:color w:val="auto"/>
        </w:rPr>
      </w:pPr>
    </w:p>
    <w:p>
      <w:pPr>
        <w:jc w:val="both"/>
        <w:ind w:right="180" w:firstLine="8"/>
        <w:spacing w:after="0" w:line="242" w:lineRule="auto"/>
        <w:tabs>
          <w:tab w:leader="none" w:pos="6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75" w:lineRule="exact"/>
        <w:rPr>
          <w:rFonts w:ascii="Times New Roman" w:cs="Times New Roman" w:eastAsia="Times New Roman" w:hAnsi="Times New Roman"/>
          <w:sz w:val="18"/>
          <w:szCs w:val="18"/>
          <w:color w:val="auto"/>
        </w:rPr>
      </w:pPr>
    </w:p>
    <w:p>
      <w:pPr>
        <w:jc w:val="both"/>
        <w:ind w:right="220" w:firstLine="8"/>
        <w:spacing w:after="0" w:line="250" w:lineRule="auto"/>
        <w:tabs>
          <w:tab w:leader="none" w:pos="6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68" w:lineRule="exact"/>
        <w:rPr>
          <w:rFonts w:ascii="Times New Roman" w:cs="Times New Roman" w:eastAsia="Times New Roman" w:hAnsi="Times New Roman"/>
          <w:sz w:val="18"/>
          <w:szCs w:val="18"/>
          <w:color w:val="auto"/>
        </w:rPr>
      </w:pPr>
    </w:p>
    <w:p>
      <w:pPr>
        <w:ind w:firstLine="8"/>
        <w:spacing w:after="0" w:line="239" w:lineRule="auto"/>
        <w:tabs>
          <w:tab w:leader="none" w:pos="6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Savings Clause</w:t>
      </w:r>
      <w:r>
        <w:rPr>
          <w:rFonts w:ascii="Times New Roman" w:cs="Times New Roman" w:eastAsia="Times New Roman" w:hAnsi="Times New Roman"/>
          <w:sz w:val="18"/>
          <w:szCs w:val="18"/>
          <w:color w:val="auto"/>
        </w:rPr>
        <w:t>. This Agreement is intended to comply with, or otherwise be exempt from, the requirements of Section 409A of the Code and shall be construed and administered in accordance with such intent. Notwithstanding any other provision of this Agreement, payments provided under this Agreement may only be made upon an event and in a manner that complies with Section 409A of the Code or an applicable exemption. Any payments considered deferred compensation to be made under this Agreement in connection with a termination of employment shall only be made if such termination of employment constitutes a "separation from service" under Code Section 409A.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Notwithstanding the foregoing, if it is determined that the RSUs are considered deferred</w:t>
      </w:r>
    </w:p>
    <w:p>
      <w:pPr>
        <w:sectPr>
          <w:pgSz w:w="11900" w:h="16838" w:orient="portrait"/>
          <w:cols w:equalWidth="0" w:num="1">
            <w:col w:w="11240"/>
          </w:cols>
          <w:pgMar w:left="320" w:top="11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39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compensation subject to Code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63" w:lineRule="exact"/>
        <w:rPr>
          <w:sz w:val="20"/>
          <w:szCs w:val="20"/>
          <w:color w:val="auto"/>
        </w:rPr>
      </w:pPr>
    </w:p>
    <w:p>
      <w:pPr>
        <w:ind w:right="40" w:firstLine="8"/>
        <w:spacing w:after="0" w:line="245"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72" w:lineRule="exact"/>
        <w:rPr>
          <w:rFonts w:ascii="Times New Roman" w:cs="Times New Roman" w:eastAsia="Times New Roman" w:hAnsi="Times New Roman"/>
          <w:sz w:val="18"/>
          <w:szCs w:val="18"/>
          <w:color w:val="auto"/>
        </w:rPr>
      </w:pPr>
    </w:p>
    <w:p>
      <w:pPr>
        <w:ind w:right="340" w:firstLine="8"/>
        <w:spacing w:after="0" w:line="272" w:lineRule="auto"/>
        <w:tabs>
          <w:tab w:leader="none" w:pos="64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50" w:lineRule="exact"/>
        <w:rPr>
          <w:rFonts w:ascii="Times New Roman" w:cs="Times New Roman" w:eastAsia="Times New Roman" w:hAnsi="Times New Roman"/>
          <w:sz w:val="17"/>
          <w:szCs w:val="17"/>
          <w:color w:val="auto"/>
        </w:rPr>
      </w:pPr>
    </w:p>
    <w:p>
      <w:pPr>
        <w:ind w:right="220" w:firstLine="8"/>
        <w:spacing w:after="0" w:line="266"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54" w:lineRule="exact"/>
        <w:rPr>
          <w:rFonts w:ascii="Times New Roman" w:cs="Times New Roman" w:eastAsia="Times New Roman" w:hAnsi="Times New Roman"/>
          <w:sz w:val="18"/>
          <w:szCs w:val="18"/>
          <w:color w:val="auto"/>
        </w:rPr>
      </w:pPr>
    </w:p>
    <w:p>
      <w:pPr>
        <w:ind w:right="100" w:firstLine="8"/>
        <w:spacing w:after="0" w:line="245"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59" w:lineRule="exact"/>
        <w:rPr>
          <w:rFonts w:ascii="Times New Roman" w:cs="Times New Roman" w:eastAsia="Times New Roman" w:hAnsi="Times New Roman"/>
          <w:sz w:val="18"/>
          <w:szCs w:val="18"/>
          <w:color w:val="auto"/>
        </w:rPr>
      </w:pPr>
    </w:p>
    <w:p>
      <w:pPr>
        <w:ind w:right="20" w:firstLine="8"/>
        <w:spacing w:after="0"/>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 Agreement.</w:t>
      </w:r>
    </w:p>
    <w:p>
      <w:pPr>
        <w:spacing w:after="0" w:line="103" w:lineRule="exact"/>
        <w:rPr>
          <w:rFonts w:ascii="Times New Roman" w:cs="Times New Roman" w:eastAsia="Times New Roman" w:hAnsi="Times New Roman"/>
          <w:sz w:val="18"/>
          <w:szCs w:val="18"/>
          <w:color w:val="auto"/>
        </w:rPr>
      </w:pPr>
    </w:p>
    <w:p>
      <w:pPr>
        <w:ind w:right="60" w:firstLine="8"/>
        <w:spacing w:after="0" w:line="241"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75" w:lineRule="exact"/>
        <w:rPr>
          <w:rFonts w:ascii="Times New Roman" w:cs="Times New Roman" w:eastAsia="Times New Roman" w:hAnsi="Times New Roman"/>
          <w:sz w:val="18"/>
          <w:szCs w:val="18"/>
          <w:color w:val="auto"/>
        </w:rPr>
      </w:pPr>
    </w:p>
    <w:p>
      <w:pPr>
        <w:ind w:right="340" w:firstLine="8"/>
        <w:spacing w:after="0" w:line="250"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-869950</wp:posOffset>
            </wp:positionV>
            <wp:extent cx="285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39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79" w:lineRule="exact"/>
        <w:rPr>
          <w:sz w:val="20"/>
          <w:szCs w:val="20"/>
          <w:color w:val="auto"/>
        </w:rPr>
      </w:pPr>
    </w:p>
    <w:p>
      <w:pPr>
        <w:ind w:right="120" w:firstLine="8"/>
        <w:spacing w:after="0" w:line="236" w:lineRule="auto"/>
        <w:tabs>
          <w:tab w:leader="none" w:pos="6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3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104" w:lineRule="exact"/>
        <w:rPr>
          <w:sz w:val="20"/>
          <w:szCs w:val="20"/>
          <w:color w:val="auto"/>
        </w:rPr>
      </w:pPr>
    </w:p>
    <w:p>
      <w:pPr>
        <w:ind w:right="280" w:firstLine="644"/>
        <w:spacing w:after="0" w:line="271" w:lineRule="auto"/>
        <w:tabs>
          <w:tab w:leader="none" w:pos="129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of Directors of Skyward Specialty Insurance Group, Inc. or such committee or committees appointed by the Board to administer the Plan.</w:t>
      </w:r>
    </w:p>
    <w:p>
      <w:pPr>
        <w:spacing w:after="0" w:line="4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7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90"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set forth in the Plan.</w:t>
      </w:r>
    </w:p>
    <w:p>
      <w:pPr>
        <w:spacing w:after="0" w:line="103" w:lineRule="exact"/>
        <w:rPr>
          <w:rFonts w:ascii="Times New Roman" w:cs="Times New Roman" w:eastAsia="Times New Roman" w:hAnsi="Times New Roman"/>
          <w:sz w:val="18"/>
          <w:szCs w:val="18"/>
          <w:color w:val="auto"/>
        </w:rPr>
      </w:pPr>
    </w:p>
    <w:p>
      <w:pPr>
        <w:jc w:val="both"/>
        <w:ind w:right="80" w:firstLine="644"/>
        <w:spacing w:after="0" w:line="301" w:lineRule="auto"/>
        <w:tabs>
          <w:tab w:leader="none" w:pos="129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“Change in Control Qualifying Termination” </w:t>
      </w:r>
      <w:r>
        <w:rPr>
          <w:rFonts w:ascii="Times New Roman" w:cs="Times New Roman" w:eastAsia="Times New Roman" w:hAnsi="Times New Roman"/>
          <w:sz w:val="17"/>
          <w:szCs w:val="17"/>
          <w:color w:val="auto"/>
        </w:rPr>
        <w:t>shall mean a Qualifying Termination which occurs: (i) after the commencement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Potential Change in Control Period, and (ii) within the nine (9) month period immediately preceding the closing of such Change in Control.</w:t>
      </w:r>
    </w:p>
    <w:p>
      <w:pPr>
        <w:spacing w:after="0" w:line="22" w:lineRule="exact"/>
        <w:rPr>
          <w:rFonts w:ascii="Times New Roman" w:cs="Times New Roman" w:eastAsia="Times New Roman" w:hAnsi="Times New Roman"/>
          <w:sz w:val="17"/>
          <w:szCs w:val="17"/>
          <w:color w:val="auto"/>
        </w:rPr>
      </w:pPr>
    </w:p>
    <w:p>
      <w:pPr>
        <w:ind w:left="1300" w:hanging="656"/>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7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US$0.01 par value per share, of Skyward Specialty Insurance Group, Inc.</w:t>
      </w:r>
    </w:p>
    <w:p>
      <w:pPr>
        <w:spacing w:after="0" w:line="103" w:lineRule="exact"/>
        <w:rPr>
          <w:rFonts w:ascii="Times New Roman" w:cs="Times New Roman" w:eastAsia="Times New Roman" w:hAnsi="Times New Roman"/>
          <w:sz w:val="18"/>
          <w:szCs w:val="18"/>
          <w:color w:val="auto"/>
        </w:rPr>
      </w:pPr>
    </w:p>
    <w:p>
      <w:pPr>
        <w:ind w:right="60" w:firstLine="644"/>
        <w:spacing w:after="0" w:line="271" w:lineRule="auto"/>
        <w:tabs>
          <w:tab w:leader="none" w:pos="129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03" w:lineRule="exact"/>
        <w:rPr>
          <w:rFonts w:ascii="Times New Roman" w:cs="Times New Roman" w:eastAsia="Times New Roman" w:hAnsi="Times New Roman"/>
          <w:sz w:val="18"/>
          <w:szCs w:val="18"/>
          <w:color w:val="auto"/>
        </w:rPr>
      </w:pPr>
    </w:p>
    <w:p>
      <w:pPr>
        <w:ind w:firstLine="644"/>
        <w:spacing w:after="0" w:line="237" w:lineRule="auto"/>
        <w:tabs>
          <w:tab w:leader="none" w:pos="12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your written consent, (i) a material reduction in your base salary or annual cash incentive targets; (ii) a material diminution in your title, duties, or responsibilities; (iii) any material breach of this Agreement by the Company; or (iv) any relocation of your principal place of employment of more than fifty (50) miles (unless you are currently working, or is provided the opportunity to work, remotely or otherwise not required to relocate your principal place of employment, in which case this subpart (iv)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RSUs made to you as set forth in the relevant Notice.</w:t>
      </w:r>
    </w:p>
    <w:p>
      <w:pPr>
        <w:spacing w:after="0" w:line="73" w:lineRule="exact"/>
        <w:rPr>
          <w:rFonts w:ascii="Times New Roman" w:cs="Times New Roman" w:eastAsia="Times New Roman" w:hAnsi="Times New Roman"/>
          <w:sz w:val="18"/>
          <w:szCs w:val="18"/>
          <w:color w:val="auto"/>
        </w:rPr>
      </w:pPr>
    </w:p>
    <w:p>
      <w:pPr>
        <w:ind w:left="1340" w:hanging="696"/>
        <w:spacing w:after="0"/>
        <w:tabs>
          <w:tab w:leader="none" w:pos="1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RSUs made to you as set forth in the relevant Notice.</w:t>
      </w:r>
    </w:p>
    <w:p>
      <w:pPr>
        <w:spacing w:after="0" w:line="103" w:lineRule="exact"/>
        <w:rPr>
          <w:rFonts w:ascii="Times New Roman" w:cs="Times New Roman" w:eastAsia="Times New Roman" w:hAnsi="Times New Roman"/>
          <w:sz w:val="18"/>
          <w:szCs w:val="18"/>
          <w:color w:val="auto"/>
        </w:rPr>
      </w:pPr>
    </w:p>
    <w:p>
      <w:pPr>
        <w:ind w:right="280" w:firstLine="644"/>
        <w:spacing w:after="0" w:line="271" w:lineRule="auto"/>
        <w:tabs>
          <w:tab w:leader="none" w:pos="129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 grant of RSUs made to you.</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Skyward Specialty Insurance Group, Inc. 2022 Long-Term Incentive Plan, as amended from time to time.</w:t>
      </w:r>
    </w:p>
    <w:p>
      <w:pPr>
        <w:spacing w:after="0" w:line="103" w:lineRule="exact"/>
        <w:rPr>
          <w:rFonts w:ascii="Times New Roman" w:cs="Times New Roman" w:eastAsia="Times New Roman" w:hAnsi="Times New Roman"/>
          <w:sz w:val="18"/>
          <w:szCs w:val="18"/>
          <w:color w:val="auto"/>
        </w:rPr>
      </w:pPr>
    </w:p>
    <w:p>
      <w:pPr>
        <w:ind w:right="200" w:firstLine="644"/>
        <w:spacing w:after="0" w:line="241" w:lineRule="auto"/>
        <w:tabs>
          <w:tab w:leader="none" w:pos="129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Change in Control Period” </w:t>
      </w:r>
      <w:r>
        <w:rPr>
          <w:rFonts w:ascii="Times New Roman" w:cs="Times New Roman" w:eastAsia="Times New Roman" w:hAnsi="Times New Roman"/>
          <w:sz w:val="18"/>
          <w:szCs w:val="18"/>
          <w:color w:val="auto"/>
        </w:rPr>
        <w:t>shall mean the period commencing on the date any of the following occur: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enters into an agreement or a letter of intent to enter into an agreement to take actions, the consummation of which would result in the occurrence of a Change in Control, or (ii) the Company or any person or entity publicly announces an intention to take or to consider taking actions which, if consummated, would constitute a Change in Control.</w:t>
      </w:r>
    </w:p>
    <w:p>
      <w:pPr>
        <w:spacing w:after="0" w:line="73" w:lineRule="exact"/>
        <w:rPr>
          <w:rFonts w:ascii="Times New Roman" w:cs="Times New Roman" w:eastAsia="Times New Roman" w:hAnsi="Times New Roman"/>
          <w:sz w:val="18"/>
          <w:szCs w:val="18"/>
          <w:color w:val="auto"/>
        </w:rPr>
      </w:pPr>
    </w:p>
    <w:p>
      <w:pPr>
        <w:ind w:right="60" w:firstLine="644"/>
        <w:spacing w:after="0"/>
        <w:tabs>
          <w:tab w:leader="none" w:pos="129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Retirement</w:t>
      </w:r>
      <w:r>
        <w:rPr>
          <w:rFonts w:ascii="Times New Roman" w:cs="Times New Roman" w:eastAsia="Times New Roman" w:hAnsi="Times New Roman"/>
          <w:sz w:val="18"/>
          <w:szCs w:val="18"/>
          <w:color w:val="auto"/>
        </w:rPr>
        <w:t>” means your “separation from service” as such term is defined under Section 409A of the Code and applicable regulations, where all the following requirements are met: (i) your termination occurs on a date that is at least one year following the beginning of the Performance Period, (ii) your termination is not a termination of Service for Cause, (iii) your 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 Company in succession planning and the transitioning of your responsibilities through your scheduled retirement date as determined and directed by the Company in its sole discretion; and (vii) you timely</w:t>
      </w:r>
    </w:p>
    <w:p>
      <w:pPr>
        <w:sectPr>
          <w:pgSz w:w="11900" w:h="16838" w:orient="portrait"/>
          <w:cols w:equalWidth="0" w:num="1">
            <w:col w:w="10580"/>
          </w:cols>
          <w:pgMar w:left="980" w:top="11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39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right="200" w:firstLine="644"/>
        <w:spacing w:after="0" w:line="239" w:lineRule="auto"/>
        <w:tabs>
          <w:tab w:leader="none" w:pos="129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“Qualifying Termination” </w:t>
      </w:r>
      <w:r>
        <w:rPr>
          <w:rFonts w:ascii="Times New Roman" w:cs="Times New Roman" w:eastAsia="Times New Roman" w:hAnsi="Times New Roman"/>
          <w:sz w:val="18"/>
          <w:szCs w:val="18"/>
          <w:color w:val="auto"/>
        </w:rPr>
        <w:t>means your termination without Cause or resignation for Good Reason which constitutes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440" w:firstLine="644"/>
        <w:spacing w:after="0" w:line="271" w:lineRule="auto"/>
        <w:tabs>
          <w:tab w:leader="none" w:pos="129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the Company’s commitment to issue one share of Common Stock at a future date, subject to the terms of the Agreement and the Plan.</w:t>
      </w:r>
    </w:p>
    <w:p>
      <w:pPr>
        <w:spacing w:after="0" w:line="45" w:lineRule="exact"/>
        <w:rPr>
          <w:rFonts w:ascii="Times New Roman" w:cs="Times New Roman" w:eastAsia="Times New Roman" w:hAnsi="Times New Roman"/>
          <w:sz w:val="18"/>
          <w:szCs w:val="18"/>
          <w:color w:val="auto"/>
        </w:rPr>
      </w:pPr>
    </w:p>
    <w:p>
      <w:pPr>
        <w:ind w:right="40" w:firstLine="644"/>
        <w:spacing w:after="0" w:line="246" w:lineRule="auto"/>
        <w:tabs>
          <w:tab w:leader="none" w:pos="129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69" w:lineRule="exact"/>
        <w:rPr>
          <w:rFonts w:ascii="Times New Roman" w:cs="Times New Roman" w:eastAsia="Times New Roman" w:hAnsi="Times New Roman"/>
          <w:sz w:val="18"/>
          <w:szCs w:val="18"/>
          <w:color w:val="auto"/>
        </w:rPr>
      </w:pPr>
    </w:p>
    <w:p>
      <w:pPr>
        <w:ind w:right="180" w:firstLine="644"/>
        <w:spacing w:after="0" w:line="246" w:lineRule="auto"/>
        <w:tabs>
          <w:tab w:leader="none" w:pos="129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ectPr>
          <w:pgSz w:w="11900" w:h="16838" w:orient="portrait"/>
          <w:cols w:equalWidth="0" w:num="1">
            <w:col w:w="10580"/>
          </w:cols>
          <w:pgMar w:left="98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RESTRICTED STOCK UNITS NOTICE UNDER THE SKYWARD SPECIALTY INSURANCE GROUP, INC. 2022 LONG-TERM INCENTIVE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This Notice evidences the award of restricted stock units (each, a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of Skyward Specialty Insurance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have been granted to you pursuant to the Skyward Specialty Insurance Group, Inc. 2022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conditioned upon your agreement to the terms of the attached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 The RSUs are credited to a separate account maintained for you on the books and records of the Company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All amounts credited to the Account will continue for all purposes to be part of the general assets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[February ___,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RSUs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All of the RSUs are nonvested and forfeitable as of the Grant Date. So long as your Service (as defined in the Agreement) is continuous from the Grant Date through the applicable Vesting Date, 100% of the RSUs will become vested on the Vesting Date.</w:t>
      </w:r>
    </w:p>
    <w:p>
      <w:pPr>
        <w:spacing w:after="0" w:line="5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In the event your Service is terminated due to a Qualifying Retirement which occurs prior to the Vesting Date and on a date that is at least twelve (12) months following January 1st of the applicable calendar year that includes the Grant Date (such January 1st, the “Vesting Start Date”), a pro-rata portion of the not yet vested RSUs shall become vested upon such termination of Service due to a Qualifying Retirement. The number of the RSUs that will become vested will be determined by (i) dividing the number of days you were continuously employed or rendering services during the period starting on the Vesting Date and ending on the date immediately prior to the termination date by the total number of days of the applicable vesting period (as measured from the Vesting Start Date to the Vesting Date, and multiplying the result of such fraction by the total number of RSUs. Such pro-rata portion of the RSUs will be rounded down to the nearest whole share.</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event your Service is terminated due to your death or Total and Permanent Disability, 100% of the RSUs that had not yet become vested will become vested.</w:t>
      </w:r>
    </w:p>
    <w:p>
      <w:pPr>
        <w:spacing w:after="0" w:line="5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Notwithstanding anything to the contrary in the Notice or Plan, in the event your Service is terminated without Cause or for Good Reason immediately before or during the twelve (12) month period immediately following a Change in Control, 100% of the RSUs that had not yet become vested will become vested.</w:t>
      </w:r>
    </w:p>
    <w:p>
      <w:pPr>
        <w:spacing w:after="0" w:line="30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Skyward Specialty Insurance Group, Inc.</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108"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Signature of Grantee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49465" cy="3511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3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RESTRICTED STOCK UNITS AGREEMENT UNDER THE SKYWARD SPECIALTY INSURANCE GROUP, INC. 2022 LONG-TERM</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84"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Terminology</w:t>
      </w:r>
      <w:r>
        <w:rPr>
          <w:rFonts w:ascii="Times New Roman" w:cs="Times New Roman" w:eastAsia="Times New Roman" w:hAnsi="Times New Roman"/>
          <w:sz w:val="17"/>
          <w:szCs w:val="17"/>
          <w:color w:val="auto"/>
        </w:rPr>
        <w:t>. Unless otherwise provided in this Agreement, capitalized terms used herein are defined in the Glossary at the end of this Agreement.</w:t>
      </w:r>
    </w:p>
    <w:p>
      <w:pPr>
        <w:spacing w:after="0" w:line="115" w:lineRule="exact"/>
        <w:rPr>
          <w:rFonts w:ascii="Times New Roman" w:cs="Times New Roman" w:eastAsia="Times New Roman" w:hAnsi="Times New Roman"/>
          <w:sz w:val="17"/>
          <w:szCs w:val="17"/>
          <w:color w:val="auto"/>
        </w:rPr>
      </w:pPr>
    </w:p>
    <w:p>
      <w:pPr>
        <w:jc w:val="both"/>
        <w:ind w:firstLine="8"/>
        <w:spacing w:after="0"/>
        <w:tabs>
          <w:tab w:leader="none" w:pos="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76" w:lineRule="exact"/>
        <w:rPr>
          <w:rFonts w:ascii="Times New Roman" w:cs="Times New Roman" w:eastAsia="Times New Roman" w:hAnsi="Times New Roman"/>
          <w:sz w:val="18"/>
          <w:szCs w:val="18"/>
          <w:color w:val="auto"/>
        </w:rPr>
      </w:pPr>
    </w:p>
    <w:p>
      <w:pPr>
        <w:ind w:right="120" w:firstLine="8"/>
        <w:spacing w:after="0" w:line="250" w:lineRule="auto"/>
        <w:tabs>
          <w:tab w:leader="none" w:pos="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w:t>
      </w:r>
    </w:p>
    <w:p>
      <w:pPr>
        <w:spacing w:after="0" w:line="68" w:lineRule="exact"/>
        <w:rPr>
          <w:rFonts w:ascii="Times New Roman" w:cs="Times New Roman" w:eastAsia="Times New Roman" w:hAnsi="Times New Roman"/>
          <w:sz w:val="18"/>
          <w:szCs w:val="18"/>
          <w:color w:val="auto"/>
        </w:rPr>
      </w:pPr>
    </w:p>
    <w:p>
      <w:pPr>
        <w:ind w:right="40" w:firstLine="8"/>
        <w:spacing w:after="0" w:line="245" w:lineRule="auto"/>
        <w:tabs>
          <w:tab w:leader="none" w:pos="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72" w:lineRule="exact"/>
        <w:rPr>
          <w:rFonts w:ascii="Times New Roman" w:cs="Times New Roman" w:eastAsia="Times New Roman" w:hAnsi="Times New Roman"/>
          <w:sz w:val="18"/>
          <w:szCs w:val="18"/>
          <w:color w:val="auto"/>
        </w:rPr>
      </w:pPr>
    </w:p>
    <w:p>
      <w:pPr>
        <w:ind w:right="20" w:firstLine="8"/>
        <w:spacing w:after="0" w:line="237" w:lineRule="auto"/>
        <w:tabs>
          <w:tab w:leader="none" w:pos="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xml:space="preserve"> 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RSU granted to the Grantee as set forth in this Agreement. Dividend equivalents, if credited, shall be withheld by the Company for the Grantee's Account and shall be subject to the same vesting and forfeiture restrictions as the RSUs to which they are attributable and shall be paid on the same date that the RSUs to which they are attributable are settled and paid in accordance with Section 6 hereof. If your vested RSUs have been settled after the record date but prior to the dividend payment date, any RSUs that would be credited pursuant to the preceding sentence shall be settled on or as soon as practicable after the dividend payment date.</w:t>
      </w:r>
    </w:p>
    <w:p>
      <w:pPr>
        <w:spacing w:after="0" w:line="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40" w:hanging="326"/>
        <w:spacing w:after="0" w:line="241" w:lineRule="auto"/>
        <w:tabs>
          <w:tab w:leader="none" w:pos="81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Settlement</w:t>
      </w:r>
      <w:r>
        <w:rPr>
          <w:rFonts w:ascii="Times New Roman" w:cs="Times New Roman" w:eastAsia="Times New Roman" w:hAnsi="Times New Roman"/>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7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75" w:lineRule="exact"/>
        <w:rPr>
          <w:rFonts w:ascii="Times New Roman" w:cs="Times New Roman" w:eastAsia="Times New Roman" w:hAnsi="Times New Roman"/>
          <w:sz w:val="18"/>
          <w:szCs w:val="18"/>
          <w:color w:val="auto"/>
        </w:rPr>
      </w:pPr>
    </w:p>
    <w:p>
      <w:pPr>
        <w:ind w:left="820" w:right="120" w:hanging="326"/>
        <w:spacing w:after="0" w:line="250" w:lineRule="auto"/>
        <w:tabs>
          <w:tab w:leader="none" w:pos="8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Your RSUs will be settled by the Company, via the issuance of Common Stock as described herein, on the date that the RSUs become vested and nonforfeitable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If the Original Issuance Date falls on a date that is not a business day, delivery shall instead occur on the next following business day. In addition, if:</w:t>
      </w:r>
    </w:p>
    <w:p>
      <w:pPr>
        <w:spacing w:after="0" w:line="68" w:lineRule="exact"/>
        <w:rPr>
          <w:rFonts w:ascii="Times New Roman" w:cs="Times New Roman" w:eastAsia="Times New Roman" w:hAnsi="Times New Roman"/>
          <w:sz w:val="18"/>
          <w:szCs w:val="18"/>
          <w:color w:val="auto"/>
        </w:rPr>
      </w:pPr>
    </w:p>
    <w:p>
      <w:pPr>
        <w:ind w:left="1460" w:right="60" w:hanging="413"/>
        <w:spacing w:after="0" w:line="239" w:lineRule="auto"/>
        <w:tabs>
          <w:tab w:leader="none" w:pos="146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 Arrangement</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1460" w:right="280" w:hanging="463"/>
        <w:spacing w:after="0" w:line="245" w:lineRule="auto"/>
        <w:tabs>
          <w:tab w:leader="none" w:pos="146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RSU, and (B) not to permit you to enter into a “same day sale” commitment with a broker-dealer pursuant to Section 7 of this Agreement (including but not limited to a commitment under a 10b5-1</w:t>
      </w:r>
    </w:p>
    <w:p>
      <w:pPr>
        <w:sectPr>
          <w:pgSz w:w="11900" w:h="16838" w:orient="portrait"/>
          <w:cols w:equalWidth="0" w:num="1">
            <w:col w:w="11240"/>
          </w:cols>
          <w:pgMar w:left="320" w:top="11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394" w:lineRule="exact"/>
        <w:rPr>
          <w:sz w:val="20"/>
          <w:szCs w:val="20"/>
          <w:color w:val="auto"/>
        </w:rPr>
      </w:pPr>
    </w:p>
    <w:p>
      <w:pPr>
        <w:ind w:left="1460" w:right="120"/>
        <w:spacing w:after="0" w:line="237" w:lineRule="auto"/>
        <w:rPr>
          <w:sz w:val="20"/>
          <w:szCs w:val="20"/>
          <w:color w:val="auto"/>
        </w:rPr>
      </w:pPr>
      <w:r>
        <w:rPr>
          <w:rFonts w:ascii="Times New Roman" w:cs="Times New Roman" w:eastAsia="Times New Roman" w:hAnsi="Times New Roman"/>
          <w:sz w:val="18"/>
          <w:szCs w:val="18"/>
          <w:color w:val="auto"/>
        </w:rPr>
        <w:t>Arrangement) and (C) not to permit you to pay your Withholding Taxes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RSU are no longer subject to a “substantial risk of forfeiture” within the meaning of Treasury Regulations Section 1.409A-1(d).</w:t>
      </w:r>
    </w:p>
    <w:p>
      <w:pPr>
        <w:spacing w:after="0" w:line="79" w:lineRule="exact"/>
        <w:rPr>
          <w:sz w:val="20"/>
          <w:szCs w:val="20"/>
          <w:color w:val="auto"/>
        </w:rPr>
      </w:pPr>
    </w:p>
    <w:p>
      <w:pPr>
        <w:ind w:firstLine="8"/>
        <w:spacing w:after="0" w:line="236" w:lineRule="auto"/>
        <w:tabs>
          <w:tab w:leader="none" w:pos="64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Corporate Transactions and Other Events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820" w:right="120" w:hanging="326"/>
        <w:spacing w:after="0" w:line="264" w:lineRule="auto"/>
        <w:tabs>
          <w:tab w:leader="none" w:pos="81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 Stock Split and Reverse Stock Split</w:t>
      </w:r>
      <w:r>
        <w:rPr>
          <w:rFonts w:ascii="Times New Roman" w:cs="Times New Roman" w:eastAsia="Times New Roman" w:hAnsi="Times New Roman"/>
          <w:sz w:val="17"/>
          <w:szCs w:val="17"/>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57" w:lineRule="exact"/>
        <w:rPr>
          <w:rFonts w:ascii="Times New Roman" w:cs="Times New Roman" w:eastAsia="Times New Roman" w:hAnsi="Times New Roman"/>
          <w:sz w:val="17"/>
          <w:szCs w:val="17"/>
          <w:color w:val="auto"/>
        </w:rPr>
      </w:pPr>
    </w:p>
    <w:p>
      <w:pPr>
        <w:ind w:left="820" w:right="60" w:hanging="326"/>
        <w:spacing w:after="0" w:line="237" w:lineRule="auto"/>
        <w:tabs>
          <w:tab w:leader="none" w:pos="8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Other Events</w:t>
      </w:r>
      <w:r>
        <w:rPr>
          <w:rFonts w:ascii="Times New Roman" w:cs="Times New Roman" w:eastAsia="Times New Roman" w:hAnsi="Times New Roman"/>
          <w:sz w:val="18"/>
          <w:szCs w:val="18"/>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81" w:lineRule="exact"/>
        <w:rPr>
          <w:rFonts w:ascii="Times New Roman" w:cs="Times New Roman" w:eastAsia="Times New Roman" w:hAnsi="Times New Roman"/>
          <w:sz w:val="18"/>
          <w:szCs w:val="18"/>
          <w:color w:val="auto"/>
        </w:rPr>
      </w:pPr>
    </w:p>
    <w:p>
      <w:pPr>
        <w:ind w:firstLine="8"/>
        <w:spacing w:after="0" w:line="242" w:lineRule="auto"/>
        <w:tabs>
          <w:tab w:leader="none" w:pos="64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Service Relationship</w:t>
      </w:r>
      <w:r>
        <w:rPr>
          <w:rFonts w:ascii="Times New Roman" w:cs="Times New Roman" w:eastAsia="Times New Roman" w:hAnsi="Times New Roman"/>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ectPr>
          <w:pgSz w:w="11900" w:h="16838" w:orient="portrait"/>
          <w:cols w:equalWidth="0" w:num="1">
            <w:col w:w="11240"/>
          </w:cols>
          <w:pgMar w:left="320" w:top="117"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394" w:lineRule="exact"/>
        <w:rPr>
          <w:sz w:val="20"/>
          <w:szCs w:val="20"/>
          <w:color w:val="auto"/>
        </w:rPr>
      </w:pPr>
    </w:p>
    <w:p>
      <w:pPr>
        <w:ind w:right="320" w:firstLine="8"/>
        <w:spacing w:after="0" w:line="266" w:lineRule="auto"/>
        <w:tabs>
          <w:tab w:leader="none" w:pos="6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You shall not have any of the rights of a stockholder with respect to any shares of Common Stock that may be issued in settlement of the RSUs until such shares of Common Stock have been issued to you.</w:t>
      </w:r>
    </w:p>
    <w:p>
      <w:pPr>
        <w:spacing w:after="0" w:line="54" w:lineRule="exact"/>
        <w:rPr>
          <w:rFonts w:ascii="Times New Roman" w:cs="Times New Roman" w:eastAsia="Times New Roman" w:hAnsi="Times New Roman"/>
          <w:sz w:val="18"/>
          <w:szCs w:val="18"/>
          <w:color w:val="auto"/>
        </w:rPr>
      </w:pPr>
    </w:p>
    <w:p>
      <w:pPr>
        <w:ind w:right="140" w:firstLine="8"/>
        <w:spacing w:after="0" w:line="238" w:lineRule="auto"/>
        <w:tabs>
          <w:tab w:leader="none" w:pos="63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upon Breach of Non-solicitation or Confidentiality Covenants.</w:t>
      </w:r>
      <w:r>
        <w:rPr>
          <w:rFonts w:ascii="Times New Roman" w:cs="Times New Roman" w:eastAsia="Times New Roman" w:hAnsi="Times New Roman"/>
          <w:sz w:val="18"/>
          <w:szCs w:val="18"/>
          <w:color w:val="auto"/>
        </w:rPr>
        <w:t xml:space="preserve"> 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RSUs will be forfeited; and (ii) you shall, within ten (10) days of notice of the Administrator’s determination of such breach, repay all cash or shares of Common Stock paid in settlement of the RSUs within twelve (12) months preceding your termination from Service. The forfeiture and clawback rights in this Section are in addition to, and not in substitution of, any rights of repurchase or other recoupment rights the Company may have.</w:t>
      </w:r>
    </w:p>
    <w:p>
      <w:pPr>
        <w:spacing w:after="0" w:line="77" w:lineRule="exact"/>
        <w:rPr>
          <w:rFonts w:ascii="Times New Roman" w:cs="Times New Roman" w:eastAsia="Times New Roman" w:hAnsi="Times New Roman"/>
          <w:sz w:val="18"/>
          <w:szCs w:val="18"/>
          <w:color w:val="auto"/>
        </w:rPr>
      </w:pPr>
    </w:p>
    <w:p>
      <w:pPr>
        <w:ind w:right="260" w:firstLine="8"/>
        <w:spacing w:after="0" w:line="242" w:lineRule="auto"/>
        <w:tabs>
          <w:tab w:leader="none" w:pos="6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Rights</w:t>
      </w:r>
      <w:r>
        <w:rPr>
          <w:rFonts w:ascii="Times New Roman" w:cs="Times New Roman" w:eastAsia="Times New Roman" w:hAnsi="Times New Roman"/>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Issuance of Shares</w:t>
      </w:r>
      <w:r>
        <w:rPr>
          <w:rFonts w:ascii="Times New Roman" w:cs="Times New Roman" w:eastAsia="Times New Roman" w:hAnsi="Times New Roman"/>
          <w:sz w:val="18"/>
          <w:szCs w:val="18"/>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77" w:lineRule="exact"/>
        <w:rPr>
          <w:rFonts w:ascii="Times New Roman" w:cs="Times New Roman" w:eastAsia="Times New Roman" w:hAnsi="Times New Roman"/>
          <w:sz w:val="18"/>
          <w:szCs w:val="18"/>
          <w:color w:val="auto"/>
        </w:rPr>
      </w:pPr>
    </w:p>
    <w:p>
      <w:pPr>
        <w:ind w:right="20" w:firstLine="8"/>
        <w:spacing w:after="0" w:line="238" w:lineRule="auto"/>
        <w:tabs>
          <w:tab w:leader="none" w:pos="6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83" w:lineRule="exact"/>
        <w:rPr>
          <w:rFonts w:ascii="Times New Roman" w:cs="Times New Roman" w:eastAsia="Times New Roman" w:hAnsi="Times New Roman"/>
          <w:sz w:val="18"/>
          <w:szCs w:val="18"/>
          <w:color w:val="auto"/>
        </w:rPr>
      </w:pPr>
    </w:p>
    <w:p>
      <w:pPr>
        <w:jc w:val="both"/>
        <w:ind w:right="180" w:firstLine="8"/>
        <w:spacing w:after="0" w:line="242" w:lineRule="auto"/>
        <w:tabs>
          <w:tab w:leader="none" w:pos="6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relevant Notice and the Plan, contain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75" w:lineRule="exact"/>
        <w:rPr>
          <w:rFonts w:ascii="Times New Roman" w:cs="Times New Roman" w:eastAsia="Times New Roman" w:hAnsi="Times New Roman"/>
          <w:sz w:val="18"/>
          <w:szCs w:val="18"/>
          <w:color w:val="auto"/>
        </w:rPr>
      </w:pPr>
    </w:p>
    <w:p>
      <w:pPr>
        <w:jc w:val="both"/>
        <w:ind w:right="220" w:firstLine="8"/>
        <w:spacing w:after="0" w:line="250" w:lineRule="auto"/>
        <w:tabs>
          <w:tab w:leader="none" w:pos="6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from time to time by the Administrator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68" w:lineRule="exact"/>
        <w:rPr>
          <w:rFonts w:ascii="Times New Roman" w:cs="Times New Roman" w:eastAsia="Times New Roman" w:hAnsi="Times New Roman"/>
          <w:sz w:val="18"/>
          <w:szCs w:val="18"/>
          <w:color w:val="auto"/>
        </w:rPr>
      </w:pPr>
    </w:p>
    <w:p>
      <w:pPr>
        <w:ind w:firstLine="8"/>
        <w:spacing w:after="0" w:line="239" w:lineRule="auto"/>
        <w:tabs>
          <w:tab w:leader="none" w:pos="6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Savings Clause</w:t>
      </w:r>
      <w:r>
        <w:rPr>
          <w:rFonts w:ascii="Times New Roman" w:cs="Times New Roman" w:eastAsia="Times New Roman" w:hAnsi="Times New Roman"/>
          <w:sz w:val="18"/>
          <w:szCs w:val="18"/>
          <w:color w:val="auto"/>
        </w:rPr>
        <w:t>. This Agreement is intended to comply with, or otherwise be exempt from, the requirements of Section 409A of the Code and shall be construed and administered in accordance with such intent. Notwithstanding any other provision of this Agreement, payments provided under this Agreement may only be made upon an event and in a manner that complies with Section 409A of the Code or an applicable exemption. Any payments considered deferred compensation to be made under this Agreement in connection with a termination of employment shall only be made if such termination of employment constitutes a "separation from service" under Code Section 409A.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Notwithstanding the foregoing, if it is determined that the RSUs are considered deferred</w:t>
      </w:r>
    </w:p>
    <w:p>
      <w:pPr>
        <w:sectPr>
          <w:pgSz w:w="11900" w:h="16838" w:orient="portrait"/>
          <w:cols w:equalWidth="0" w:num="1">
            <w:col w:w="11240"/>
          </w:cols>
          <w:pgMar w:left="320" w:top="117"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39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compensation subject to Code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63" w:lineRule="exact"/>
        <w:rPr>
          <w:sz w:val="20"/>
          <w:szCs w:val="20"/>
          <w:color w:val="auto"/>
        </w:rPr>
      </w:pPr>
    </w:p>
    <w:p>
      <w:pPr>
        <w:ind w:right="40" w:firstLine="8"/>
        <w:spacing w:after="0" w:line="245" w:lineRule="auto"/>
        <w:tabs>
          <w:tab w:leader="none" w:pos="6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Minimize Taxes</w:t>
      </w:r>
      <w:r>
        <w:rPr>
          <w:rFonts w:ascii="Times New Roman" w:cs="Times New Roman" w:eastAsia="Times New Roman" w:hAnsi="Times New Roman"/>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72" w:lineRule="exact"/>
        <w:rPr>
          <w:rFonts w:ascii="Times New Roman" w:cs="Times New Roman" w:eastAsia="Times New Roman" w:hAnsi="Times New Roman"/>
          <w:sz w:val="18"/>
          <w:szCs w:val="18"/>
          <w:color w:val="auto"/>
        </w:rPr>
      </w:pPr>
    </w:p>
    <w:p>
      <w:pPr>
        <w:ind w:right="340" w:firstLine="8"/>
        <w:spacing w:after="0" w:line="272" w:lineRule="auto"/>
        <w:tabs>
          <w:tab w:leader="none" w:pos="643"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Conformity with Plan</w:t>
      </w:r>
      <w:r>
        <w:rPr>
          <w:rFonts w:ascii="Times New Roman" w:cs="Times New Roman" w:eastAsia="Times New Roman" w:hAnsi="Times New Roman"/>
          <w:sz w:val="17"/>
          <w:szCs w:val="17"/>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50" w:lineRule="exact"/>
        <w:rPr>
          <w:rFonts w:ascii="Times New Roman" w:cs="Times New Roman" w:eastAsia="Times New Roman" w:hAnsi="Times New Roman"/>
          <w:sz w:val="17"/>
          <w:szCs w:val="17"/>
          <w:color w:val="auto"/>
        </w:rPr>
      </w:pPr>
    </w:p>
    <w:p>
      <w:pPr>
        <w:ind w:right="220" w:firstLine="8"/>
        <w:spacing w:after="0" w:line="266" w:lineRule="auto"/>
        <w:tabs>
          <w:tab w:leader="none" w:pos="6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54" w:lineRule="exact"/>
        <w:rPr>
          <w:rFonts w:ascii="Times New Roman" w:cs="Times New Roman" w:eastAsia="Times New Roman" w:hAnsi="Times New Roman"/>
          <w:sz w:val="18"/>
          <w:szCs w:val="18"/>
          <w:color w:val="auto"/>
        </w:rPr>
      </w:pPr>
    </w:p>
    <w:p>
      <w:pPr>
        <w:ind w:right="100" w:firstLine="8"/>
        <w:spacing w:after="0" w:line="245" w:lineRule="auto"/>
        <w:tabs>
          <w:tab w:leader="none" w:pos="6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Employee Benefit Plans</w:t>
      </w:r>
      <w:r>
        <w:rPr>
          <w:rFonts w:ascii="Times New Roman" w:cs="Times New Roman" w:eastAsia="Times New Roman" w:hAnsi="Times New Roman"/>
          <w:sz w:val="18"/>
          <w:szCs w:val="18"/>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59" w:lineRule="exact"/>
        <w:rPr>
          <w:rFonts w:ascii="Times New Roman" w:cs="Times New Roman" w:eastAsia="Times New Roman" w:hAnsi="Times New Roman"/>
          <w:sz w:val="18"/>
          <w:szCs w:val="18"/>
          <w:color w:val="auto"/>
        </w:rPr>
      </w:pPr>
    </w:p>
    <w:p>
      <w:pPr>
        <w:ind w:right="20" w:firstLine="8"/>
        <w:spacing w:after="0"/>
        <w:tabs>
          <w:tab w:leader="none" w:pos="6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76" w:lineRule="exact"/>
        <w:rPr>
          <w:rFonts w:ascii="Times New Roman" w:cs="Times New Roman" w:eastAsia="Times New Roman" w:hAnsi="Times New Roman"/>
          <w:sz w:val="18"/>
          <w:szCs w:val="18"/>
          <w:color w:val="auto"/>
        </w:rPr>
      </w:pPr>
    </w:p>
    <w:p>
      <w:pPr>
        <w:ind w:right="20" w:firstLine="8"/>
        <w:spacing w:after="0" w:line="237" w:lineRule="auto"/>
        <w:tabs>
          <w:tab w:leader="none" w:pos="6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affect the meaning or interpretation of this Agreement.</w:t>
      </w:r>
    </w:p>
    <w:p>
      <w:pPr>
        <w:spacing w:after="0" w:line="103" w:lineRule="exact"/>
        <w:rPr>
          <w:rFonts w:ascii="Times New Roman" w:cs="Times New Roman" w:eastAsia="Times New Roman" w:hAnsi="Times New Roman"/>
          <w:sz w:val="18"/>
          <w:szCs w:val="18"/>
          <w:color w:val="auto"/>
        </w:rPr>
      </w:pPr>
    </w:p>
    <w:p>
      <w:pPr>
        <w:ind w:right="60" w:firstLine="8"/>
        <w:spacing w:after="0" w:line="241" w:lineRule="auto"/>
        <w:tabs>
          <w:tab w:leader="none" w:pos="6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75" w:lineRule="exact"/>
        <w:rPr>
          <w:rFonts w:ascii="Times New Roman" w:cs="Times New Roman" w:eastAsia="Times New Roman" w:hAnsi="Times New Roman"/>
          <w:sz w:val="18"/>
          <w:szCs w:val="18"/>
          <w:color w:val="auto"/>
        </w:rPr>
      </w:pPr>
    </w:p>
    <w:p>
      <w:pPr>
        <w:ind w:right="340" w:firstLine="8"/>
        <w:spacing w:after="0" w:line="250" w:lineRule="auto"/>
        <w:tabs>
          <w:tab w:leader="none" w:pos="6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Future Entitlement</w:t>
      </w:r>
      <w:r>
        <w:rPr>
          <w:rFonts w:ascii="Times New Roman" w:cs="Times New Roman" w:eastAsia="Times New Roman" w:hAnsi="Times New Roman"/>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-869950</wp:posOffset>
            </wp:positionV>
            <wp:extent cx="285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39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79" w:lineRule="exact"/>
        <w:rPr>
          <w:sz w:val="20"/>
          <w:szCs w:val="20"/>
          <w:color w:val="auto"/>
        </w:rPr>
      </w:pPr>
    </w:p>
    <w:p>
      <w:pPr>
        <w:ind w:right="120" w:firstLine="8"/>
        <w:spacing w:after="0" w:line="236" w:lineRule="auto"/>
        <w:tabs>
          <w:tab w:leader="none" w:pos="64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Glossary begins on next page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3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GLOSSARY</w:t>
      </w:r>
    </w:p>
    <w:p>
      <w:pPr>
        <w:spacing w:after="0" w:line="104" w:lineRule="exact"/>
        <w:rPr>
          <w:sz w:val="20"/>
          <w:szCs w:val="20"/>
          <w:color w:val="auto"/>
        </w:rPr>
      </w:pPr>
    </w:p>
    <w:p>
      <w:pPr>
        <w:ind w:right="280" w:firstLine="644"/>
        <w:spacing w:after="0" w:line="271" w:lineRule="auto"/>
        <w:tabs>
          <w:tab w:leader="none" w:pos="12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of Directors of Skyward Specialty Insurance Group, Inc. or such committee or committees appointed by the Board to administer the Plan.</w:t>
      </w:r>
    </w:p>
    <w:p>
      <w:pPr>
        <w:spacing w:after="0" w:line="4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set forth in the Plan.</w:t>
      </w:r>
    </w:p>
    <w:p>
      <w:pPr>
        <w:spacing w:after="0" w:line="103"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document, as amended from time to time, together with the Plan which is incorporated herein by</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7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Plan.</w:t>
      </w:r>
    </w:p>
    <w:p>
      <w:pPr>
        <w:spacing w:after="0" w:line="90"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set forth in the Plan.</w:t>
      </w:r>
    </w:p>
    <w:p>
      <w:pPr>
        <w:spacing w:after="0" w:line="103" w:lineRule="exact"/>
        <w:rPr>
          <w:rFonts w:ascii="Times New Roman" w:cs="Times New Roman" w:eastAsia="Times New Roman" w:hAnsi="Times New Roman"/>
          <w:sz w:val="18"/>
          <w:szCs w:val="18"/>
          <w:color w:val="auto"/>
        </w:rPr>
      </w:pPr>
    </w:p>
    <w:p>
      <w:pPr>
        <w:jc w:val="both"/>
        <w:ind w:right="80" w:firstLine="644"/>
        <w:spacing w:after="0" w:line="301" w:lineRule="auto"/>
        <w:tabs>
          <w:tab w:leader="none" w:pos="1296"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“Change in Control Qualifying Termination” </w:t>
      </w:r>
      <w:r>
        <w:rPr>
          <w:rFonts w:ascii="Times New Roman" w:cs="Times New Roman" w:eastAsia="Times New Roman" w:hAnsi="Times New Roman"/>
          <w:sz w:val="17"/>
          <w:szCs w:val="17"/>
          <w:color w:val="auto"/>
        </w:rPr>
        <w:t>shall mean a Qualifying Termination which occurs: (i) after the commencement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Potential Change in Control Period, and (ii) within the nine (9) month period immediately preceding the closing of such Change in Control.</w:t>
      </w:r>
    </w:p>
    <w:p>
      <w:pPr>
        <w:spacing w:after="0" w:line="22" w:lineRule="exact"/>
        <w:rPr>
          <w:rFonts w:ascii="Times New Roman" w:cs="Times New Roman" w:eastAsia="Times New Roman" w:hAnsi="Times New Roman"/>
          <w:sz w:val="17"/>
          <w:szCs w:val="17"/>
          <w:color w:val="auto"/>
        </w:rPr>
      </w:pPr>
    </w:p>
    <w:p>
      <w:pPr>
        <w:ind w:left="1300" w:hanging="656"/>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Treasury regulations and other guidance promulgated</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7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US$0.01 par value per share, of Skyward Specialty Insurance Group, Inc.</w:t>
      </w:r>
    </w:p>
    <w:p>
      <w:pPr>
        <w:spacing w:after="0" w:line="103" w:lineRule="exact"/>
        <w:rPr>
          <w:rFonts w:ascii="Times New Roman" w:cs="Times New Roman" w:eastAsia="Times New Roman" w:hAnsi="Times New Roman"/>
          <w:sz w:val="18"/>
          <w:szCs w:val="18"/>
          <w:color w:val="auto"/>
        </w:rPr>
      </w:pPr>
    </w:p>
    <w:p>
      <w:pPr>
        <w:ind w:right="60" w:firstLine="644"/>
        <w:spacing w:after="0" w:line="271" w:lineRule="auto"/>
        <w:tabs>
          <w:tab w:leader="none" w:pos="12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Skyward Specialty Insurance Group, Inc. and its Affiliates, except where the context otherwise requires. For purposes of determining whether a Change in Control has occurred, Company shall mean only Skyward Specialty Insurance Group, Inc.</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has the meaning set forth in the Plan.</w:t>
      </w:r>
    </w:p>
    <w:p>
      <w:pPr>
        <w:spacing w:after="0" w:line="103" w:lineRule="exact"/>
        <w:rPr>
          <w:rFonts w:ascii="Times New Roman" w:cs="Times New Roman" w:eastAsia="Times New Roman" w:hAnsi="Times New Roman"/>
          <w:sz w:val="18"/>
          <w:szCs w:val="18"/>
          <w:color w:val="auto"/>
        </w:rPr>
      </w:pPr>
    </w:p>
    <w:p>
      <w:pPr>
        <w:ind w:right="40" w:firstLine="644"/>
        <w:spacing w:after="0" w:line="237" w:lineRule="auto"/>
        <w:tabs>
          <w:tab w:leader="none" w:pos="12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your written consent, (i) a material reduction in your base salary or annual cash incentive targets; (ii) any material breach of this Agreement by the Company; or (iii) any relocation of your principal place of employment of more than fifty (50) miles (unless you are currently working, or is provided the opportunity to work, remotely or otherwise not required to relocate your principal place of employment, in which case this subpart (iii)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spacing w:after="0" w:line="7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effective date of a grant of RSUs made to you as set forth in the relevant Notice.</w:t>
      </w:r>
    </w:p>
    <w:p>
      <w:pPr>
        <w:spacing w:after="0" w:line="103" w:lineRule="exact"/>
        <w:rPr>
          <w:rFonts w:ascii="Times New Roman" w:cs="Times New Roman" w:eastAsia="Times New Roman" w:hAnsi="Times New Roman"/>
          <w:sz w:val="18"/>
          <w:szCs w:val="18"/>
          <w:color w:val="auto"/>
        </w:rPr>
      </w:pPr>
    </w:p>
    <w:p>
      <w:pPr>
        <w:ind w:right="280" w:firstLine="644"/>
        <w:spacing w:after="0" w:line="271" w:lineRule="auto"/>
        <w:tabs>
          <w:tab w:leader="none" w:pos="12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the statement, letter or other written notification provided to you by the Company setting forth the terms of a grant of RSUs made to you.</w:t>
      </w:r>
    </w:p>
    <w:p>
      <w:pPr>
        <w:spacing w:after="0" w:line="45"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the Skyward Specialty Insurance Group, Inc. 2022 Long-Term Incentive Plan, as amended from time to time.</w:t>
      </w:r>
    </w:p>
    <w:p>
      <w:pPr>
        <w:spacing w:after="0" w:line="103" w:lineRule="exact"/>
        <w:rPr>
          <w:rFonts w:ascii="Times New Roman" w:cs="Times New Roman" w:eastAsia="Times New Roman" w:hAnsi="Times New Roman"/>
          <w:sz w:val="18"/>
          <w:szCs w:val="18"/>
          <w:color w:val="auto"/>
        </w:rPr>
      </w:pPr>
    </w:p>
    <w:p>
      <w:pPr>
        <w:ind w:right="200" w:firstLine="644"/>
        <w:spacing w:after="0" w:line="241" w:lineRule="auto"/>
        <w:tabs>
          <w:tab w:leader="none" w:pos="12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Change in Control Period” </w:t>
      </w:r>
      <w:r>
        <w:rPr>
          <w:rFonts w:ascii="Times New Roman" w:cs="Times New Roman" w:eastAsia="Times New Roman" w:hAnsi="Times New Roman"/>
          <w:sz w:val="18"/>
          <w:szCs w:val="18"/>
          <w:color w:val="auto"/>
        </w:rPr>
        <w:t>shall mean the period commencing on the date any of the following occur: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enters into an agreement or a letter of intent to enter into an agreement to take actions, the consummation of which would result in the occurrence of a Change in Control, or (ii) the Company or any person or entity publicly announces an intention to take or to consider taking actions which, if consummated, would constitute a Change in Control.</w:t>
      </w:r>
    </w:p>
    <w:p>
      <w:pPr>
        <w:spacing w:after="0" w:line="200" w:lineRule="exact"/>
        <w:rPr>
          <w:sz w:val="20"/>
          <w:szCs w:val="20"/>
          <w:color w:val="auto"/>
        </w:rPr>
      </w:pPr>
    </w:p>
    <w:p>
      <w:pPr>
        <w:spacing w:after="0" w:line="224" w:lineRule="exact"/>
        <w:rPr>
          <w:sz w:val="20"/>
          <w:szCs w:val="20"/>
          <w:color w:val="auto"/>
        </w:rPr>
      </w:pPr>
    </w:p>
    <w:p>
      <w:pPr>
        <w:ind w:right="60" w:firstLine="644"/>
        <w:spacing w:after="0"/>
        <w:tabs>
          <w:tab w:leader="none" w:pos="12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Retirement</w:t>
      </w:r>
      <w:r>
        <w:rPr>
          <w:rFonts w:ascii="Times New Roman" w:cs="Times New Roman" w:eastAsia="Times New Roman" w:hAnsi="Times New Roman"/>
          <w:sz w:val="18"/>
          <w:szCs w:val="18"/>
          <w:color w:val="auto"/>
        </w:rPr>
        <w:t>” means your “separation from service” as such term is defined under Section 409A of the Code and applicable regulations, where all the following requirements are met: (i) your termination occurs on a date that is at least one year following the beginning of the Performance Period, (ii) your termination is not a termination of Service for Cause, (iii) your termination occurs after your attainment of minimum age of fifty-five (55), (iv) as of your termination you have completed at least (5) years of continuous Service, (v) you notify the Chief People and Administrative Officer in writing at least 12 months’ in advance of your effective retirement date; (vi) you continue to actively assist the Company in succession planning and the transitioning of your responsibilities through your scheduled retirement date as determined and directed by the Company in its sole discretion; and (vii) you timely</w:t>
      </w:r>
    </w:p>
    <w:p>
      <w:pPr>
        <w:sectPr>
          <w:pgSz w:w="11900" w:h="16838" w:orient="portrait"/>
          <w:cols w:equalWidth="0" w:num="1">
            <w:col w:w="10580"/>
          </w:cols>
          <w:pgMar w:left="980" w:top="117"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39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right="200" w:firstLine="644"/>
        <w:spacing w:after="0" w:line="239" w:lineRule="auto"/>
        <w:tabs>
          <w:tab w:leader="none" w:pos="12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“Qualifying Termination” </w:t>
      </w:r>
      <w:r>
        <w:rPr>
          <w:rFonts w:ascii="Times New Roman" w:cs="Times New Roman" w:eastAsia="Times New Roman" w:hAnsi="Times New Roman"/>
          <w:sz w:val="18"/>
          <w:szCs w:val="18"/>
          <w:color w:val="auto"/>
        </w:rPr>
        <w:t>means your termination without Cause or resignation for Good Reason which constitutes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“separation from service” as such term is defined under Section 409A of the Code and applicable regulations; provided that you timely execute and deliver to the Company a signed waiver and release of claims in such form as is provided to you by the Company in connection with your termination of Service and permit it to become effective in accordance with its terms (such applicable date of release effectiveness,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440" w:firstLine="644"/>
        <w:spacing w:after="0" w:line="271" w:lineRule="auto"/>
        <w:tabs>
          <w:tab w:leader="none" w:pos="12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the Company’s commitment to issue one share of Common Stock at a future date, subject to the terms of the Agreement and the Plan.</w:t>
      </w:r>
    </w:p>
    <w:p>
      <w:pPr>
        <w:spacing w:after="0" w:line="45" w:lineRule="exact"/>
        <w:rPr>
          <w:rFonts w:ascii="Times New Roman" w:cs="Times New Roman" w:eastAsia="Times New Roman" w:hAnsi="Times New Roman"/>
          <w:sz w:val="18"/>
          <w:szCs w:val="18"/>
          <w:color w:val="auto"/>
        </w:rPr>
      </w:pPr>
    </w:p>
    <w:p>
      <w:pPr>
        <w:ind w:right="40" w:firstLine="644"/>
        <w:spacing w:after="0" w:line="246" w:lineRule="auto"/>
        <w:tabs>
          <w:tab w:leader="none" w:pos="12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spacing w:after="0" w:line="69" w:lineRule="exact"/>
        <w:rPr>
          <w:rFonts w:ascii="Times New Roman" w:cs="Times New Roman" w:eastAsia="Times New Roman" w:hAnsi="Times New Roman"/>
          <w:sz w:val="18"/>
          <w:szCs w:val="18"/>
          <w:color w:val="auto"/>
        </w:rPr>
      </w:pPr>
    </w:p>
    <w:p>
      <w:pPr>
        <w:ind w:right="180" w:firstLine="644"/>
        <w:spacing w:after="0" w:line="246" w:lineRule="auto"/>
        <w:tabs>
          <w:tab w:leader="none" w:pos="12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FFFF"/>
        </w:rPr>
        <w:t>__</w:t>
      </w:r>
    </w:p>
    <w:p>
      <w:pPr>
        <w:sectPr>
          <w:pgSz w:w="11900" w:h="16838" w:orient="portrait"/>
          <w:cols w:equalWidth="0" w:num="1">
            <w:col w:w="10580"/>
          </w:cols>
          <w:pgMar w:left="980" w:top="11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LONG-TERM CASH BONUS INCENTIVE PLAN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February ___, 2024</w:t>
      </w:r>
    </w:p>
    <w:p>
      <w:pPr>
        <w:spacing w:after="0" w:line="90" w:lineRule="exact"/>
        <w:rPr>
          <w:sz w:val="20"/>
          <w:szCs w:val="20"/>
          <w:color w:val="auto"/>
        </w:rPr>
      </w:pPr>
    </w:p>
    <w:p>
      <w:pPr>
        <w:jc w:val="both"/>
        <w:ind w:right="560" w:firstLine="8"/>
        <w:spacing w:after="0" w:line="252" w:lineRule="auto"/>
        <w:tabs>
          <w:tab w:leader="none" w:pos="64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the Skyward Specialty Insurance Group, Inc. Long-Term Cash Bonus Incentive Plan is to promote the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Skyward Specialty Insurance Group, Inc. by providing both an incentive and a financial reward to Underwriting Division Leaders and certain senior underwriting managers and other key contributors who contribute most to the operating results and growth of the Company.</w:t>
      </w:r>
    </w:p>
    <w:p>
      <w:pPr>
        <w:spacing w:after="0" w:line="63" w:lineRule="exact"/>
        <w:rPr>
          <w:sz w:val="20"/>
          <w:szCs w:val="20"/>
          <w:color w:val="auto"/>
        </w:rPr>
      </w:pPr>
    </w:p>
    <w:p>
      <w:pPr>
        <w:ind w:left="640" w:hanging="632"/>
        <w:spacing w:after="0"/>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Whenever used herein, the following terms will have the respective meanings set forth below:</w:t>
      </w:r>
    </w:p>
    <w:p>
      <w:pPr>
        <w:spacing w:after="0" w:line="92" w:lineRule="exact"/>
        <w:rPr>
          <w:sz w:val="20"/>
          <w:szCs w:val="20"/>
          <w:color w:val="auto"/>
        </w:rPr>
      </w:pPr>
    </w:p>
    <w:p>
      <w:pPr>
        <w:ind w:left="820" w:right="100" w:hanging="323"/>
        <w:spacing w:after="0" w:line="25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i w:val="1"/>
          <w:iCs w:val="1"/>
          <w:color w:val="auto"/>
        </w:rPr>
        <w:t>Award Notice</w:t>
      </w:r>
      <w:r>
        <w:rPr>
          <w:rFonts w:ascii="Times New Roman" w:cs="Times New Roman" w:eastAsia="Times New Roman" w:hAnsi="Times New Roman"/>
          <w:sz w:val="18"/>
          <w:szCs w:val="18"/>
          <w:color w:val="auto"/>
        </w:rPr>
        <w:t>” means the written document(s), including an electronic writing acceptable to the Committee, and any addendum or supplement thereto, memorializing the terms and conditions of the Bonus Payment awarded pursuant to the Plan and which shall incorporate the terms of the Plan.</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i w:val="1"/>
          <w:iCs w:val="1"/>
          <w:color w:val="auto"/>
        </w:rPr>
        <w:t>Bonus Payment</w:t>
      </w:r>
      <w:r>
        <w:rPr>
          <w:rFonts w:ascii="Times New Roman" w:cs="Times New Roman" w:eastAsia="Times New Roman" w:hAnsi="Times New Roman"/>
          <w:sz w:val="18"/>
          <w:szCs w:val="18"/>
          <w:color w:val="auto"/>
        </w:rPr>
        <w:t xml:space="preserve">” means the amount payable to a Participant under Article IV of the Plan, and calculated as set forth in </w:t>
      </w:r>
      <w:r>
        <w:rPr>
          <w:rFonts w:ascii="Times New Roman" w:cs="Times New Roman" w:eastAsia="Times New Roman" w:hAnsi="Times New Roman"/>
          <w:sz w:val="18"/>
          <w:szCs w:val="18"/>
          <w:b w:val="1"/>
          <w:bCs w:val="1"/>
          <w:u w:val="single" w:color="auto"/>
          <w:color w:val="auto"/>
        </w:rPr>
        <w:t>Exhibit A.</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means the Chief Executive Officer of the Company.</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have the same meaning as set forth in the Company’s 2022 Long-Term Incentive Plan, as amended from time to time.</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the Compensation Committee of the Board.</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Skyward Specialty Insurance Group, Inc. or any successor thereto.</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i w:val="1"/>
          <w:iCs w:val="1"/>
          <w:color w:val="auto"/>
        </w:rPr>
        <w:t>Measurement Period</w:t>
      </w:r>
      <w:r>
        <w:rPr>
          <w:rFonts w:ascii="Times New Roman" w:cs="Times New Roman" w:eastAsia="Times New Roman" w:hAnsi="Times New Roman"/>
          <w:sz w:val="18"/>
          <w:szCs w:val="18"/>
          <w:color w:val="auto"/>
        </w:rPr>
        <w:t>” means each calendar year within a Performance Period.</w:t>
      </w:r>
    </w:p>
    <w:p>
      <w:pPr>
        <w:spacing w:after="0" w:line="104" w:lineRule="exact"/>
        <w:rPr>
          <w:sz w:val="20"/>
          <w:szCs w:val="20"/>
          <w:color w:val="auto"/>
        </w:rPr>
      </w:pPr>
    </w:p>
    <w:p>
      <w:pPr>
        <w:ind w:left="820" w:right="140" w:hanging="323"/>
        <w:spacing w:after="0" w:line="268" w:lineRule="auto"/>
        <w:rPr>
          <w:sz w:val="20"/>
          <w:szCs w:val="20"/>
          <w:color w:val="auto"/>
        </w:rPr>
      </w:pPr>
      <w:r>
        <w:rPr>
          <w:rFonts w:ascii="Times New Roman" w:cs="Times New Roman" w:eastAsia="Times New Roman" w:hAnsi="Times New Roman"/>
          <w:sz w:val="18"/>
          <w:szCs w:val="18"/>
          <w:color w:val="auto"/>
        </w:rPr>
        <w:t>2.10“</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 eligible employee or other individual who provides services to the Company or its subsidiaries and who is described in Section III as a participant in the Plan.</w:t>
      </w:r>
    </w:p>
    <w:p>
      <w:pPr>
        <w:spacing w:after="0" w:line="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means this Skyward Specialty Insurance Group, Inc. Long-Term Cash Bonus Incentive Plan, as in effect from time to time.</w:t>
      </w:r>
    </w:p>
    <w:p>
      <w:pPr>
        <w:spacing w:after="0" w:line="104" w:lineRule="exact"/>
        <w:rPr>
          <w:sz w:val="20"/>
          <w:szCs w:val="20"/>
          <w:color w:val="auto"/>
        </w:rPr>
      </w:pPr>
    </w:p>
    <w:p>
      <w:pPr>
        <w:jc w:val="right"/>
        <w:ind w:left="500" w:right="40"/>
        <w:spacing w:after="0" w:line="262" w:lineRule="auto"/>
        <w:rPr>
          <w:sz w:val="20"/>
          <w:szCs w:val="20"/>
          <w:color w:val="auto"/>
        </w:rPr>
      </w:pPr>
      <w:r>
        <w:rPr>
          <w:rFonts w:ascii="Times New Roman" w:cs="Times New Roman" w:eastAsia="Times New Roman" w:hAnsi="Times New Roman"/>
          <w:sz w:val="17"/>
          <w:szCs w:val="17"/>
          <w:color w:val="auto"/>
        </w:rPr>
        <w:t>2.12“</w:t>
      </w:r>
      <w:r>
        <w:rPr>
          <w:rFonts w:ascii="Times New Roman" w:cs="Times New Roman" w:eastAsia="Times New Roman" w:hAnsi="Times New Roman"/>
          <w:sz w:val="17"/>
          <w:szCs w:val="17"/>
          <w:i w:val="1"/>
          <w:iCs w:val="1"/>
          <w:color w:val="auto"/>
        </w:rPr>
        <w:t>Qualifying Retirement</w:t>
      </w:r>
      <w:r>
        <w:rPr>
          <w:rFonts w:ascii="Times New Roman" w:cs="Times New Roman" w:eastAsia="Times New Roman" w:hAnsi="Times New Roman"/>
          <w:sz w:val="17"/>
          <w:szCs w:val="17"/>
          <w:color w:val="auto"/>
        </w:rPr>
        <w:t>” means a Participant’s “separation from service” as such term is defined under Section 409A of the Code and applicable regulations, other than on account of Participant’s termination of Service for Cause, after attainment of minimum age fifty-five (55) with at least</w:t>
      </w:r>
    </w:p>
    <w:p>
      <w:pPr>
        <w:ind w:left="820" w:right="20" w:hanging="2"/>
        <w:spacing w:after="0" w:line="237" w:lineRule="auto"/>
        <w:tabs>
          <w:tab w:leader="none" w:pos="107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continuous service with the Company, provided that: (i) the Participant notifies the Chief People and Administrative Officer in writing at least twelve (12) months’ in advance of the effective retirement date (unless the Company waives the requirement of such advance notice); (ii) the Participant continues to actively assist the Company in succession planning and the transitioning of his/her responsibilities through the Participant retirement date as determined and directed by the Company in its sole discretion; and (iii) the Participant timely executes a waiver and release of claims upon the Participant’s “separation from service.”</w:t>
      </w:r>
    </w:p>
    <w:p>
      <w:pPr>
        <w:spacing w:after="0" w:line="77" w:lineRule="exact"/>
        <w:rPr>
          <w:sz w:val="20"/>
          <w:szCs w:val="20"/>
          <w:color w:val="auto"/>
        </w:rPr>
      </w:pPr>
    </w:p>
    <w:p>
      <w:pPr>
        <w:ind w:left="820" w:right="200" w:hanging="323"/>
        <w:spacing w:after="0" w:line="268" w:lineRule="auto"/>
        <w:rPr>
          <w:sz w:val="20"/>
          <w:szCs w:val="20"/>
          <w:color w:val="auto"/>
        </w:rPr>
      </w:pPr>
      <w:r>
        <w:rPr>
          <w:rFonts w:ascii="Times New Roman" w:cs="Times New Roman" w:eastAsia="Times New Roman" w:hAnsi="Times New Roman"/>
          <w:sz w:val="18"/>
          <w:szCs w:val="18"/>
          <w:color w:val="auto"/>
        </w:rPr>
        <w:t>2.13“</w:t>
      </w:r>
      <w:r>
        <w:rPr>
          <w:rFonts w:ascii="Times New Roman" w:cs="Times New Roman" w:eastAsia="Times New Roman" w:hAnsi="Times New Roman"/>
          <w:sz w:val="18"/>
          <w:szCs w:val="18"/>
          <w:i w:val="1"/>
          <w:iCs w:val="1"/>
          <w:color w:val="auto"/>
        </w:rPr>
        <w:t>STIP Performance Factor</w:t>
      </w:r>
      <w:r>
        <w:rPr>
          <w:rFonts w:ascii="Times New Roman" w:cs="Times New Roman" w:eastAsia="Times New Roman" w:hAnsi="Times New Roman"/>
          <w:sz w:val="18"/>
          <w:szCs w:val="18"/>
          <w:color w:val="auto"/>
        </w:rPr>
        <w:t>” means a percentage based on the Company’s performance as determined by the Committee under the Company’s Short-Term Incentive Plan.</w:t>
      </w:r>
    </w:p>
    <w:p>
      <w:pPr>
        <w:spacing w:after="0" w:line="51" w:lineRule="exact"/>
        <w:rPr>
          <w:sz w:val="20"/>
          <w:szCs w:val="20"/>
          <w:color w:val="auto"/>
        </w:rPr>
      </w:pPr>
    </w:p>
    <w:p>
      <w:pPr>
        <w:ind w:left="820" w:right="280" w:hanging="323"/>
        <w:spacing w:after="0" w:line="251" w:lineRule="auto"/>
        <w:rPr>
          <w:sz w:val="20"/>
          <w:szCs w:val="20"/>
          <w:color w:val="auto"/>
        </w:rPr>
      </w:pPr>
      <w:r>
        <w:rPr>
          <w:rFonts w:ascii="Times New Roman" w:cs="Times New Roman" w:eastAsia="Times New Roman" w:hAnsi="Times New Roman"/>
          <w:sz w:val="18"/>
          <w:szCs w:val="18"/>
          <w:color w:val="auto"/>
        </w:rPr>
        <w:t>2.14“</w:t>
      </w:r>
      <w:r>
        <w:rPr>
          <w:rFonts w:ascii="Times New Roman" w:cs="Times New Roman" w:eastAsia="Times New Roman" w:hAnsi="Times New Roman"/>
          <w:sz w:val="18"/>
          <w:szCs w:val="18"/>
          <w:i w:val="1"/>
          <w:iCs w:val="1"/>
          <w:color w:val="auto"/>
        </w:rPr>
        <w:t>Total and Permanent Disability</w:t>
      </w:r>
      <w:r>
        <w:rPr>
          <w:rFonts w:ascii="Times New Roman" w:cs="Times New Roman" w:eastAsia="Times New Roman" w:hAnsi="Times New Roman"/>
          <w:sz w:val="18"/>
          <w:szCs w:val="18"/>
          <w:color w:val="auto"/>
        </w:rPr>
        <w:t>” means, with respect to a Participant, except as otherwise provided in the relevant Award Notice, a Participant’s inability to engage in any substantial gainful activity by reason of any medically determinable physical or mental impairment as determined by Skyward Specialty’s long-term disability insurance carrier.</w:t>
      </w:r>
    </w:p>
    <w:p>
      <w:pPr>
        <w:spacing w:after="0" w:line="51" w:lineRule="exact"/>
        <w:rPr>
          <w:sz w:val="20"/>
          <w:szCs w:val="20"/>
          <w:color w:val="auto"/>
        </w:rPr>
      </w:pPr>
    </w:p>
    <w:p>
      <w:pPr>
        <w:ind w:right="120" w:firstLine="8"/>
        <w:spacing w:after="0" w:line="229" w:lineRule="auto"/>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All employees of the Company and its subsidiaries who are employed in the positions of underwriting division leaders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underwriting managers and other key, non-executive employees as selected by the CEO, shall be eligible to participate in the Plan for each three-year performance period (the “</w:t>
      </w:r>
      <w:r>
        <w:rPr>
          <w:rFonts w:ascii="Times New Roman" w:cs="Times New Roman" w:eastAsia="Times New Roman" w:hAnsi="Times New Roman"/>
          <w:sz w:val="18"/>
          <w:szCs w:val="18"/>
          <w:i w:val="1"/>
          <w:iCs w:val="1"/>
          <w:color w:val="auto"/>
        </w:rPr>
        <w:t>Performance Period</w:t>
      </w:r>
      <w:r>
        <w:rPr>
          <w:rFonts w:ascii="Times New Roman" w:cs="Times New Roman" w:eastAsia="Times New Roman" w:hAnsi="Times New Roman"/>
          <w:sz w:val="18"/>
          <w:szCs w:val="18"/>
          <w:color w:val="auto"/>
        </w:rPr>
        <w:t>”). A new Performance Period begins on each January 1st and ends on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third year of such Performance Period.</w:t>
      </w:r>
    </w:p>
    <w:p>
      <w:pPr>
        <w:spacing w:after="0" w:line="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820" w:right="80" w:hanging="323"/>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xml:space="preserve"> At or as soon as practicable following the beginning of each calendar year, the CEO shall establish target bonuses for the Performance Period that commences for such calendar year as a dollar amount that shall be set forth on an Award Notice. Each Participant shall be eligible to receive a Bonus Payment for the Performance Period based on the achievement of Company and division financial</w:t>
      </w:r>
    </w:p>
    <w:p>
      <w:pPr>
        <w:sectPr>
          <w:pgSz w:w="11900" w:h="16838" w:orient="portrait"/>
          <w:cols w:equalWidth="0" w:num="1">
            <w:col w:w="11240"/>
          </w:cols>
          <w:pgMar w:left="320" w:top="117"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94" w:lineRule="exact"/>
        <w:rPr>
          <w:sz w:val="20"/>
          <w:szCs w:val="20"/>
          <w:color w:val="auto"/>
        </w:rPr>
      </w:pPr>
    </w:p>
    <w:p>
      <w:pPr>
        <w:jc w:val="both"/>
        <w:ind w:left="820" w:right="200"/>
        <w:spacing w:after="0" w:line="250" w:lineRule="auto"/>
        <w:rPr>
          <w:sz w:val="20"/>
          <w:szCs w:val="20"/>
          <w:color w:val="auto"/>
        </w:rPr>
      </w:pPr>
      <w:r>
        <w:rPr>
          <w:rFonts w:ascii="Times New Roman" w:cs="Times New Roman" w:eastAsia="Times New Roman" w:hAnsi="Times New Roman"/>
          <w:sz w:val="18"/>
          <w:szCs w:val="18"/>
          <w:color w:val="auto"/>
        </w:rPr>
        <w:t>performance goals during the Performance Period, as determined by the CEO, in consultation with the Committee in their sole discretion. The amount actually paid to a Participant may be more or less than the target Bonus Payment amount, if any, depending on the extent to which the performance goals are satisfied, as determined by the CEO in consultation with the Committee in their sole discretion.</w:t>
      </w:r>
    </w:p>
    <w:p>
      <w:pPr>
        <w:spacing w:after="0" w:line="65" w:lineRule="exact"/>
        <w:rPr>
          <w:sz w:val="20"/>
          <w:szCs w:val="20"/>
          <w:color w:val="auto"/>
        </w:rPr>
      </w:pPr>
    </w:p>
    <w:p>
      <w:pPr>
        <w:ind w:left="820" w:right="920" w:hanging="323"/>
        <w:spacing w:after="0" w:line="27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xml:space="preserve">. Bonus Payments are paid based upon meeting certain performance criteria. Unless otherwise specified for a Performance Period, these criteria shall be as set forth in </w:t>
      </w:r>
      <w:r>
        <w:rPr>
          <w:rFonts w:ascii="Times New Roman" w:cs="Times New Roman" w:eastAsia="Times New Roman" w:hAnsi="Times New Roman"/>
          <w:sz w:val="18"/>
          <w:szCs w:val="18"/>
          <w:b w:val="1"/>
          <w:bCs w:val="1"/>
          <w:u w:val="single" w:color="auto"/>
          <w:color w:val="auto"/>
        </w:rPr>
        <w:t>Exhibit A.</w:t>
      </w:r>
    </w:p>
    <w:p>
      <w:pPr>
        <w:spacing w:after="0" w:line="46" w:lineRule="exact"/>
        <w:rPr>
          <w:sz w:val="20"/>
          <w:szCs w:val="20"/>
          <w:color w:val="auto"/>
        </w:rPr>
      </w:pPr>
    </w:p>
    <w:p>
      <w:pPr>
        <w:ind w:left="820" w:right="20" w:hanging="323"/>
        <w:spacing w:after="0" w:line="27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Calculating Bonus Payment.</w:t>
      </w:r>
      <w:r>
        <w:rPr>
          <w:rFonts w:ascii="Times New Roman" w:cs="Times New Roman" w:eastAsia="Times New Roman" w:hAnsi="Times New Roman"/>
          <w:sz w:val="18"/>
          <w:szCs w:val="18"/>
          <w:color w:val="auto"/>
        </w:rPr>
        <w:t xml:space="preserve"> The amount available for payment for each Performance Period, (the “Bonus Pool”), if any, will be determined in accordance with the terms and conditions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820" w:right="180" w:hanging="323"/>
        <w:spacing w:after="0" w:line="24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Approval of Bonus Payments.</w:t>
      </w:r>
      <w:r>
        <w:rPr>
          <w:rFonts w:ascii="Times New Roman" w:cs="Times New Roman" w:eastAsia="Times New Roman" w:hAnsi="Times New Roman"/>
          <w:sz w:val="18"/>
          <w:szCs w:val="18"/>
          <w:color w:val="auto"/>
        </w:rPr>
        <w:t xml:space="preserve"> After the end of a Performance Period, the CEO shall determine the amount of each Participant’s Bonus Payment, if any, based on the Bonus Pool funding and division performance for the applicable Performance Period. The Committee shall have sole discretion to determine whether and to what extent the Company’s performance goals have been met. The CEO, in consultation with the Committee, may adjust the performance results for extraordinary items or other events, as deemed appropriate.</w:t>
      </w:r>
    </w:p>
    <w:p>
      <w:pPr>
        <w:spacing w:after="0" w:line="69" w:lineRule="exact"/>
        <w:rPr>
          <w:sz w:val="20"/>
          <w:szCs w:val="20"/>
          <w:color w:val="auto"/>
        </w:rPr>
      </w:pPr>
    </w:p>
    <w:p>
      <w:pPr>
        <w:ind w:left="820" w:right="400" w:hanging="323"/>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Newly Hired Employees, Promotions and Transfers</w:t>
      </w:r>
      <w:r>
        <w:rPr>
          <w:rFonts w:ascii="Times New Roman" w:cs="Times New Roman" w:eastAsia="Times New Roman" w:hAnsi="Times New Roman"/>
          <w:sz w:val="18"/>
          <w:szCs w:val="18"/>
          <w:color w:val="auto"/>
        </w:rPr>
        <w:t>. Employees who are (1) newly hired, or (2) who are promoted or transferred into a position eligible to participate in the Plan during the first Measurement Period of a Performance Period may be eligible to participate in the current Performance Period at the sole discretion of the CEO.</w:t>
      </w:r>
    </w:p>
    <w:p>
      <w:pPr>
        <w:spacing w:after="0" w:line="64" w:lineRule="exact"/>
        <w:rPr>
          <w:sz w:val="20"/>
          <w:szCs w:val="20"/>
          <w:color w:val="auto"/>
        </w:rPr>
      </w:pPr>
    </w:p>
    <w:p>
      <w:pPr>
        <w:jc w:val="both"/>
        <w:ind w:left="820" w:right="120" w:hanging="323"/>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Payment of Bonus.</w:t>
      </w:r>
      <w:r>
        <w:rPr>
          <w:rFonts w:ascii="Times New Roman" w:cs="Times New Roman" w:eastAsia="Times New Roman" w:hAnsi="Times New Roman"/>
          <w:sz w:val="18"/>
          <w:szCs w:val="18"/>
          <w:color w:val="auto"/>
        </w:rPr>
        <w:t xml:space="preserve"> Each Bonus Payment for a Performance Period shall be paid in cash to the Participant in a single lump sum payment on or after January 1 but not later than March 15 of the calendar year following the end of the Performance Period with respect to which the bonus is earned.</w:t>
      </w:r>
    </w:p>
    <w:p>
      <w:pPr>
        <w:spacing w:after="0" w:line="63" w:lineRule="exact"/>
        <w:rPr>
          <w:sz w:val="20"/>
          <w:szCs w:val="20"/>
          <w:color w:val="auto"/>
        </w:rPr>
      </w:pPr>
    </w:p>
    <w:p>
      <w:pPr>
        <w:ind w:left="820" w:right="660" w:hanging="323"/>
        <w:spacing w:after="0" w:line="27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Withholding Tax.</w:t>
      </w:r>
      <w:r>
        <w:rPr>
          <w:rFonts w:ascii="Times New Roman" w:cs="Times New Roman" w:eastAsia="Times New Roman" w:hAnsi="Times New Roman"/>
          <w:sz w:val="18"/>
          <w:szCs w:val="18"/>
          <w:color w:val="auto"/>
        </w:rPr>
        <w:t xml:space="preserve"> The Company shall withhold from any Bonus Payment an amount sufficient to satisfy all federal, state, and local tax withholding requirements relating to the bonus.</w:t>
      </w:r>
    </w:p>
    <w:p>
      <w:pPr>
        <w:spacing w:after="0" w:line="46" w:lineRule="exact"/>
        <w:rPr>
          <w:sz w:val="20"/>
          <w:szCs w:val="20"/>
          <w:color w:val="auto"/>
        </w:rPr>
      </w:pPr>
    </w:p>
    <w:p>
      <w:pPr>
        <w:ind w:right="100" w:firstLine="8"/>
        <w:spacing w:after="0" w:line="239" w:lineRule="auto"/>
        <w:tabs>
          <w:tab w:leader="none" w:pos="6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color w:val="auto"/>
        </w:rPr>
        <w:t>. Except as provided below or in the applicable Award Notice, a Participant must be employed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end of the Performance Period in order to receive a Bonus Payment for the Performance Period. If a Participant’s employment terminates on account of Qualifying Retirement, Death or Total and Permanent Disability, as determined by the CEO, he/she may determine in his/her discretion in consultation with the Committee that a pro rata portion of the Participant’s Bonus Payment for the Performance Period will be paid. The pro-rated Bonus Payment, if any, shall be paid as described in Section 4.6, in all cases during the period from January 1 to March 15 of the first calendar year following the end of the Performance Period.</w:t>
      </w:r>
    </w:p>
    <w:p>
      <w:pPr>
        <w:spacing w:after="0" w:line="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xml:space="preserve">. The Committee establishes the Plan. The Committee shall have full power and discretionary authority to interpret the Plan, to set the final Bonus Pool as detailed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and to prescribe, amend and rescind any rules, forms or procedures as the Committee deems necessary or appropriate for the proper administration of the Plan and to make any other determinations and take such other actions as the Committee deems necessary or advisable in carrying out its duties under the Plan. Any action required of the Committee under the Plan shall be made in the Committee’s sole discretion and not in a fiduciary capacity. All decisions and determinations by the Committee shall be final, conclusive, and binding on the Company, the Participants, and any other persons having or claiming an interest hereunder. The Committee may delegate to one or more officers of the Company or any of its subsidiaries, including, but not limited to the CEO, the authority to take any other actions on its behalf pursuant to the Plan. Any reference to “Committee” in the Plan shall mean its delegee with regard to any delegated action.</w:t>
      </w:r>
    </w:p>
    <w:p>
      <w:pPr>
        <w:spacing w:after="0" w:line="70"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The determination of Participants and bonus targets and amounts shall be made by the CEO, in his/her sole discretion, as long as they do not exceed 100% of the total Bonus Pool. All Bonus Payments shall be awarded conditional upon the Participant’s acknowledgement, by continuing in employment with the Company, that all decisions and determinations of the Committee shall be final and binding on the Participant, his or her beneficiaries and any other person having or claiming an interest in such Bonus Payment.</w:t>
      </w:r>
    </w:p>
    <w:p>
      <w:pPr>
        <w:spacing w:after="0" w:line="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660" w:right="180" w:hanging="323"/>
        <w:spacing w:after="0" w:line="24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xml:space="preserve"> No Bonus Payment under this Plan shall be transferred, assigned, pledged, or encumbered by the Participant nor shall it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In the event of a Participant’s death, any amounts payable under this Plan, as determined by the CEO in consultation with the Committee, shall be paid to the Participant’s estate.</w:t>
      </w:r>
    </w:p>
    <w:p>
      <w:pPr>
        <w:spacing w:after="0" w:line="73" w:lineRule="exact"/>
        <w:rPr>
          <w:sz w:val="20"/>
          <w:szCs w:val="20"/>
          <w:color w:val="auto"/>
        </w:rPr>
      </w:pPr>
    </w:p>
    <w:p>
      <w:pPr>
        <w:ind w:left="660" w:right="480" w:hanging="323"/>
        <w:spacing w:after="0" w:line="27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Unfunded Arrangement.</w:t>
      </w:r>
      <w:r>
        <w:rPr>
          <w:rFonts w:ascii="Times New Roman" w:cs="Times New Roman" w:eastAsia="Times New Roman" w:hAnsi="Times New Roman"/>
          <w:sz w:val="18"/>
          <w:szCs w:val="18"/>
          <w:color w:val="auto"/>
        </w:rPr>
        <w:t xml:space="preserve"> The Plan is an unfunded incentive compensation arrangement. Nothing contained in the Plan, and no action taken pursuant to the Plan, shall create or be construed to create a trust</w:t>
      </w:r>
    </w:p>
    <w:p>
      <w:pPr>
        <w:sectPr>
          <w:pgSz w:w="11900" w:h="16838" w:orient="portrait"/>
          <w:cols w:equalWidth="0" w:num="1">
            <w:col w:w="11240"/>
          </w:cols>
          <w:pgMar w:left="320" w:top="117"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94" w:lineRule="exact"/>
        <w:rPr>
          <w:sz w:val="20"/>
          <w:szCs w:val="20"/>
          <w:color w:val="auto"/>
        </w:rPr>
      </w:pPr>
    </w:p>
    <w:p>
      <w:pPr>
        <w:jc w:val="both"/>
        <w:ind w:left="320" w:right="300"/>
        <w:spacing w:after="0" w:line="250" w:lineRule="auto"/>
        <w:rPr>
          <w:sz w:val="20"/>
          <w:szCs w:val="20"/>
          <w:color w:val="auto"/>
        </w:rPr>
      </w:pPr>
      <w:r>
        <w:rPr>
          <w:rFonts w:ascii="Times New Roman" w:cs="Times New Roman" w:eastAsia="Times New Roman" w:hAnsi="Times New Roman"/>
          <w:sz w:val="18"/>
          <w:szCs w:val="18"/>
          <w:color w:val="auto"/>
        </w:rPr>
        <w:t>of any kind. Each Participant’s right to receive a bonus shall be no greater than the right of an unsecured general creditor of the Company. All bonuses shall be paid from the general funds of the Company, and no special or separate fund shall be established, and no segregation of assets shall be made to assure payment of bonuses.</w:t>
      </w:r>
    </w:p>
    <w:p>
      <w:pPr>
        <w:spacing w:after="0" w:line="65" w:lineRule="exact"/>
        <w:rPr>
          <w:sz w:val="20"/>
          <w:szCs w:val="20"/>
          <w:color w:val="auto"/>
        </w:rPr>
      </w:pPr>
    </w:p>
    <w:p>
      <w:pPr>
        <w:ind w:left="320" w:right="200" w:hanging="323"/>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No Rights to Employment.</w:t>
      </w:r>
      <w:r>
        <w:rPr>
          <w:rFonts w:ascii="Times New Roman" w:cs="Times New Roman" w:eastAsia="Times New Roman" w:hAnsi="Times New Roman"/>
          <w:sz w:val="18"/>
          <w:szCs w:val="18"/>
          <w:color w:val="auto"/>
        </w:rPr>
        <w:t xml:space="preserve"> Nothing in the Plan, and no action taken pursuant hereto, shall confer upon a Participant the right to continue in the employ of the Company, or affect the right of the Company to terminate a Participant’s employment at any time for cause or for no cause whatsoever.</w:t>
      </w:r>
    </w:p>
    <w:p>
      <w:pPr>
        <w:spacing w:after="0" w:line="63" w:lineRule="exact"/>
        <w:rPr>
          <w:sz w:val="20"/>
          <w:szCs w:val="20"/>
          <w:color w:val="auto"/>
        </w:rPr>
      </w:pPr>
    </w:p>
    <w:p>
      <w:pPr>
        <w:ind w:left="320" w:hanging="323"/>
        <w:spacing w:after="0" w:line="23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It is intended that the Plan be exempt from section 409A of the Code by paying bonuses within the “short-term deferral exception” set forth in the regulations under section 409A of the Code, and the Plan shall be interpreted on a basis consistent with such intent. If the Company determines that pro-rated Bonus Payment will be paid in connection with a Participant’s Qualifying Retirement, Death or Total and Permanent Disability, payment of such awards shall be paid within the “short-term deferral exception” period set forth in the regulations under Section 409A of the Code following expiration of the Performance Period and are thereby intended to be exempt from Section 409A of the Code, or alternatively as compliant with the requirements of Section 409A of the Code as required in all cases to be paid within a single designated taxable year (first calendar year following end of the Performance Period). For purposes of Section 409A of the Code, each payment made under the Plan shall be treated as a separate payment To the extent that any provision of the Plan would cause a conflict with the requirements of Section 409A of the Code, or would cause the administration of the Plan to fail to satisfy the requirements of Section 409A, such provision shall be deemed null and void to the extent permitted by applicable law. To the extent necessary to avoid adverse tax consequences under Section 409A of the Code, any payment made to any Participant who is a “specified employee” in connection with such Participant’s separation from service shall not be made before the date that is six months and one day following the date of such Participant’s separation from service. In no event shall a Participant, directly or indirectly, designate the calendar year of payment.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Termination and Amendment of the Plan.</w:t>
      </w:r>
      <w:r>
        <w:rPr>
          <w:rFonts w:ascii="Times New Roman" w:cs="Times New Roman" w:eastAsia="Times New Roman" w:hAnsi="Times New Roman"/>
          <w:sz w:val="18"/>
          <w:szCs w:val="18"/>
          <w:color w:val="auto"/>
        </w:rPr>
        <w:t xml:space="preserve"> The Committee may amend (in whole or in part) or terminate the Plan at any time.</w:t>
      </w:r>
    </w:p>
    <w:p>
      <w:pPr>
        <w:spacing w:after="0" w:line="90" w:lineRule="exact"/>
        <w:rPr>
          <w:sz w:val="20"/>
          <w:szCs w:val="20"/>
          <w:color w:val="auto"/>
        </w:rPr>
      </w:pPr>
    </w:p>
    <w:p>
      <w:pPr>
        <w:ind w:left="320" w:right="20" w:hanging="323"/>
        <w:spacing w:after="0" w:line="27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xml:space="preserve"> The Plan shall be binding upon and inure to the benefit of the Company, its successors and assigns, and each Participant and his or her heirs, executors, administrators, and legal representatives.</w:t>
      </w:r>
    </w:p>
    <w:p>
      <w:pPr>
        <w:spacing w:after="0" w:line="46" w:lineRule="exact"/>
        <w:rPr>
          <w:sz w:val="20"/>
          <w:szCs w:val="20"/>
          <w:color w:val="auto"/>
        </w:rPr>
      </w:pPr>
    </w:p>
    <w:p>
      <w:pPr>
        <w:ind w:left="320" w:right="400" w:hanging="323"/>
        <w:spacing w:after="0" w:line="27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xml:space="preserve"> The Plan shall be construed and governed in accordance with the laws of the State of Delaware, without giving effect to the conflict of laws provisions thereof.</w:t>
      </w:r>
    </w:p>
    <w:p>
      <w:pPr>
        <w:sectPr>
          <w:pgSz w:w="11900" w:h="16838" w:orient="portrait"/>
          <w:cols w:equalWidth="0" w:num="1">
            <w:col w:w="10900"/>
          </w:cols>
          <w:pgMar w:left="660" w:top="11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94"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The target Bonus Pool is calculated by summing the total of the target bonus amounts for each Participant, as set by the CEO in his/her sole discretion (the “Target Bonus Pool”). The final Bonus Pool for the Performance Period will be determined by applying the Long-Term Cash Performance Factor (“LTC Performance Factor”) to the Target Bonus Pool. The Committee will determine the LTC Performance Factor, primarily based on a straight-average of the Company’s STIP Performance Factor(s) for each of three Measurement Periods during the Performance Period, as certified by the Committee each year. The LTC Performance Factor is then applied to the Target Bonus Pool to adjust it up or down.</w:t>
      </w:r>
    </w:p>
    <w:p>
      <w:pPr>
        <w:spacing w:after="0" w:line="80"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8"/>
          <w:szCs w:val="18"/>
          <w:color w:val="auto"/>
        </w:rPr>
        <w:t>Once the final Bonus Pool amount is set, the CEO will evaluate each Division’s performance against both agreed upon OKRs/financial plan achievement and relative to each other. This evaluation results in the assignment of an LTC Performance Factor for each Division. The final Bonus Pool will then be allocated by the CEO to each underwriting division as a percentage of the Bonus Pool (which in no event will exceed 100% in the aggregate) based on performance achievement of division-specific performance factors, as determined by the CEO in his/her sole discretion.</w:t>
      </w:r>
    </w:p>
    <w:p>
      <w:pPr>
        <w:spacing w:after="0" w:line="7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Unlike the Company’s Short-Term Incentive Plan, no individual performance metrics will apply. All participants in an Underwriting Division will have their division’s LTC Performance Factor applied against their Target Award to determine their Bonus Payment.</w:t>
      </w:r>
    </w:p>
    <w:p>
      <w:pPr>
        <w:sectPr>
          <w:pgSz w:w="11900" w:h="16838" w:orient="portrait"/>
          <w:cols w:equalWidth="0" w:num="1">
            <w:col w:w="11240"/>
          </w:cols>
          <w:pgMar w:left="320" w:top="11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LONG-TERM CASH BONUS INCENTIVE PLAN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NOTICE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Insert Date</w:t>
      </w: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[Insert Name of Participant</w:t>
      </w: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Insert Address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Congratulations! You have been granted an award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under the Company’s Long-Term Cash Bonus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the [Performance Years] Performance Period. Capitalized terms that are not defined in this Award Notice have the meanings given to them in the Plan. This Award Notice and the Award are subject in all respects to the terms and conditions of the Plan, which is incorporated herein by reference.</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Your Target Award is [$ ].</w:t>
      </w:r>
    </w:p>
    <w:p>
      <w:pPr>
        <w:spacing w:after="0" w:line="9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Subject to an earlier qualifying termination as described below, you must remain continuously employed or in a service relationship with Skyward Specialty Insurance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or its subsidiaries from the date of this Award Notice through the last day of the Performance Period f the Long-Term Cash Award and satisfy all the other conditions for payment described in the Plan to be eligible for Bonus Payment. The Bonus Payment, if any, will be paid as a lump sum cash bonus calculated based on your Target Award and the LTC Performance Factor assigned to your Division as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If your employment is terminated due to Death or a Total and Permanent Disability or within twelve (12) months immediately following a Change in Control that occurs before the last day of the Performance Period you will have the right to receive a pro-rated Award calculated as the number of days you worked in the Performance Period, divided by the total number of days in the Performance Period. The LTC Performance Factor will be calculated by averaging the actual Company STIP Performance Factor(s) for any completed Measurement Periods as of the termination date and target performance achievement for any partial Measurement Periods outstanding as of the termination or Change in Control date, subject in all events to the performance, discretion and payment provisions in Section 4 of the Plan.</w:t>
      </w:r>
    </w:p>
    <w:p>
      <w:pPr>
        <w:spacing w:after="0" w:line="7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If your employment is terminated due to a Qualifying Retirement before the last day of the Performance Period you will have the right to receive a pro-rated Award calculated as the number of days you worked in the Performance Period, divided by the total number of days in the Performance Period. The LTC Performance Factor will be determined by the CEO, at the end of the Measurement Period during which the termination occurred, at his/her discretion to be approved by the Committee.</w:t>
      </w:r>
    </w:p>
    <w:p>
      <w:pPr>
        <w:spacing w:after="0" w:line="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and this Award Notice contain the entire understanding between you and the Committee with respect to the subject matter hereof and supersede any and all prior agreements with respect thereto.</w:t>
      </w:r>
    </w:p>
    <w:p>
      <w:pPr>
        <w:spacing w:after="0" w:line="9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ACKNOWLEDGEMENT</w:t>
      </w:r>
    </w:p>
    <w:p>
      <w:pPr>
        <w:spacing w:after="0" w:line="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 hereby acknowledge that I have received and reviewed a copy of the Plan and this Award notice, and the Award and my participation in the Plan are subject in all respects to the terms and conditions of the Plan. I understand and agree to the terms and conditions of the Plan and this Award Notice.</w:t>
      </w: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7040" w:val="left"/>
        </w:tabs>
        <w:rPr>
          <w:sz w:val="20"/>
          <w:szCs w:val="20"/>
          <w:color w:val="auto"/>
        </w:rPr>
      </w:pPr>
      <w:r>
        <w:rPr>
          <w:rFonts w:ascii="Times New Roman" w:cs="Times New Roman" w:eastAsia="Times New Roman" w:hAnsi="Times New Roman"/>
          <w:sz w:val="18"/>
          <w:szCs w:val="18"/>
          <w:color w:val="auto"/>
        </w:rPr>
        <w:t>Participant’s Signature</w:t>
      </w:r>
      <w:r>
        <w:rPr>
          <w:sz w:val="20"/>
          <w:szCs w:val="20"/>
          <w:color w:val="auto"/>
        </w:rPr>
        <w:tab/>
      </w: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AGREEMENT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INVESTMENT MANAGEMENT AGREEMENT</w:t>
      </w:r>
    </w:p>
    <w:p>
      <w:pPr>
        <w:spacing w:after="0" w:line="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THIS SECOND AMENDMENT AGREEMENT TO THE INVESTMENT MANAGEMENT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Second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this December 8, 2023, with an effective date as of December 8, 2023, between Houston Specialty Insurance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Imperium Insurance Company and Great Midwest Insurance Company (collectively the “</w:t>
      </w:r>
      <w:r>
        <w:rPr>
          <w:rFonts w:ascii="Times New Roman" w:cs="Times New Roman" w:eastAsia="Times New Roman" w:hAnsi="Times New Roman"/>
          <w:sz w:val="18"/>
          <w:szCs w:val="18"/>
          <w:b w:val="1"/>
          <w:bCs w:val="1"/>
          <w:u w:val="single" w:color="auto"/>
          <w:color w:val="auto"/>
        </w:rPr>
        <w:t>Client</w:t>
      </w:r>
      <w:r>
        <w:rPr>
          <w:rFonts w:ascii="Times New Roman" w:cs="Times New Roman" w:eastAsia="Times New Roman" w:hAnsi="Times New Roman"/>
          <w:sz w:val="18"/>
          <w:szCs w:val="18"/>
          <w:color w:val="auto"/>
        </w:rPr>
        <w:t>”) and Arena Investors, LP, a Delaware limited partnership, as investment manager (the “</w:t>
      </w:r>
      <w:r>
        <w:rPr>
          <w:rFonts w:ascii="Times New Roman" w:cs="Times New Roman" w:eastAsia="Times New Roman" w:hAnsi="Times New Roman"/>
          <w:sz w:val="18"/>
          <w:szCs w:val="18"/>
          <w:b w:val="1"/>
          <w:bCs w:val="1"/>
          <w:u w:val="single" w:color="auto"/>
          <w:color w:val="auto"/>
        </w:rPr>
        <w:t>Investment Adviser</w:t>
      </w:r>
      <w:r>
        <w:rPr>
          <w:rFonts w:ascii="Times New Roman" w:cs="Times New Roman" w:eastAsia="Times New Roman" w:hAnsi="Times New Roman"/>
          <w:sz w:val="18"/>
          <w:szCs w:val="18"/>
          <w:color w:val="auto"/>
        </w:rPr>
        <w:t>”). The Client and the Investment Adviser are sometimes each individually referred to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Any terms used but not defined herein have the meanings assigned to them in the IMA (as defined below).</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108" w:lineRule="exact"/>
        <w:rPr>
          <w:sz w:val="20"/>
          <w:szCs w:val="20"/>
          <w:color w:val="auto"/>
        </w:rPr>
      </w:pPr>
    </w:p>
    <w:p>
      <w:pPr>
        <w:jc w:val="both"/>
        <w:ind w:firstLine="756"/>
        <w:spacing w:after="0" w:line="250" w:lineRule="auto"/>
        <w:rPr>
          <w:sz w:val="20"/>
          <w:szCs w:val="20"/>
          <w:color w:val="auto"/>
        </w:rPr>
      </w:pPr>
      <w:r>
        <w:rPr>
          <w:rFonts w:ascii="Times New Roman" w:cs="Times New Roman" w:eastAsia="Times New Roman" w:hAnsi="Times New Roman"/>
          <w:sz w:val="18"/>
          <w:szCs w:val="18"/>
          <w:color w:val="auto"/>
        </w:rPr>
        <w:t>WHEREAS, the Investment Adviser and the Client are parties to that certain Investment Management Agreement dated January 13, 2016 (the “</w:t>
      </w:r>
      <w:r>
        <w:rPr>
          <w:rFonts w:ascii="Times New Roman" w:cs="Times New Roman" w:eastAsia="Times New Roman" w:hAnsi="Times New Roman"/>
          <w:sz w:val="18"/>
          <w:szCs w:val="18"/>
          <w:b w:val="1"/>
          <w:bCs w:val="1"/>
          <w:u w:val="single" w:color="auto"/>
          <w:color w:val="auto"/>
        </w:rPr>
        <w:t>IMA</w:t>
      </w:r>
      <w:r>
        <w:rPr>
          <w:rFonts w:ascii="Times New Roman" w:cs="Times New Roman" w:eastAsia="Times New Roman" w:hAnsi="Times New Roman"/>
          <w:sz w:val="18"/>
          <w:szCs w:val="18"/>
          <w:color w:val="auto"/>
        </w:rPr>
        <w:t>”), as amended, and further subject to the Supplemental Acknowledgements dated May 17, 2021, and March 23, 2022, pursuant to which the Investment Adviser provides certain services to the Client in respect of the Client’s investment sub-accounts (collectively, the “</w:t>
      </w:r>
      <w:r>
        <w:rPr>
          <w:rFonts w:ascii="Times New Roman" w:cs="Times New Roman" w:eastAsia="Times New Roman" w:hAnsi="Times New Roman"/>
          <w:sz w:val="18"/>
          <w:szCs w:val="18"/>
          <w:b w:val="1"/>
          <w:bCs w:val="1"/>
          <w:u w:val="single" w:color="auto"/>
          <w:color w:val="auto"/>
        </w:rPr>
        <w:t>Account</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the Parties now wish to enter into this Second Amendment Agreement in order to clarify certain terms with respect to the Account.</w:t>
      </w:r>
    </w:p>
    <w:p>
      <w:pPr>
        <w:spacing w:after="0" w:line="104" w:lineRule="exact"/>
        <w:rPr>
          <w:sz w:val="20"/>
          <w:szCs w:val="20"/>
          <w:color w:val="auto"/>
        </w:rPr>
      </w:pPr>
    </w:p>
    <w:p>
      <w:pPr>
        <w:jc w:val="both"/>
        <w:ind w:firstLine="756"/>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promises contained herein, and for other good and valuable consideration, the receipt, adequacy and legal sufficiency of which are hereby acknowledged, and intending to be legally bound hereby, the Parties agree the IMA is hereby amended as follows:</w:t>
      </w:r>
    </w:p>
    <w:p>
      <w:pPr>
        <w:spacing w:after="0" w:line="51"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AMENDMENTS</w:t>
      </w:r>
    </w:p>
    <w:p>
      <w:pPr>
        <w:spacing w:after="0" w:line="108" w:lineRule="exact"/>
        <w:rPr>
          <w:sz w:val="20"/>
          <w:szCs w:val="20"/>
          <w:color w:val="auto"/>
        </w:rPr>
      </w:pPr>
    </w:p>
    <w:p>
      <w:pPr>
        <w:jc w:val="both"/>
        <w:ind w:left="980" w:hanging="647"/>
        <w:spacing w:after="0" w:line="250" w:lineRule="auto"/>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Sec. 4(d) of the IMA shall be amended and restated as follows: “The Investment Adviser shall use commercially reasonable efforts to provide the Client with a NAV statement each month end for the Account issued by a third-party administrator within 20 business days after month end, calculated according to the General Accepted Accounting Principles.”</w:t>
      </w:r>
    </w:p>
    <w:p>
      <w:pPr>
        <w:spacing w:after="0" w:line="69" w:lineRule="exact"/>
        <w:rPr>
          <w:sz w:val="20"/>
          <w:szCs w:val="20"/>
          <w:color w:val="auto"/>
        </w:rPr>
      </w:pPr>
    </w:p>
    <w:p>
      <w:pPr>
        <w:jc w:val="both"/>
        <w:ind w:left="980" w:hanging="647"/>
        <w:spacing w:after="0" w:line="250" w:lineRule="auto"/>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Notwithstanding the limits provided in Table B of the March 23, 2022, Supplemental Acknowledgement or any investments made previous to the date of this Second Amendment Agreement, the Account’s maximum allocation to any investment in the Stable Income—Real Estate Credit sub-account (inclusive of commercial mortgage loan first lien) shall not exceed $2,500,000 at the time of initial investment.</w:t>
      </w:r>
    </w:p>
    <w:p>
      <w:pPr>
        <w:spacing w:after="0" w:line="69" w:lineRule="exact"/>
        <w:rPr>
          <w:sz w:val="20"/>
          <w:szCs w:val="20"/>
          <w:color w:val="auto"/>
        </w:rPr>
      </w:pPr>
    </w:p>
    <w:p>
      <w:pPr>
        <w:jc w:val="both"/>
        <w:ind w:left="980" w:hanging="647"/>
        <w:spacing w:after="0" w:line="245" w:lineRule="auto"/>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first sentence of Exhibit B of the IMA, Investment Guidelines, shall be amended and restated to read: “The investment objective for the Account is to seek capital appreciation and current income by investing in debt and equity instruments, with an emphasis on debt instruments; with the exception that there shall be no investment in or backing litigation finance.” Note that any existing positions in litigation finance as of the date of this Second Amendment Agreement, are exempted from this prohibition, however, exposure shall not be increased.</w:t>
      </w:r>
    </w:p>
    <w:p>
      <w:pPr>
        <w:spacing w:after="0" w:line="69"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ABSENCE OF ADDITIONAL AMENDMENTS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agreed in an Amendment Agreement signed by both Parties, the terms of the IMA shall remain in full force and effect.</w:t>
      </w:r>
    </w:p>
    <w:p>
      <w:pPr>
        <w:spacing w:after="0" w:line="100"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REPRESENTATION AND WARRANTIES</w:t>
      </w:r>
    </w:p>
    <w:p>
      <w:pPr>
        <w:spacing w:after="0" w:line="108"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Each Party hereby reiterates and confirms the original representations and warranties given in the IMA.</w:t>
      </w:r>
    </w:p>
    <w:p>
      <w:pPr>
        <w:spacing w:after="0" w:line="104" w:lineRule="exact"/>
        <w:rPr>
          <w:sz w:val="20"/>
          <w:szCs w:val="20"/>
          <w:color w:val="auto"/>
        </w:rPr>
      </w:pPr>
    </w:p>
    <w:p>
      <w:pPr>
        <w:jc w:val="both"/>
        <w:ind w:left="980" w:hanging="647"/>
        <w:spacing w:after="0" w:line="250" w:lineRule="auto"/>
        <w:tabs>
          <w:tab w:leader="none" w:pos="9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Without prejudice to Section 3.1 above, each Party represents and warrants that: it has full power to execute this Amendment Agreement and to fulfil the obligations arising thereunder; and it took all the necessary steps to authorize the execution and performance of its obligations under this Amendment Agreement.</w:t>
      </w:r>
    </w:p>
    <w:p>
      <w:pPr>
        <w:spacing w:after="0" w:line="65"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GOVERNING LAW; ARBITRATION</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Notwithstanding the place where this Amendment Agreement may be executed by any of the parties hereto, the parties expressly agree that this Amendment Agreement, and all terms and provisions hereof, shall be governed by and construed in accordance with the laws of the State of Delaware (without conflicts of laws principles). Any dispute, controversy or claim arising out of or in connection with or relating to this Amendment Agreement or any breach or alleged breach hereof shall be submitted to, and determined and settled by, arbitration in New York, New York, pursuant to the Comprehensive Arbitration Rules of the Judicial Arbitration and Mediation Services, and judgment upon any such arbitral award rendered may be entered in any court having jurisdiction thereof.</w:t>
      </w:r>
    </w:p>
    <w:p>
      <w:pPr>
        <w:spacing w:after="0" w:line="58"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COUNTERPARTS</w:t>
      </w:r>
    </w:p>
    <w:p>
      <w:pPr>
        <w:sectPr>
          <w:pgSz w:w="11900" w:h="16838" w:orient="portrait"/>
          <w:cols w:equalWidth="0" w:num="1">
            <w:col w:w="11240"/>
          </w:cols>
          <w:pgMar w:left="320" w:top="11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00" w:lineRule="exact"/>
        <w:rPr>
          <w:sz w:val="20"/>
          <w:szCs w:val="20"/>
          <w:color w:val="auto"/>
        </w:rPr>
      </w:pPr>
    </w:p>
    <w:p>
      <w:pPr>
        <w:spacing w:after="0" w:line="3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Amendment Agreement may be executed in any number of identical counterparts, each of which shall be deemed to be an original but all of which together shall constitute one and the same agreement as if the signatures to each counterpart were upon a single instrument. This Amendment Agreement shall become effective when counterparts have been signed by each party and delivered to the other parties; provided that a facsimile signature shall be considered due execution and shall be binding upon the signatory thereto with the same force and effect as if the signature were an original and not a facsimile signature.</w:t>
      </w:r>
    </w:p>
    <w:p>
      <w:pPr>
        <w:spacing w:after="0" w:line="73"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JURY TRIAL WAIVER.</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EACH OF THE PARTIES TO THIS AMENDMENT AGREEMENT HEREBY IRREVOCABLY WAIVES, TO THE FULLEST EXTENT PERMITTED BY APPLICABLE LAW OR IN EQUITY, ALL OF ITS RIGHTS TO A TRIAL BY JURY IN ANY ACTION, PROCEEDING, OR COUNTERCLAIM DIRECTLY OR INDIRECTLY ARISING OUT OF THIS AMENDMENT AGREEMENT, ANY GOVERNING DOCUMENT, THE TRANSACTIONS CONTEMPLATED HEREBY OR THEREBY, OR ANY ACTIONS OR OMISSIONS IN CONNECTION HEREWITH OR THEREWITH. EACH PARTY (I) CERTIFIES THAT NO REPRESENTATIVE, AGENT, OR ATTORNEY OF ANY OTHER PARTY HAS REPRESENTED, EXPRESSLY OR OTHERWISE, THAT SUCH OTHER PARTY WOULD NOT, IN THE EVENT OF LITIGATION, SEEK TO ENFORCE THE FOREGOING WAIVER, AND (II) ACKNOWLEDGES THAT IT AND THE OTHER PARTY HERETO HAVE BEEN INDUCED TO ENTER INTO THIS AMENDMENT AGREEMENT BY, AMONG OTHER THINGS, THE MUTUAL WAIVERS AND CERTIFICATIONS IN THIS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the foregoing instrument to be executed as of the date first stated above.</w:t>
      </w:r>
    </w:p>
    <w:p>
      <w:pPr>
        <w:spacing w:after="0" w:line="10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GREAT MIDWEST INSURANCE COMPANY</w:t>
      </w:r>
    </w:p>
    <w:p>
      <w:pPr>
        <w:spacing w:after="0" w:line="10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/s/Mark Haushill</w:t>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Name: Mark Haushill</w:t>
      </w:r>
    </w:p>
    <w:p>
      <w:pPr>
        <w:ind w:left="3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8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HOUSTON SPECIALTY INSURANCE COMPANY</w:t>
      </w:r>
    </w:p>
    <w:p>
      <w:pPr>
        <w:spacing w:after="0" w:line="9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/s/Mark Haushill</w:t>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Name: Mark Haushill</w:t>
      </w:r>
    </w:p>
    <w:p>
      <w:pPr>
        <w:ind w:left="3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8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IMPERIUM INSURANCE COMPANY</w:t>
      </w:r>
    </w:p>
    <w:p>
      <w:pPr>
        <w:spacing w:after="0" w:line="10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/s/Mark Haushill</w:t>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Name: Mark Haushill</w:t>
      </w:r>
    </w:p>
    <w:p>
      <w:pPr>
        <w:ind w:left="3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ARENA INVESTORS, LP</w:t>
      </w:r>
    </w:p>
    <w:p>
      <w:pPr>
        <w:spacing w:after="0" w:line="10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/s/Lawrence Cutler</w:t>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Name: Lawrence Cutler</w:t>
      </w:r>
    </w:p>
    <w:p>
      <w:pPr>
        <w:ind w:left="33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1240"/>
          </w:cols>
          <w:pgMar w:left="320" w:top="11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104" w:lineRule="exact"/>
        <w:rPr>
          <w:sz w:val="20"/>
          <w:szCs w:val="20"/>
          <w:color w:val="auto"/>
        </w:rPr>
      </w:pPr>
    </w:p>
    <w:p>
      <w:pPr>
        <w:jc w:val="both"/>
        <w:ind w:firstLine="755"/>
        <w:spacing w:after="0" w:line="252" w:lineRule="auto"/>
        <w:rPr>
          <w:sz w:val="20"/>
          <w:szCs w:val="20"/>
          <w:color w:val="auto"/>
        </w:rPr>
      </w:pPr>
      <w:r>
        <w:rPr>
          <w:rFonts w:ascii="Times New Roman" w:cs="Times New Roman" w:eastAsia="Times New Roman" w:hAnsi="Times New Roman"/>
          <w:sz w:val="18"/>
          <w:szCs w:val="18"/>
          <w:b w:val="1"/>
          <w:bCs w:val="1"/>
          <w:color w:val="auto"/>
        </w:rPr>
        <w:t>THIS FIRST AMENDMENT</w:t>
      </w:r>
      <w:r>
        <w:rPr>
          <w:rFonts w:ascii="Times New Roman" w:cs="Times New Roman" w:eastAsia="Times New Roman" w:hAnsi="Times New Roman"/>
          <w:sz w:val="18"/>
          <w:szCs w:val="18"/>
          <w:color w:val="auto"/>
        </w:rPr>
        <w:t>, dated as of February 26,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w:t>
      </w:r>
      <w:r>
        <w:rPr>
          <w:rFonts w:ascii="Times New Roman" w:cs="Times New Roman" w:eastAsia="Times New Roman" w:hAnsi="Times New Roman"/>
          <w:sz w:val="18"/>
          <w:szCs w:val="18"/>
          <w:b w:val="1"/>
          <w:bCs w:val="1"/>
          <w:color w:val="auto"/>
        </w:rPr>
        <w:t xml:space="preserve"> SKYWARD SPECIALTY INSURANCE GROUP,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(which, for the avoidance of doubt, constitute the Required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in its capacities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as a Lender.</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104" w:lineRule="exact"/>
        <w:rPr>
          <w:sz w:val="20"/>
          <w:szCs w:val="20"/>
          <w:color w:val="auto"/>
        </w:rPr>
      </w:pPr>
    </w:p>
    <w:p>
      <w:pPr>
        <w:jc w:val="both"/>
        <w:ind w:firstLine="756"/>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the several banks and other financial institutions and lenders signatory thereto and the Administrative Agent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that certain Credit Agreement dated as of March 29, 2023 (as amended, supplemented or modified prior to the date hereof, the “</w:t>
      </w:r>
      <w:r>
        <w:rPr>
          <w:rFonts w:ascii="Times New Roman" w:cs="Times New Roman" w:eastAsia="Times New Roman" w:hAnsi="Times New Roman"/>
          <w:sz w:val="18"/>
          <w:szCs w:val="18"/>
          <w:u w:val="single" w:color="auto"/>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Existing Credit Agreement, as amended by this Agreement,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755"/>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notified the Administrative Agent and the Lenders of its desire to make certain amendments to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 as set forth more fully herein;</w:t>
      </w:r>
    </w:p>
    <w:p>
      <w:pPr>
        <w:spacing w:after="0" w:line="46" w:lineRule="exact"/>
        <w:rPr>
          <w:sz w:val="20"/>
          <w:szCs w:val="20"/>
          <w:color w:val="auto"/>
        </w:rPr>
      </w:pPr>
    </w:p>
    <w:p>
      <w:pPr>
        <w:jc w:val="both"/>
        <w:ind w:right="20" w:firstLine="755"/>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Administrative Agent and the Required Lenders have indicated a willingness to make such desired amendments to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 on the terms and subject to the conditions set forth herein; and</w:t>
      </w:r>
    </w:p>
    <w:p>
      <w:pPr>
        <w:spacing w:after="0" w:line="46" w:lineRule="exact"/>
        <w:rPr>
          <w:sz w:val="20"/>
          <w:szCs w:val="20"/>
          <w:color w:val="auto"/>
        </w:rPr>
      </w:pPr>
    </w:p>
    <w:p>
      <w:pPr>
        <w:jc w:val="both"/>
        <w:ind w:firstLine="755"/>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and upon the terms and conditions set forth in this Agreement, the Borrower, the Administrative Agent and the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are willing to enter into this Agreement.</w:t>
      </w:r>
    </w:p>
    <w:p>
      <w:pPr>
        <w:spacing w:after="0" w:line="46" w:lineRule="exact"/>
        <w:rPr>
          <w:sz w:val="20"/>
          <w:szCs w:val="20"/>
          <w:color w:val="auto"/>
        </w:rPr>
      </w:pPr>
    </w:p>
    <w:p>
      <w:pPr>
        <w:jc w:val="both"/>
        <w:ind w:right="20" w:firstLine="756"/>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by the parties,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agree as follows:</w:t>
      </w:r>
    </w:p>
    <w:p>
      <w:pPr>
        <w:spacing w:after="0" w:line="50" w:lineRule="exact"/>
        <w:rPr>
          <w:sz w:val="20"/>
          <w:szCs w:val="20"/>
          <w:color w:val="auto"/>
        </w:rPr>
      </w:pPr>
    </w:p>
    <w:p>
      <w:pPr>
        <w:jc w:val="both"/>
        <w:ind w:firstLine="756"/>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Except as otherwise defined herein, capitalized terms used herein shall have the meanings ascribed thereto in the Amended Credit Agreement.</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Specific Amendments to Existing Credit Agreement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460" w:firstLine="1304"/>
        <w:spacing w:after="0" w:line="250" w:lineRule="auto"/>
        <w:tabs>
          <w:tab w:leader="none" w:pos="194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to the Existing Credit Agreement is hereby amended by replacing the reference to “BMO HARRIS BANK N.A.” therein with “BMO BANK N.A.”.</w:t>
      </w:r>
    </w:p>
    <w:p>
      <w:pPr>
        <w:spacing w:after="0" w:line="6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Existing Credit Agreement is hereby amended by inserting the following defined term therein in appropriate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alphabetical order:</w:t>
      </w:r>
    </w:p>
    <w:p>
      <w:pPr>
        <w:spacing w:after="0" w:line="8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shall mean February 26, 2024.”</w:t>
      </w:r>
    </w:p>
    <w:p>
      <w:pPr>
        <w:spacing w:after="0" w:line="104" w:lineRule="exact"/>
        <w:rPr>
          <w:sz w:val="20"/>
          <w:szCs w:val="20"/>
          <w:color w:val="auto"/>
        </w:rPr>
      </w:pPr>
    </w:p>
    <w:p>
      <w:pPr>
        <w:ind w:firstLine="1304"/>
        <w:spacing w:after="0" w:line="266" w:lineRule="auto"/>
        <w:tabs>
          <w:tab w:leader="none" w:pos="194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Existing Credit Agreement is hereby further amended by amending the defined term “Arranger” by replacing the reference to “BMO Harris Bank N.A.” therein with “BMO Bank N.A. (formerly known as BMO Harris Bank N.A.)”.</w:t>
      </w:r>
    </w:p>
    <w:p>
      <w:pPr>
        <w:spacing w:after="0" w:line="5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Existing Credit Agreement is hereby further amended by amending the defined term “Restricted Payment” by</w:t>
      </w:r>
    </w:p>
    <w:p>
      <w:pPr>
        <w:spacing w:after="0" w:line="15" w:lineRule="exact"/>
        <w:rPr>
          <w:rFonts w:ascii="Times New Roman" w:cs="Times New Roman" w:eastAsia="Times New Roman" w:hAnsi="Times New Roman"/>
          <w:sz w:val="18"/>
          <w:szCs w:val="18"/>
          <w:color w:val="auto"/>
        </w:rPr>
      </w:pPr>
    </w:p>
    <w:p>
      <w:pPr>
        <w:ind w:firstLine="8"/>
        <w:spacing w:after="0" w:line="243" w:lineRule="auto"/>
        <w:tabs>
          <w:tab w:leader="none" w:pos="2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“and” following the semicolon in clause (v) thereof, (B) replacing the period at the end of clause (vi) thereof with “; and”, and (C) inserting the following new clause (vii) immediately following clause (vi) thereof:</w:t>
      </w:r>
    </w:p>
    <w:p>
      <w:pPr>
        <w:spacing w:after="0" w:line="7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any payment by a Loan Party to an Insurance Subsidiary on account of intercompany Indebtedness.”</w:t>
      </w:r>
    </w:p>
    <w:p>
      <w:pPr>
        <w:spacing w:after="0" w:line="104" w:lineRule="exact"/>
        <w:rPr>
          <w:sz w:val="20"/>
          <w:szCs w:val="20"/>
          <w:color w:val="auto"/>
        </w:rPr>
      </w:pPr>
    </w:p>
    <w:p>
      <w:pPr>
        <w:ind w:right="700" w:firstLine="1304"/>
        <w:spacing w:after="0" w:line="266" w:lineRule="auto"/>
        <w:tabs>
          <w:tab w:leader="none" w:pos="194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Existing Credit Agreement is hereby amended by inserting the following new clause (c) immediately following clause (b) thereof:</w:t>
      </w:r>
    </w:p>
    <w:p>
      <w:pPr>
        <w:spacing w:after="0" w:line="54" w:lineRule="exact"/>
        <w:rPr>
          <w:sz w:val="20"/>
          <w:szCs w:val="20"/>
          <w:color w:val="auto"/>
        </w:rPr>
      </w:pPr>
    </w:p>
    <w:p>
      <w:pPr>
        <w:jc w:val="both"/>
        <w:ind w:left="1300" w:firstLine="648"/>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FHLB Indebtedness Reporting</w:t>
      </w:r>
      <w:r>
        <w:rPr>
          <w:rFonts w:ascii="Times New Roman" w:cs="Times New Roman" w:eastAsia="Times New Roman" w:hAnsi="Times New Roman"/>
          <w:sz w:val="18"/>
          <w:szCs w:val="18"/>
          <w:color w:val="auto"/>
        </w:rPr>
        <w:t xml:space="preserve">. The Borrower will deliver to the Administrative Agent and the Lenders from time to time, promptly upon request thereof, copies of any agreements and other documents evidencing, securing or otherwise governing Indebtedness owing to the Federal Home Loan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any such Indebtedness may only be incurred to the extent permitted pursuant to </w:t>
      </w:r>
      <w:r>
        <w:rPr>
          <w:rFonts w:ascii="Times New Roman" w:cs="Times New Roman" w:eastAsia="Times New Roman" w:hAnsi="Times New Roman"/>
          <w:sz w:val="18"/>
          <w:szCs w:val="18"/>
          <w:u w:val="single" w:color="auto"/>
          <w:color w:val="auto"/>
        </w:rPr>
        <w:t>Section 7.1(l)</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940" w:hanging="636"/>
        <w:spacing w:after="0"/>
        <w:tabs>
          <w:tab w:leader="none" w:pos="19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Existing Credit Agreement is hereby amended by amending and restating such Section in its entirety with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80" w:lineRule="exact"/>
        <w:rPr>
          <w:sz w:val="20"/>
          <w:szCs w:val="20"/>
          <w:color w:val="auto"/>
        </w:rPr>
      </w:pPr>
    </w:p>
    <w:p>
      <w:pPr>
        <w:jc w:val="both"/>
        <w:ind w:left="1300" w:firstLine="648"/>
        <w:spacing w:after="0" w:line="243"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b w:val="1"/>
          <w:bCs w:val="1"/>
          <w:u w:val="single" w:color="auto"/>
          <w:color w:val="auto"/>
        </w:rPr>
        <w:t>Use of Proceeds; Margin Regulations</w:t>
      </w:r>
      <w:r>
        <w:rPr>
          <w:rFonts w:ascii="Times New Roman" w:cs="Times New Roman" w:eastAsia="Times New Roman" w:hAnsi="Times New Roman"/>
          <w:sz w:val="18"/>
          <w:szCs w:val="18"/>
          <w:color w:val="auto"/>
        </w:rPr>
        <w:t>. The Borrower will use the proceeds of all Loans to refinance the Existing Credit Agreement, to pay transaction costs and expenses arising in connection with this Agreement, to finance working capital needs, to consummate Permitted Acquisitions, to pay Deferred Purchase Price Obligations (solely to the extent then due and payable), to make Investments in Insurance Subsidiaries permitted under Section 7.4(k), to make the Restricted Payment permitted under, and subject to the conditions set forth in, Section 7.5(h) and for other general corporate purposes of the Borrower and its</w:t>
      </w:r>
    </w:p>
    <w:p>
      <w:pPr>
        <w:sectPr>
          <w:pgSz w:w="11900" w:h="16838" w:orient="portrait"/>
          <w:cols w:equalWidth="0" w:num="1">
            <w:col w:w="11240"/>
          </w:cols>
          <w:pgMar w:left="320" w:top="11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394"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Subsidiaries. No part of the proceeds of any Loan will be used, whether directly or indirectly, for any purpose that would violate any Requirement of Law or any rule or regulation of the Board of Governors of the Federal Reserve System, including Regulation T, Regulation U or Regulation X. All Letters of Credit will be used for general corporate purposes.”</w:t>
      </w:r>
    </w:p>
    <w:p>
      <w:pPr>
        <w:spacing w:after="0" w:line="69" w:lineRule="exact"/>
        <w:rPr>
          <w:sz w:val="20"/>
          <w:szCs w:val="20"/>
          <w:color w:val="auto"/>
        </w:rPr>
      </w:pPr>
    </w:p>
    <w:p>
      <w:pPr>
        <w:jc w:val="both"/>
        <w:ind w:right="20" w:firstLine="1304"/>
        <w:spacing w:after="0" w:line="250" w:lineRule="auto"/>
        <w:tabs>
          <w:tab w:leader="none" w:pos="19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Existing Credit Agreement is hereby amended by replacing the semicolon at the end of clause (h) thereof with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2006 Documents are repaid in full in accordance with </w:t>
      </w:r>
      <w:r>
        <w:rPr>
          <w:rFonts w:ascii="Times New Roman" w:cs="Times New Roman" w:eastAsia="Times New Roman" w:hAnsi="Times New Roman"/>
          <w:sz w:val="18"/>
          <w:szCs w:val="18"/>
          <w:u w:val="single" w:color="auto"/>
          <w:color w:val="auto"/>
        </w:rPr>
        <w:t>Section 7.5(h)</w:t>
      </w:r>
      <w:r>
        <w:rPr>
          <w:rFonts w:ascii="Times New Roman" w:cs="Times New Roman" w:eastAsia="Times New Roman" w:hAnsi="Times New Roman"/>
          <w:sz w:val="18"/>
          <w:szCs w:val="18"/>
          <w:color w:val="auto"/>
        </w:rPr>
        <w:t xml:space="preserve">, no such Indebtedness shall be permitted to be renewed, replaced or outstanding (notwithstanding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above);”.</w:t>
      </w:r>
    </w:p>
    <w:p>
      <w:pPr>
        <w:spacing w:after="0" w:line="68" w:lineRule="exact"/>
        <w:rPr>
          <w:rFonts w:ascii="Times New Roman" w:cs="Times New Roman" w:eastAsia="Times New Roman" w:hAnsi="Times New Roman"/>
          <w:sz w:val="18"/>
          <w:szCs w:val="18"/>
          <w:color w:val="auto"/>
        </w:rPr>
      </w:pPr>
    </w:p>
    <w:p>
      <w:pPr>
        <w:jc w:val="both"/>
        <w:ind w:right="340" w:firstLine="1304"/>
        <w:spacing w:after="0" w:line="242" w:lineRule="auto"/>
        <w:tabs>
          <w:tab w:leader="none" w:pos="19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Existing Credit Agreement is hereby further amended by (i) deleting the “and” following the semicolon in clause (j) thereof, (ii) replacing the period at the end of clause (k) thereof with “;”, and (iii) inserting the following new clauses (l) and (m) immediately following clause (k) thereof:</w:t>
      </w:r>
    </w:p>
    <w:p>
      <w:pPr>
        <w:spacing w:after="0" w:line="76" w:lineRule="exact"/>
        <w:rPr>
          <w:sz w:val="20"/>
          <w:szCs w:val="20"/>
          <w:color w:val="auto"/>
        </w:rPr>
      </w:pPr>
    </w:p>
    <w:p>
      <w:pPr>
        <w:ind w:left="1300" w:firstLine="648"/>
        <w:spacing w:after="0" w:line="266" w:lineRule="auto"/>
        <w:rPr>
          <w:sz w:val="20"/>
          <w:szCs w:val="20"/>
          <w:color w:val="auto"/>
        </w:rPr>
      </w:pPr>
      <w:r>
        <w:rPr>
          <w:rFonts w:ascii="Times New Roman" w:cs="Times New Roman" w:eastAsia="Times New Roman" w:hAnsi="Times New Roman"/>
          <w:sz w:val="18"/>
          <w:szCs w:val="18"/>
          <w:color w:val="auto"/>
        </w:rPr>
        <w:t>“(l) Indebtedness (but only of a Domestic Insurance Subsidiary) owing to the Federal Home Loan Bank of which such Insurance Subsidiary is a member; and</w:t>
      </w:r>
    </w:p>
    <w:p>
      <w:pPr>
        <w:spacing w:after="0" w:line="54" w:lineRule="exact"/>
        <w:rPr>
          <w:sz w:val="20"/>
          <w:szCs w:val="20"/>
          <w:color w:val="auto"/>
        </w:rPr>
      </w:pPr>
    </w:p>
    <w:p>
      <w:pPr>
        <w:jc w:val="both"/>
        <w:ind w:left="1300" w:firstLine="652"/>
        <w:spacing w:after="0"/>
        <w:tabs>
          <w:tab w:leader="none" w:pos="2266"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of the Borrower pursuant to a loan evidenced by an intercompany note that is owing solely to a Domestic Insurance Subsidiary which has received a loan from the Federal Home Loan Bank permitted pursuant to Section 7.1(l), solely to the extent that the proceeds of such unsecured Indebtedness are used by the Borrower to either (i) make the Restricted Payment to repay all Indebtedness and other obligations owing in respect of the 2006 Documents to the extent permitted under, and subject to the conditions set forth in, Section 7.5(h) or (ii) repay any outstanding Revolving Loans; provided that the amount of the intercompany Indebtedness permitted to be incurred by the Borrower shall not exceed the amount of the Indebtedness incurred by the Domestic Insurance Subsidiary from the Federal Home Loan Bank.”</w:t>
      </w:r>
    </w:p>
    <w:p>
      <w:pPr>
        <w:spacing w:after="0" w:line="76" w:lineRule="exact"/>
        <w:rPr>
          <w:rFonts w:ascii="Times New Roman" w:cs="Times New Roman" w:eastAsia="Times New Roman" w:hAnsi="Times New Roman"/>
          <w:sz w:val="18"/>
          <w:szCs w:val="18"/>
          <w:color w:val="auto"/>
        </w:rPr>
      </w:pPr>
    </w:p>
    <w:p>
      <w:pPr>
        <w:jc w:val="both"/>
        <w:ind w:firstLine="1304"/>
        <w:spacing w:after="0" w:line="238" w:lineRule="auto"/>
        <w:tabs>
          <w:tab w:leader="none" w:pos="193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of the Existing Credit Agreement is hereby amended by (i) deleting the “and” following the semicolon in clause (m) thereof, (ii) replacing the period at the end of clause (n) thereof with “; and”, and (iii) inserting the following new clause (o) immediately following clause</w:t>
      </w:r>
    </w:p>
    <w:p>
      <w:pPr>
        <w:ind w:left="260" w:hanging="252"/>
        <w:spacing w:after="0"/>
        <w:tabs>
          <w:tab w:leader="none" w:pos="2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84" w:lineRule="exact"/>
        <w:rPr>
          <w:sz w:val="20"/>
          <w:szCs w:val="20"/>
          <w:color w:val="auto"/>
        </w:rPr>
      </w:pPr>
    </w:p>
    <w:p>
      <w:pPr>
        <w:ind w:left="1300" w:right="20" w:firstLine="648"/>
        <w:spacing w:after="0" w:line="266" w:lineRule="auto"/>
        <w:rPr>
          <w:sz w:val="20"/>
          <w:szCs w:val="20"/>
          <w:color w:val="auto"/>
        </w:rPr>
      </w:pPr>
      <w:r>
        <w:rPr>
          <w:rFonts w:ascii="Times New Roman" w:cs="Times New Roman" w:eastAsia="Times New Roman" w:hAnsi="Times New Roman"/>
          <w:sz w:val="18"/>
          <w:szCs w:val="18"/>
          <w:color w:val="auto"/>
        </w:rPr>
        <w:t>“(o) Liens in favor of the Federal Home Loan Bank on the assets of a Domestic Insurance Subsidiary to secure Indebtedness permitted by Section 7.1(l).”</w:t>
      </w:r>
    </w:p>
    <w:p>
      <w:pPr>
        <w:spacing w:after="0" w:line="54" w:lineRule="exact"/>
        <w:rPr>
          <w:sz w:val="20"/>
          <w:szCs w:val="20"/>
          <w:color w:val="auto"/>
        </w:rPr>
      </w:pPr>
    </w:p>
    <w:p>
      <w:pPr>
        <w:jc w:val="both"/>
        <w:ind w:firstLine="1304"/>
        <w:spacing w:after="0" w:line="250" w:lineRule="auto"/>
        <w:tabs>
          <w:tab w:leader="none" w:pos="193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the Existing Credit Agreement is hereby amended by (i) deleting the “and” following the semicolon in clause (f) thereof, (ii) replacing the period at the end of clause (g) thereof with “;” and (iii) inserting the following new clauses (h) and (i) immediately following clause (g) thereof:</w:t>
      </w:r>
    </w:p>
    <w:p>
      <w:pPr>
        <w:spacing w:after="0" w:line="69" w:lineRule="exact"/>
        <w:rPr>
          <w:sz w:val="20"/>
          <w:szCs w:val="20"/>
          <w:color w:val="auto"/>
        </w:rPr>
      </w:pPr>
    </w:p>
    <w:p>
      <w:pPr>
        <w:jc w:val="both"/>
        <w:ind w:left="1300" w:firstLine="648"/>
        <w:spacing w:after="0" w:line="246" w:lineRule="auto"/>
        <w:rPr>
          <w:sz w:val="20"/>
          <w:szCs w:val="20"/>
          <w:color w:val="auto"/>
        </w:rPr>
      </w:pPr>
      <w:r>
        <w:rPr>
          <w:rFonts w:ascii="Times New Roman" w:cs="Times New Roman" w:eastAsia="Times New Roman" w:hAnsi="Times New Roman"/>
          <w:sz w:val="18"/>
          <w:szCs w:val="18"/>
          <w:color w:val="auto"/>
        </w:rPr>
        <w:t>“(h) the repayment in full by the Borrower of all Indebtedness and other obligations owing by the Borrower and its Subsidiaries in respect of the 2006 Documents so long as (x) no Default or Event of Default has occurred and is continuing or would result therefrom,</w:t>
      </w:r>
    </w:p>
    <w:p>
      <w:pPr>
        <w:spacing w:after="0" w:line="1" w:lineRule="exact"/>
        <w:rPr>
          <w:sz w:val="20"/>
          <w:szCs w:val="20"/>
          <w:color w:val="auto"/>
        </w:rPr>
      </w:pPr>
    </w:p>
    <w:p>
      <w:pPr>
        <w:jc w:val="both"/>
        <w:ind w:left="1300" w:firstLine="4"/>
        <w:spacing w:after="0" w:line="234" w:lineRule="auto"/>
        <w:tabs>
          <w:tab w:leader="none" w:pos="157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in compliance with each of the covenants set forth in Article VI, recomputed on a pro forma basis as of the most recently ended Fiscal Quarter for which financial statements are required to have been delivered pursuant to this Agreement as if such repayment had occurred on the first day of the relevant period for testing compliance (and the Borrower shall have delivered to the Administrative Agent a Compliance Certificate evidencing such compliance and certifying as to the other matters in sub- clauses (x) and</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34" w:lineRule="auto"/>
        <w:tabs>
          <w:tab w:leader="none" w:pos="15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clause (h)) and (z) after giving effect to such repayment, all of the 2006 Documents shall have been terminated, discharged and released and are of no further force and effect and neither the Borrower nor any of its Subsidiaries shall have any remaining obligations in respect of the 2006 Documents other than those which by their express terms survive termination of the 2006 Documents; and</w:t>
      </w:r>
    </w:p>
    <w:p>
      <w:pPr>
        <w:spacing w:after="0" w:line="76" w:lineRule="exact"/>
        <w:rPr>
          <w:rFonts w:ascii="Times New Roman" w:cs="Times New Roman" w:eastAsia="Times New Roman" w:hAnsi="Times New Roman"/>
          <w:sz w:val="18"/>
          <w:szCs w:val="18"/>
          <w:color w:val="auto"/>
        </w:rPr>
      </w:pPr>
    </w:p>
    <w:p>
      <w:pPr>
        <w:jc w:val="both"/>
        <w:ind w:left="1300" w:firstLine="652"/>
        <w:spacing w:after="0" w:line="241" w:lineRule="auto"/>
        <w:tabs>
          <w:tab w:leader="none" w:pos="216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repay intercompany Indebtedness owing by a Loan Party to an Insurance Subsidiary so long as (i) no Default or Event of Default then exists or would result therefrom and (ii) the Borrower shall be in compliance with each of the covenants set forth in Article VI, recomputed on a pro forma basis as of the most recently ended Fiscal Quarter for which financial statements are required to have been delivered pursuant to this Agreement as if such Restricted Payment had been made on the first day of the relevant period for testing compliance (and the Borrower shall have delivered to the Administrative Agent a Compliance Certificate evidencing such compliance and certifying as to the other matters in clauses (i) and (ii) of this clause (i)).”</w:t>
      </w:r>
    </w:p>
    <w:p>
      <w:pPr>
        <w:spacing w:after="0" w:line="76" w:lineRule="exact"/>
        <w:rPr>
          <w:sz w:val="20"/>
          <w:szCs w:val="20"/>
          <w:color w:val="auto"/>
        </w:rPr>
      </w:pPr>
    </w:p>
    <w:p>
      <w:pPr>
        <w:jc w:val="both"/>
        <w:ind w:firstLine="1304"/>
        <w:spacing w:after="0" w:line="250" w:lineRule="auto"/>
        <w:tabs>
          <w:tab w:leader="none" w:pos="193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of the Existing Credit Agreement is hereby amended by (i) deleting the “and” following the semicolon in clause (c) thereof, (ii) replacing the period at the end of clause (d) thereof with “;”, and (iii) inserting the following new clauses (e) and (f) immediately following clause (d) thereof:</w:t>
      </w:r>
    </w:p>
    <w:p>
      <w:pPr>
        <w:spacing w:after="0" w:line="6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Indebtedness permitted by Section 7.1(m); and</w:t>
      </w:r>
    </w:p>
    <w:p>
      <w:pPr>
        <w:sectPr>
          <w:pgSz w:w="11900" w:h="16838" w:orient="portrait"/>
          <w:cols w:equalWidth="0" w:num="1">
            <w:col w:w="11240"/>
          </w:cols>
          <w:pgMar w:left="320" w:top="11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394" w:lineRule="exact"/>
        <w:rPr>
          <w:sz w:val="20"/>
          <w:szCs w:val="20"/>
          <w:color w:val="auto"/>
        </w:rPr>
      </w:pPr>
    </w:p>
    <w:p>
      <w:pPr>
        <w:ind w:left="2180" w:hanging="228"/>
        <w:spacing w:after="0"/>
        <w:tabs>
          <w:tab w:leader="none" w:pos="21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by Section 7.4(d).”</w:t>
      </w:r>
    </w:p>
    <w:p>
      <w:pPr>
        <w:spacing w:after="0" w:line="103" w:lineRule="exact"/>
        <w:rPr>
          <w:rFonts w:ascii="Times New Roman" w:cs="Times New Roman" w:eastAsia="Times New Roman" w:hAnsi="Times New Roman"/>
          <w:sz w:val="18"/>
          <w:szCs w:val="18"/>
          <w:color w:val="auto"/>
        </w:rPr>
      </w:pPr>
    </w:p>
    <w:p>
      <w:pPr>
        <w:ind w:firstLine="1304"/>
        <w:spacing w:after="0" w:line="266" w:lineRule="auto"/>
        <w:tabs>
          <w:tab w:leader="none" w:pos="19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to the Existing Credit Agreement (Commitment Amounts) is hereby amended by replacing the reference to “BMO Harris Bank N.A.” therein with “BMO Bank N.A. (formerly known as BMO Harris Bank N.A.)”.</w:t>
      </w:r>
    </w:p>
    <w:p>
      <w:pPr>
        <w:spacing w:after="0" w:line="54" w:lineRule="exact"/>
        <w:rPr>
          <w:sz w:val="20"/>
          <w:szCs w:val="20"/>
          <w:color w:val="auto"/>
        </w:rPr>
      </w:pPr>
    </w:p>
    <w:p>
      <w:pPr>
        <w:ind w:right="160" w:firstLine="756"/>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This Agreement shall become effective as of the date on which each of the following conditions precedent are satisfied (such date,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1304"/>
        <w:spacing w:after="0" w:line="266" w:lineRule="auto"/>
        <w:tabs>
          <w:tab w:leader="none" w:pos="194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a counterpart of this Agreement duly executed by each of the Borrower, the Administrative Agent and the Required Lenders;</w:t>
      </w:r>
    </w:p>
    <w:p>
      <w:pPr>
        <w:spacing w:after="0" w:line="40" w:lineRule="exact"/>
        <w:rPr>
          <w:rFonts w:ascii="Times New Roman" w:cs="Times New Roman" w:eastAsia="Times New Roman" w:hAnsi="Times New Roman"/>
          <w:sz w:val="18"/>
          <w:szCs w:val="18"/>
          <w:color w:val="auto"/>
        </w:rPr>
      </w:pPr>
    </w:p>
    <w:p>
      <w:pPr>
        <w:jc w:val="both"/>
        <w:ind w:firstLine="1304"/>
        <w:spacing w:after="0" w:line="250" w:lineRule="auto"/>
        <w:tabs>
          <w:tab w:leader="none" w:pos="19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shall be true and correct in all material respects (other than those representations and warranties that are expressly qualified by a Material Adverse Effect or other materiality, in which case such representations and warranties shall be true and correct in all respects); and</w:t>
      </w:r>
    </w:p>
    <w:p>
      <w:pPr>
        <w:spacing w:after="0" w:line="68" w:lineRule="exact"/>
        <w:rPr>
          <w:rFonts w:ascii="Times New Roman" w:cs="Times New Roman" w:eastAsia="Times New Roman" w:hAnsi="Times New Roman"/>
          <w:sz w:val="18"/>
          <w:szCs w:val="18"/>
          <w:color w:val="auto"/>
        </w:rPr>
      </w:pPr>
    </w:p>
    <w:p>
      <w:pPr>
        <w:ind w:firstLine="1304"/>
        <w:spacing w:after="0" w:line="266" w:lineRule="auto"/>
        <w:tabs>
          <w:tab w:leader="none" w:pos="194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reimbursement or payment of all fees, expenses and other amounts that have been invoiced and are due and payable on or prior to the First Amendment Effective Date (including amounts required to be paid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The Borrower represents and warrants to the Administrative Agent and the Lenders that:</w:t>
      </w:r>
    </w:p>
    <w:p>
      <w:pPr>
        <w:spacing w:after="0" w:line="104" w:lineRule="exact"/>
        <w:rPr>
          <w:sz w:val="20"/>
          <w:szCs w:val="20"/>
          <w:color w:val="auto"/>
        </w:rPr>
      </w:pPr>
    </w:p>
    <w:p>
      <w:pPr>
        <w:jc w:val="both"/>
        <w:ind w:firstLine="1304"/>
        <w:spacing w:after="0" w:line="250" w:lineRule="auto"/>
        <w:tabs>
          <w:tab w:leader="none" w:pos="19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Borrower and each of its Subsidiaries has all requisite power and authority to (i) carry on its business as now conducted and (ii) execute, deliver and perform its obligations under this Agreement and the other Loan Documents to which it is a party (after giving effect to this Agreement).</w:t>
      </w:r>
    </w:p>
    <w:p>
      <w:pPr>
        <w:spacing w:after="0" w:line="68" w:lineRule="exact"/>
        <w:rPr>
          <w:rFonts w:ascii="Times New Roman" w:cs="Times New Roman" w:eastAsia="Times New Roman" w:hAnsi="Times New Roman"/>
          <w:sz w:val="18"/>
          <w:szCs w:val="18"/>
          <w:color w:val="auto"/>
        </w:rPr>
      </w:pPr>
    </w:p>
    <w:p>
      <w:pPr>
        <w:jc w:val="both"/>
        <w:ind w:firstLine="1304"/>
        <w:spacing w:after="0" w:line="237" w:lineRule="auto"/>
        <w:tabs>
          <w:tab w:leader="none" w:pos="193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Power; Authorization; Governmental Approvals; No Conflict</w:t>
      </w:r>
      <w:r>
        <w:rPr>
          <w:rFonts w:ascii="Times New Roman" w:cs="Times New Roman" w:eastAsia="Times New Roman" w:hAnsi="Times New Roman"/>
          <w:sz w:val="18"/>
          <w:szCs w:val="18"/>
          <w:color w:val="auto"/>
        </w:rPr>
        <w:t>. The execution, delivery and performance by each Loan Party of this Agreement and each other Loan Document to which it is a party (after giving effect to this Agreement), are within such Loan Party’s organizational powers and have been duly authorized by all necessary organizational and, if required, shareholder, partner or member action and (i) do not require any consent or approval of, registration or filing with, or any action by, any Governmental Authority, except those as have been obtained or made and are in full force and effect, (ii) will not violate any Requirement of Law applicable to the Borrower or any of its Subsidiaries or any judgment, order or ruling of any Governmental Authority, (iii) will not violate or result in a default under any Contractual Obligation of the Borrower or any of its Subsidiaries or any of its assets or give rise to a right thereunder to require any payment to be made by the Borrower or any of its Subsidiaries, and (iv) will not result in the creation or imposition of any Lien on any asset of the Borrower or any of its Subsidiaries, except Liens (if any) created under the Loan Documents.</w:t>
      </w:r>
    </w:p>
    <w:p>
      <w:pPr>
        <w:spacing w:after="0" w:line="79" w:lineRule="exact"/>
        <w:rPr>
          <w:rFonts w:ascii="Times New Roman" w:cs="Times New Roman" w:eastAsia="Times New Roman" w:hAnsi="Times New Roman"/>
          <w:sz w:val="18"/>
          <w:szCs w:val="18"/>
          <w:color w:val="auto"/>
        </w:rPr>
      </w:pPr>
    </w:p>
    <w:p>
      <w:pPr>
        <w:jc w:val="both"/>
        <w:ind w:firstLine="1304"/>
        <w:spacing w:after="0" w:line="239" w:lineRule="auto"/>
        <w:tabs>
          <w:tab w:leader="none" w:pos="19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No Default</w:t>
      </w:r>
      <w:r>
        <w:rPr>
          <w:rFonts w:ascii="Times New Roman" w:cs="Times New Roman" w:eastAsia="Times New Roman" w:hAnsi="Times New Roman"/>
          <w:sz w:val="18"/>
          <w:szCs w:val="18"/>
          <w:color w:val="auto"/>
        </w:rPr>
        <w:t>. All of the representations and warranties of the Borrower set forth in the Loan Documents are hereby made by the Borrower to the Administrative Agent and the Lenders and such representations and warranties are true and correct in all material respects on the date hereof (other than those representations and warranties that are expressly qualified by a Material Adverse Effect or other materiality, in which case such representations and warranties shall be true and correct in all respects), except to the extent such representations and warranties are expressly limited to earlier date, in which case such representations and warranties are true and correct in all material respects (other than those representations and warranties that are expressly qualified by a Material Adverse Effect or other materiality, in which case such representations and warranties shall have been true and correct in all respects) on and as of such earlier date. Both immediately before and immediately after giving effect to this Agreement, no Default or Event of Default exists.</w:t>
      </w:r>
    </w:p>
    <w:p>
      <w:pPr>
        <w:spacing w:after="0" w:line="79" w:lineRule="exact"/>
        <w:rPr>
          <w:rFonts w:ascii="Times New Roman" w:cs="Times New Roman" w:eastAsia="Times New Roman" w:hAnsi="Times New Roman"/>
          <w:sz w:val="18"/>
          <w:szCs w:val="18"/>
          <w:color w:val="auto"/>
        </w:rPr>
      </w:pPr>
    </w:p>
    <w:p>
      <w:pPr>
        <w:jc w:val="both"/>
        <w:ind w:firstLine="1304"/>
        <w:spacing w:after="0"/>
        <w:tabs>
          <w:tab w:leader="none" w:pos="193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has been duly executed and delivered by the Borrower. This Agreement constitutes a legal, valid and binding obligation of the Borrower, enforceable against the Borrower in accordance with its terms, except as may be limited by applicable bankruptcy, insolvency, reorganization, moratorium or similar laws affecting the enforcement of creditors’ rights generally and by general principles of equity.</w:t>
      </w:r>
    </w:p>
    <w:p>
      <w:pPr>
        <w:spacing w:after="0" w:line="77" w:lineRule="exact"/>
        <w:rPr>
          <w:sz w:val="20"/>
          <w:szCs w:val="20"/>
          <w:color w:val="auto"/>
        </w:rPr>
      </w:pPr>
    </w:p>
    <w:p>
      <w:pPr>
        <w:jc w:val="both"/>
        <w:ind w:firstLine="755"/>
        <w:spacing w:after="0" w:line="24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Reaffirmation of Loan Documents</w:t>
      </w:r>
      <w:r>
        <w:rPr>
          <w:rFonts w:ascii="Times New Roman" w:cs="Times New Roman" w:eastAsia="Times New Roman" w:hAnsi="Times New Roman"/>
          <w:sz w:val="18"/>
          <w:szCs w:val="18"/>
          <w:color w:val="auto"/>
        </w:rPr>
        <w:t>. The Borrower hereby (a) agrees that each Loan Document to which it is a party shall continue to be in full force and effect, and (b) acknowledges that from and after the date hereof, all Loans from time to time outstanding shall be deemed to be Obligations. Nothing in this Agreement or in any of the transactions contemplated hereby is intended, or shall be construed, to constitute a novation or an accord and satisfaction of any of the Obligations of the Borrower under the Amended Credit Agreement or the other Loan Documents.</w:t>
      </w:r>
    </w:p>
    <w:p>
      <w:pPr>
        <w:spacing w:after="0" w:line="71" w:lineRule="exact"/>
        <w:rPr>
          <w:sz w:val="20"/>
          <w:szCs w:val="20"/>
          <w:color w:val="auto"/>
        </w:rPr>
      </w:pPr>
    </w:p>
    <w:p>
      <w:pPr>
        <w:jc w:val="both"/>
        <w:ind w:firstLine="755"/>
        <w:spacing w:after="0" w:line="26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Expenses and Indemnity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Amended Credit Agreement is hereby incorporated herein by reference,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as if such Section were set forth in full herein.</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Reference to and Effect on the Loan Documents; No Claims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394" w:lineRule="exact"/>
        <w:rPr>
          <w:sz w:val="20"/>
          <w:szCs w:val="20"/>
          <w:color w:val="auto"/>
        </w:rPr>
      </w:pPr>
    </w:p>
    <w:p>
      <w:pPr>
        <w:jc w:val="both"/>
        <w:ind w:firstLine="1304"/>
        <w:spacing w:after="0" w:line="245" w:lineRule="auto"/>
        <w:tabs>
          <w:tab w:leader="none" w:pos="19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First Amendment Effective Date, each reference in the Existing Credit Agreement to “this Agreement”, “hereunder”, “hereof” or words of like import referring to the Existing Credit Agreement, and each reference in the other Loan Documents to “the Credit Agreement”, “thereunder”, “thereof” or words of like import referring to the Existing Credit Agreement, shall mean and be a reference to the Amended Credit Agreement.</w:t>
      </w:r>
    </w:p>
    <w:p>
      <w:pPr>
        <w:spacing w:after="0" w:line="72" w:lineRule="exact"/>
        <w:rPr>
          <w:rFonts w:ascii="Times New Roman" w:cs="Times New Roman" w:eastAsia="Times New Roman" w:hAnsi="Times New Roman"/>
          <w:sz w:val="18"/>
          <w:szCs w:val="18"/>
          <w:color w:val="auto"/>
        </w:rPr>
      </w:pPr>
    </w:p>
    <w:p>
      <w:pPr>
        <w:ind w:firstLine="1304"/>
        <w:spacing w:after="0" w:line="266" w:lineRule="auto"/>
        <w:tabs>
          <w:tab w:leader="none" w:pos="193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 knowledge of any claims or defenses against the Administrative Agent or any Lender with respect to any of the Obligations or any of the rights or benefits of the Administrative Agent and the Lenders under or in respect of the Loan Documents.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This Agreement shall be binding upon and shall inure to the benefit of the parties hereto and their respective successors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w:t>
      </w:r>
    </w:p>
    <w:p>
      <w:pPr>
        <w:spacing w:after="0" w:line="84" w:lineRule="exact"/>
        <w:rPr>
          <w:sz w:val="20"/>
          <w:szCs w:val="20"/>
          <w:color w:val="auto"/>
        </w:rPr>
      </w:pPr>
    </w:p>
    <w:p>
      <w:pPr>
        <w:jc w:val="both"/>
        <w:ind w:firstLine="756"/>
        <w:spacing w:after="0" w:line="24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CONTROVERSY, DISPUTE OR CAUSE OF ACTION (WHETHER IN CONTRACT OR TORT OR OTHERWISE) BASED UPON, ARISING OUT OF OR RELATING TO THIS AGREEMENT AND THE TRANSACTIONS CONTEMPLATED HEREBY SHALL BE CONSTRUED IN ACCORDANCE WITH AND BE GOVERNED BY THE LAW (WITHOUT GIVING EFFECT TO THE CONFLICT OF LAW PRINCIPLES THEREOF) OF THE STATE OF NEW YORK.</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both"/>
        <w:ind w:right="120" w:firstLine="1304"/>
        <w:spacing w:after="0" w:line="250" w:lineRule="auto"/>
        <w:tabs>
          <w:tab w:leader="none" w:pos="194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the terms and conditions of the Existing Credit Agreement and the other Loan Documents remain unchanged and continue to be in full force and effect. The amendments and agreements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shall be deemed to have prospective application only. The Existing Credit Agreement and the other Loan Documents are hereby ratified and confirmed in all respects.</w:t>
      </w:r>
    </w:p>
    <w:p>
      <w:pPr>
        <w:spacing w:after="0" w:line="68" w:lineRule="exact"/>
        <w:rPr>
          <w:rFonts w:ascii="Times New Roman" w:cs="Times New Roman" w:eastAsia="Times New Roman" w:hAnsi="Times New Roman"/>
          <w:sz w:val="18"/>
          <w:szCs w:val="18"/>
          <w:color w:val="auto"/>
        </w:rPr>
      </w:pPr>
    </w:p>
    <w:p>
      <w:pPr>
        <w:jc w:val="both"/>
        <w:ind w:firstLine="1304"/>
        <w:spacing w:after="0" w:line="250" w:lineRule="auto"/>
        <w:tabs>
          <w:tab w:leader="none" w:pos="193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be deemed to constitute a waiver of compliance with any term or condition contained in the Amended Credit Agreement or any of the other Loan Documents, or constitute a course of conduct or dealing among the parties. The Administrative Agent and the Lenders reserve all rights, privileges and remedies under the Loan Documents.</w:t>
      </w:r>
    </w:p>
    <w:p>
      <w:pPr>
        <w:spacing w:after="0" w:line="68" w:lineRule="exact"/>
        <w:rPr>
          <w:rFonts w:ascii="Times New Roman" w:cs="Times New Roman" w:eastAsia="Times New Roman" w:hAnsi="Times New Roman"/>
          <w:sz w:val="18"/>
          <w:szCs w:val="18"/>
          <w:color w:val="auto"/>
        </w:rPr>
      </w:pPr>
    </w:p>
    <w:p>
      <w:pPr>
        <w:jc w:val="both"/>
        <w:ind w:firstLine="1304"/>
        <w:spacing w:after="0" w:line="242" w:lineRule="auto"/>
        <w:tabs>
          <w:tab w:leader="none" w:pos="194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other Loan Documents, comprises the complete and integrated agreement of the parties on the subject matter hereof and thereof and supersedes all prior agreements, written or oral, on such subject matter. This Agreement shall for all purposes be deemed to be a “Loan Document” under the Amended Credit Agreement and entitled to the benefits thereof.</w:t>
      </w:r>
    </w:p>
    <w:p>
      <w:pPr>
        <w:spacing w:after="0" w:line="76" w:lineRule="exact"/>
        <w:rPr>
          <w:sz w:val="20"/>
          <w:szCs w:val="20"/>
          <w:color w:val="auto"/>
        </w:rPr>
      </w:pPr>
    </w:p>
    <w:p>
      <w:pPr>
        <w:jc w:val="both"/>
        <w:ind w:firstLine="755"/>
        <w:spacing w:after="0" w:line="250"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Borrower agrees to take all further actions and execute such other documents and instruments as the Administrative Agent may from time to time reasonably request to carry out the transactions contemplated by this Agreement and all other agreements executed and delivered in connection herewith.</w:t>
      </w:r>
    </w:p>
    <w:p>
      <w:pPr>
        <w:spacing w:after="0" w:line="69" w:lineRule="exact"/>
        <w:rPr>
          <w:sz w:val="20"/>
          <w:szCs w:val="20"/>
          <w:color w:val="auto"/>
        </w:rPr>
      </w:pPr>
    </w:p>
    <w:p>
      <w:pPr>
        <w:jc w:val="both"/>
        <w:ind w:firstLine="756"/>
        <w:spacing w:after="0" w:line="250"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instrument. Delivery by facsimile, email or other electronic transmission of an executed counterpart of a signature page to this Agreement shall be effective as delivery of an original executed counterpart of this Agreement.</w:t>
      </w:r>
    </w:p>
    <w:p>
      <w:pPr>
        <w:spacing w:after="0" w:line="69" w:lineRule="exact"/>
        <w:rPr>
          <w:sz w:val="20"/>
          <w:szCs w:val="20"/>
          <w:color w:val="auto"/>
        </w:rPr>
      </w:pPr>
    </w:p>
    <w:p>
      <w:pPr>
        <w:jc w:val="both"/>
        <w:ind w:firstLine="754"/>
        <w:spacing w:after="0" w:line="250"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amendment or waiver of any provision of this Agreement, and no consent to any departure by the Borrower herefrom, shall be effective unless in writing signed by the Administrative Agent, the Lenders and the Borrower, and each such waiver, amendment or consent shall be effective only in the specific instance and for the specific purpose for which given.</w:t>
      </w:r>
    </w:p>
    <w:p>
      <w:pPr>
        <w:spacing w:after="0" w:line="69" w:lineRule="exact"/>
        <w:rPr>
          <w:sz w:val="20"/>
          <w:szCs w:val="20"/>
          <w:color w:val="auto"/>
        </w:rPr>
      </w:pPr>
    </w:p>
    <w:p>
      <w:pPr>
        <w:jc w:val="both"/>
        <w:ind w:firstLine="755"/>
        <w:spacing w:after="0" w:line="24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illegal, invalid or unenforceable, the legality, validity and enforceability of the remaining provisions of this Agreement shall not be affected or impaired thereby. The invalidity of a provision in a particular jurisdiction shall not invalidate or render unenforceable such provision in any other jurisdiction.</w:t>
      </w:r>
    </w:p>
    <w:p>
      <w:pPr>
        <w:spacing w:after="0" w:line="76" w:lineRule="exact"/>
        <w:rPr>
          <w:sz w:val="20"/>
          <w:szCs w:val="20"/>
          <w:color w:val="auto"/>
        </w:rPr>
      </w:pPr>
    </w:p>
    <w:p>
      <w:pPr>
        <w:jc w:val="both"/>
        <w:ind w:firstLine="756"/>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and captions used in this Agreement are included for convenience of reference only and shall not be given any substantive effect.</w:t>
      </w:r>
    </w:p>
    <w:p>
      <w:pPr>
        <w:spacing w:after="0" w:line="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[Signatures on Following Pages]</w:t>
      </w:r>
    </w:p>
    <w:p>
      <w:pPr>
        <w:sectPr>
          <w:pgSz w:w="11900" w:h="16838" w:orient="portrait"/>
          <w:cols w:equalWidth="0" w:num="1">
            <w:col w:w="11240"/>
          </w:cols>
          <w:pgMar w:left="320" w:top="11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3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First Amendment to be duly executed as of the date first above written.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 SKYWARD SPECIALTY INSURANCE GROUP,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/s/Mark W. Haushill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W. Haushill</w:t>
      </w:r>
    </w:p>
    <w:p>
      <w:pPr>
        <w:spacing w:after="0"/>
        <w:rPr>
          <w:sz w:val="20"/>
          <w:szCs w:val="20"/>
          <w:color w:val="auto"/>
        </w:rPr>
      </w:pPr>
      <w:r>
        <w:rPr>
          <w:rFonts w:ascii="Times New Roman" w:cs="Times New Roman" w:eastAsia="Times New Roman" w:hAnsi="Times New Roman"/>
          <w:sz w:val="18"/>
          <w:szCs w:val="18"/>
          <w:color w:val="auto"/>
        </w:rPr>
        <w:t>Title: CFO</w:t>
      </w:r>
    </w:p>
    <w:p>
      <w:pPr>
        <w:spacing w:after="0" w:line="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TRUIST BANK, </w:t>
      </w:r>
      <w:r>
        <w:rPr>
          <w:rFonts w:ascii="Times New Roman" w:cs="Times New Roman" w:eastAsia="Times New Roman" w:hAnsi="Times New Roman"/>
          <w:sz w:val="18"/>
          <w:szCs w:val="18"/>
          <w:color w:val="auto"/>
        </w:rPr>
        <w:t>as Administrative Agent and a Lender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/s/Hays Wood</w:t>
      </w:r>
    </w:p>
    <w:p>
      <w:pPr>
        <w:spacing w:after="0" w:line="237" w:lineRule="auto"/>
        <w:rPr>
          <w:sz w:val="20"/>
          <w:szCs w:val="20"/>
          <w:color w:val="auto"/>
        </w:rPr>
      </w:pPr>
      <w:r>
        <w:rPr>
          <w:rFonts w:ascii="Times New Roman" w:cs="Times New Roman" w:eastAsia="Times New Roman" w:hAnsi="Times New Roman"/>
          <w:sz w:val="18"/>
          <w:szCs w:val="18"/>
          <w:color w:val="auto"/>
        </w:rPr>
        <w:t>Name: Hays Wood</w:t>
      </w: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CITIZENS BANK, N.A </w:t>
      </w:r>
      <w:r>
        <w:rPr>
          <w:rFonts w:ascii="Times New Roman" w:cs="Times New Roman" w:eastAsia="Times New Roman" w:hAnsi="Times New Roman"/>
          <w:sz w:val="18"/>
          <w:szCs w:val="18"/>
          <w:color w:val="auto"/>
        </w:rPr>
        <w:t>as a Lender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/s/Dora Yagudayeva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Dora Yagudayeva</w:t>
      </w:r>
    </w:p>
    <w:p>
      <w:pPr>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BMO BANK N.A. </w:t>
      </w:r>
      <w:r>
        <w:rPr>
          <w:rFonts w:ascii="Times New Roman" w:cs="Times New Roman" w:eastAsia="Times New Roman" w:hAnsi="Times New Roman"/>
          <w:sz w:val="18"/>
          <w:szCs w:val="18"/>
          <w:color w:val="auto"/>
        </w:rPr>
        <w:t>(formerly known as BMO HARRIS BANK N.A.)</w:t>
      </w:r>
    </w:p>
    <w:p>
      <w:pPr>
        <w:spacing w:after="0" w:line="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as a Lender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/s/Benjamin Mlot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Benjamin Mlot</w:t>
      </w: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TEXAS CAPITAL BANK </w:t>
      </w:r>
      <w:r>
        <w:rPr>
          <w:rFonts w:ascii="Times New Roman" w:cs="Times New Roman" w:eastAsia="Times New Roman" w:hAnsi="Times New Roman"/>
          <w:sz w:val="18"/>
          <w:szCs w:val="18"/>
          <w:color w:val="auto"/>
        </w:rPr>
        <w:t>as a Lender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/s/Jad Elawar</w:t>
      </w:r>
    </w:p>
    <w:p>
      <w:pPr>
        <w:spacing w:after="0" w:line="237" w:lineRule="auto"/>
        <w:rPr>
          <w:sz w:val="20"/>
          <w:szCs w:val="20"/>
          <w:color w:val="auto"/>
        </w:rPr>
      </w:pPr>
      <w:r>
        <w:rPr>
          <w:rFonts w:ascii="Times New Roman" w:cs="Times New Roman" w:eastAsia="Times New Roman" w:hAnsi="Times New Roman"/>
          <w:sz w:val="18"/>
          <w:szCs w:val="18"/>
          <w:color w:val="auto"/>
        </w:rPr>
        <w:t>Name: Jad Elawar</w:t>
      </w:r>
    </w:p>
    <w:p>
      <w:pPr>
        <w:ind w:left="3240"/>
        <w:spacing w:after="0"/>
        <w:rPr>
          <w:sz w:val="20"/>
          <w:szCs w:val="20"/>
          <w:color w:val="auto"/>
        </w:rPr>
      </w:pPr>
      <w:r>
        <w:rPr>
          <w:rFonts w:ascii="Times New Roman" w:cs="Times New Roman" w:eastAsia="Times New Roman" w:hAnsi="Times New Roman"/>
          <w:sz w:val="18"/>
          <w:szCs w:val="18"/>
          <w:color w:val="auto"/>
        </w:rPr>
        <w:t>Title: VP, Sr. Portfolio Manager</w:t>
      </w:r>
    </w:p>
    <w:p>
      <w:pPr>
        <w:sectPr>
          <w:pgSz w:w="11900" w:h="16838" w:orient="portrait"/>
          <w:cols w:equalWidth="0" w:num="1">
            <w:col w:w="11240"/>
          </w:cols>
          <w:pgMar w:left="320" w:top="11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320" w:firstLine="3318"/>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77" w:lineRule="exact"/>
        <w:rPr>
          <w:sz w:val="20"/>
          <w:szCs w:val="20"/>
          <w:color w:val="auto"/>
        </w:rPr>
      </w:pPr>
    </w:p>
    <w:p>
      <w:pPr>
        <w:ind w:left="580" w:hanging="248"/>
        <w:spacing w:after="0"/>
        <w:tabs>
          <w:tab w:leader="none" w:pos="5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S-1 No. 333-268326) and</w:t>
      </w:r>
    </w:p>
    <w:p>
      <w:pPr>
        <w:spacing w:after="0" w:line="1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333-269208)</w:t>
      </w:r>
    </w:p>
    <w:p>
      <w:pPr>
        <w:spacing w:after="0" w:line="21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pertaining to the Share Purchase and Award Agreement, the 2016 Equity Incentive Program, the 2020 Long Term Incentive Plan, the 2022 Long-Term Incentive Plan, and the 2022 Employee Stock Purchase Plan of Skyward Specialty Insurance Group, Inc. of our report dated April 1, 2024, with respect to the consolidated financial statements of Skyward Specialty Insurance Group, Inc. included in this Annual Report (Form 10-K) of Skyward Specialty Insurance Group, Inc. for the year ended December 31, 2023.</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Houston, Texas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1, 2024</w:t>
      </w:r>
    </w:p>
    <w:p>
      <w:pPr>
        <w:sectPr>
          <w:pgSz w:w="11900" w:h="16838" w:orient="portrait"/>
          <w:cols w:equalWidth="0" w:num="1">
            <w:col w:w="11240"/>
          </w:cols>
          <w:pgMar w:left="320" w:top="117" w:right="339" w:bottom="1440" w:gutter="0" w:footer="0" w:header="0"/>
        </w:sectPr>
      </w:pPr>
    </w:p>
    <w:bookmarkStart w:id="185" w:name="page186"/>
    <w:bookmarkEnd w:id="185"/>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520" w:hanging="188"/>
        <w:spacing w:after="0"/>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hanging="8"/>
        <w:spacing w:after="0" w:line="282" w:lineRule="auto"/>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820" w:hanging="2"/>
        <w:spacing w:after="0" w:line="266" w:lineRule="auto"/>
        <w:tabs>
          <w:tab w:leader="none" w:pos="99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20" w:right="20" w:hanging="2"/>
        <w:spacing w:after="0" w:line="282" w:lineRule="auto"/>
        <w:tabs>
          <w:tab w:leader="none" w:pos="102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2"/>
        <w:spacing w:after="0" w:line="266" w:lineRule="auto"/>
        <w:tabs>
          <w:tab w:leader="none" w:pos="99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2"/>
        <w:spacing w:after="0" w:line="282" w:lineRule="auto"/>
        <w:tabs>
          <w:tab w:leader="none" w:pos="103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2"/>
        <w:spacing w:after="0" w:line="282" w:lineRule="auto"/>
        <w:tabs>
          <w:tab w:leader="none" w:pos="101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1, 2024</w:t>
            </w:r>
          </w:p>
        </w:tc>
        <w:tc>
          <w:tcPr>
            <w:tcW w:w="2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186" w:name="page187"/>
    <w:bookmarkEnd w:id="186"/>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520" w:hanging="188"/>
        <w:spacing w:after="0"/>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hanging="8"/>
        <w:spacing w:after="0" w:line="282"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820" w:hanging="2"/>
        <w:spacing w:after="0" w:line="266" w:lineRule="auto"/>
        <w:tabs>
          <w:tab w:leader="none" w:pos="99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20" w:right="20" w:hanging="2"/>
        <w:spacing w:after="0" w:line="282" w:lineRule="auto"/>
        <w:tabs>
          <w:tab w:leader="none" w:pos="1027"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2"/>
        <w:spacing w:after="0" w:line="266" w:lineRule="auto"/>
        <w:tabs>
          <w:tab w:leader="none" w:pos="99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2"/>
        <w:spacing w:after="0" w:line="282" w:lineRule="auto"/>
        <w:tabs>
          <w:tab w:leader="none" w:pos="103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2"/>
        <w:spacing w:after="0" w:line="282" w:lineRule="auto"/>
        <w:tabs>
          <w:tab w:leader="none" w:pos="101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1, 2024</w:t>
            </w:r>
          </w:p>
        </w:tc>
        <w:tc>
          <w:tcPr>
            <w:tcW w:w="2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Skyward Specialty Insurance Group, Inc. (the “Company”) for the fiscal year ended December 31, 2023,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1, 2024</w:t>
            </w: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1, 2024</w:t>
            </w: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390" w:lineRule="exact"/>
        <w:rPr>
          <w:sz w:val="20"/>
          <w:szCs w:val="20"/>
          <w:color w:val="auto"/>
        </w:rPr>
      </w:pPr>
    </w:p>
    <w:p>
      <w:pPr>
        <w:jc w:val="center"/>
        <w:spacing w:after="0" w:line="424" w:lineRule="auto"/>
        <w:rPr>
          <w:sz w:val="20"/>
          <w:szCs w:val="20"/>
          <w:color w:val="auto"/>
        </w:rPr>
      </w:pPr>
      <w:r>
        <w:rPr>
          <w:rFonts w:ascii="Times New Roman" w:cs="Times New Roman" w:eastAsia="Times New Roman" w:hAnsi="Times New Roman"/>
          <w:sz w:val="18"/>
          <w:szCs w:val="18"/>
          <w:b w:val="1"/>
          <w:bCs w:val="1"/>
          <w:color w:val="auto"/>
        </w:rPr>
        <w:t>SKYWARD SPECIALTY INSURANCE GROUP, INC. POLICY FOR RECOVERY OF ERRONEOUSLY AWARDED INCENTIVE COMPENSATION (Adopted November 9,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1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Skyward Specialty Insurance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adopting this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provide for the Company’s recovery of certain Incentive Compensation (as defined below) erroneously awarded to Affected Officers (as defined below) under certain circumstances. This Policy is effective as of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Policy is administered by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p>
    <w:p>
      <w:pPr>
        <w:spacing w:after="0" w:line="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Policy is intended to comply with Section 10D of the Securities and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Rule 10D-1 thereunder and the applicable rules of any national securities exchange on which the Company’s securities are then listed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and will be interpreted and administered consistent with that intent.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EFFECTIVE DATE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shall apply to all Incentive Compensation received by an Affected Officer on or after the Effective Date to the extent permitted or required by applicable law or the rules of the Exchange.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DEFINITIONS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Policy, the following terms shall have the meanings set forth below:</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Officer</w:t>
      </w:r>
      <w:r>
        <w:rPr>
          <w:rFonts w:ascii="Times New Roman" w:cs="Times New Roman" w:eastAsia="Times New Roman" w:hAnsi="Times New Roman"/>
          <w:sz w:val="18"/>
          <w:szCs w:val="18"/>
          <w:color w:val="auto"/>
        </w:rPr>
        <w:t>” means any current or former “officer” as defined in Exchange Act Rule 16a-1.</w:t>
      </w:r>
    </w:p>
    <w:p>
      <w:pPr>
        <w:spacing w:after="0" w:line="1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r>
    </w:p>
    <w:p>
      <w:pPr>
        <w:spacing w:after="0" w:line="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also Financial Reporting Measures.</w:t>
      </w:r>
    </w:p>
    <w:p>
      <w:pPr>
        <w:spacing w:after="0" w:line="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spacing w:after="0" w:line="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RECOVERY</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is required to prepare a Restatement, the Company shall seek to recover and claw back reasonably promptly all Erroneously Awarded Compensation that is received by an Affected Officer:</w:t>
      </w:r>
    </w:p>
    <w:p>
      <w:pPr>
        <w:spacing w:after="0" w:line="54"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begins service as an Affected Officer;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an Affected Officer at any time during the performance period for that Incentive Compensation;</w:t>
      </w:r>
    </w:p>
    <w:p>
      <w:pPr>
        <w:sectPr>
          <w:pgSz w:w="11900" w:h="16838" w:orient="portrait"/>
          <w:cols w:equalWidth="0" w:num="1">
            <w:col w:w="11240"/>
          </w:cols>
          <w:pgMar w:left="320" w:top="11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394" w:lineRule="exact"/>
        <w:rPr>
          <w:sz w:val="20"/>
          <w:szCs w:val="20"/>
          <w:color w:val="auto"/>
        </w:rPr>
      </w:pPr>
    </w:p>
    <w:p>
      <w:pPr>
        <w:ind w:left="640" w:hanging="308"/>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the Exchange; and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104" w:lineRule="exact"/>
        <w:rPr>
          <w:sz w:val="20"/>
          <w:szCs w:val="20"/>
          <w:color w:val="auto"/>
        </w:rPr>
      </w:pPr>
    </w:p>
    <w:p>
      <w:pPr>
        <w:jc w:val="both"/>
        <w:ind w:left="660" w:hanging="328"/>
        <w:spacing w:after="0" w:line="242"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w:t>
      </w:r>
    </w:p>
    <w:p>
      <w:pPr>
        <w:spacing w:after="0" w:line="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required by applicable law or the rules of the Exchange, any profits realized from the sale of securities of the Company are subject to recoupment under this Policy.</w:t>
      </w:r>
    </w:p>
    <w:p>
      <w:pPr>
        <w:spacing w:after="0" w:line="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SOURCES OF RECOUPMENT</w:t>
      </w:r>
    </w:p>
    <w:p>
      <w:pPr>
        <w:spacing w:after="0" w:line="1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LIMITED EXCEPTIONS TO RECOVERY</w:t>
      </w:r>
    </w:p>
    <w:p>
      <w:pPr>
        <w:spacing w:after="0" w:line="10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spacing w:after="0" w:line="69" w:lineRule="exact"/>
        <w:rPr>
          <w:sz w:val="20"/>
          <w:szCs w:val="20"/>
          <w:color w:val="auto"/>
        </w:rPr>
      </w:pPr>
    </w:p>
    <w:p>
      <w:pPr>
        <w:jc w:val="both"/>
        <w:ind w:left="660" w:hanging="328"/>
        <w:spacing w:after="0" w:line="250" w:lineRule="auto"/>
        <w:tabs>
          <w:tab w:leader="none" w:pos="65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5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the law was adopted prior to November 28, 2022, and the Company provides an opinion of home country counsel to that effect to the Exchange that is acceptable to the Exchange; or</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to fail to meet the requirements of the Internal Revenue Code of 1986, as amended.</w:t>
      </w:r>
    </w:p>
    <w:p>
      <w:pPr>
        <w:spacing w:after="0" w:line="3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 OR INSURANCE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E0E0E"/>
        </w:rPr>
        <w:t>The Company will not indemnify, insure or otherwise reimburse any Affected Officer against the recovery of Erroneously Awarded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NO IMPAIRMENT OF OTHER REMEDIES</w:t>
      </w:r>
    </w:p>
    <w:p>
      <w:pPr>
        <w:spacing w:after="0" w:line="1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1."/>
      <w:numFmt w:val="decimal"/>
      <w:start w:val="1"/>
    </w:lvl>
  </w:abstractNum>
  <w:abstractNum w:abstractNumId="4">
    <w:nsid w:val="94211F2"/>
    <w:multiLevelType w:val="hybridMultilevel"/>
    <w:lvl w:ilvl="0">
      <w:lvlJc w:val="left"/>
      <w:lvlText w:val="%1."/>
      <w:numFmt w:val="decimal"/>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1)"/>
      <w:numFmt w:val="decimal"/>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1)"/>
      <w:numFmt w:val="decimal"/>
      <w:start w:val="1"/>
    </w:lvl>
  </w:abstractNum>
  <w:abstractNum w:abstractNumId="18">
    <w:nsid w:val="CC1016F"/>
    <w:multiLevelType w:val="hybridMultilevel"/>
    <w:lvl w:ilvl="0">
      <w:lvlJc w:val="left"/>
      <w:lvlText w:val="(%1)"/>
      <w:numFmt w:val="decimal"/>
      <w:start w:val="1"/>
    </w:lvl>
  </w:abstractNum>
  <w:abstractNum w:abstractNumId="19">
    <w:nsid w:val="43F18422"/>
    <w:multiLevelType w:val="hybridMultilevel"/>
    <w:lvl w:ilvl="0">
      <w:lvlJc w:val="left"/>
      <w:lvlText w:val="(%1)"/>
      <w:numFmt w:val="decimal"/>
      <w:start w:val="1"/>
    </w:lvl>
  </w:abstractNum>
  <w:abstractNum w:abstractNumId="20">
    <w:nsid w:val="60EF0119"/>
    <w:multiLevelType w:val="hybridMultilevel"/>
    <w:lvl w:ilvl="0">
      <w:lvlJc w:val="left"/>
      <w:lvlText w:val="(%1)"/>
      <w:numFmt w:val="decimal"/>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1."/>
      <w:numFmt w:val="decimal"/>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1."/>
      <w:numFmt w:val="upperLetter"/>
      <w:start w:val="2"/>
    </w:lvl>
  </w:abstractNum>
  <w:abstractNum w:abstractNumId="25">
    <w:nsid w:val="5FB8370B"/>
    <w:multiLevelType w:val="hybridMultilevel"/>
    <w:lvl w:ilvl="0">
      <w:lvlJc w:val="left"/>
      <w:lvlText w:val="%1."/>
      <w:numFmt w:val="upperLetter"/>
      <w:start w:val="3"/>
    </w:lvl>
  </w:abstractNum>
  <w:abstractNum w:abstractNumId="26">
    <w:nsid w:val="50801EE1"/>
    <w:multiLevelType w:val="hybridMultilevel"/>
    <w:lvl w:ilvl="0">
      <w:lvlJc w:val="left"/>
      <w:lvlText w:val="%1."/>
      <w:numFmt w:val="upperLetter"/>
      <w:start w:val="5"/>
    </w:lvl>
  </w:abstractNum>
  <w:abstractNum w:abstractNumId="27">
    <w:nsid w:val="488AC1A"/>
    <w:multiLevelType w:val="hybridMultilevel"/>
    <w:lvl w:ilvl="0">
      <w:lvlJc w:val="left"/>
      <w:lvlText w:val="%1."/>
      <w:numFmt w:val="upperLetter"/>
      <w:start w:val="6"/>
    </w:lvl>
  </w:abstractNum>
  <w:abstractNum w:abstractNumId="28">
    <w:nsid w:val="5FB8011C"/>
    <w:multiLevelType w:val="hybridMultilevel"/>
    <w:lvl w:ilvl="0">
      <w:lvlJc w:val="left"/>
      <w:lvlText w:val="%1."/>
      <w:numFmt w:val="upperLetter"/>
      <w:start w:val="7"/>
    </w:lvl>
  </w:abstractNum>
  <w:abstractNum w:abstractNumId="29">
    <w:nsid w:val="6AA78F7F"/>
    <w:multiLevelType w:val="hybridMultilevel"/>
    <w:lvl w:ilvl="0">
      <w:lvlJc w:val="left"/>
      <w:lvlText w:val="%1."/>
      <w:numFmt w:val="upperLetter"/>
      <w:start w:val="8"/>
    </w:lvl>
  </w:abstractNum>
  <w:abstractNum w:abstractNumId="30">
    <w:nsid w:val="7672BD23"/>
    <w:multiLevelType w:val="hybridMultilevel"/>
    <w:lvl w:ilvl="0">
      <w:lvlJc w:val="left"/>
      <w:lvlText w:val="%1."/>
      <w:numFmt w:val="upperLetter"/>
      <w:start w:val="9"/>
    </w:lvl>
  </w:abstractNum>
  <w:abstractNum w:abstractNumId="31">
    <w:nsid w:val="6FC75AF8"/>
    <w:multiLevelType w:val="hybridMultilevel"/>
    <w:lvl w:ilvl="0">
      <w:lvlJc w:val="left"/>
      <w:lvlText w:val="%1."/>
      <w:numFmt w:val="upperLetter"/>
      <w:start w:val="11"/>
    </w:lvl>
  </w:abstractNum>
  <w:abstractNum w:abstractNumId="32">
    <w:nsid w:val="6A5F7029"/>
    <w:multiLevelType w:val="hybridMultilevel"/>
    <w:lvl w:ilvl="0">
      <w:lvlJc w:val="left"/>
      <w:lvlText w:val="%1."/>
      <w:numFmt w:val="upperLetter"/>
      <w:start w:val="12"/>
    </w:lvl>
  </w:abstractNum>
  <w:abstractNum w:abstractNumId="33">
    <w:nsid w:val="7D5E18F8"/>
    <w:multiLevelType w:val="hybridMultilevel"/>
    <w:lvl w:ilvl="0">
      <w:lvlJc w:val="left"/>
      <w:lvlText w:val="%1."/>
      <w:numFmt w:val="upperLetter"/>
      <w:start w:val="13"/>
    </w:lvl>
  </w:abstractNum>
  <w:abstractNum w:abstractNumId="34">
    <w:nsid w:val="5F3534A4"/>
    <w:multiLevelType w:val="hybridMultilevel"/>
    <w:lvl w:ilvl="0">
      <w:lvlJc w:val="left"/>
      <w:lvlText w:val="%1."/>
      <w:numFmt w:val="upperLetter"/>
      <w:start w:val="14"/>
    </w:lvl>
  </w:abstractNum>
  <w:abstractNum w:abstractNumId="35">
    <w:nsid w:val="73A1821B"/>
    <w:multiLevelType w:val="hybridMultilevel"/>
    <w:lvl w:ilvl="0">
      <w:lvlJc w:val="left"/>
      <w:lvlText w:val="%1."/>
      <w:numFmt w:val="upperLetter"/>
      <w:start w:val="15"/>
    </w:lvl>
  </w:abstractNum>
  <w:abstractNum w:abstractNumId="36">
    <w:nsid w:val="7DE67713"/>
    <w:multiLevelType w:val="hybridMultilevel"/>
    <w:lvl w:ilvl="0">
      <w:lvlJc w:val="left"/>
      <w:lvlText w:val="%1."/>
      <w:numFmt w:val="upperLetter"/>
      <w:start w:val="16"/>
    </w:lvl>
  </w:abstractNum>
  <w:abstractNum w:abstractNumId="37">
    <w:nsid w:val="555C55B5"/>
    <w:multiLevelType w:val="hybridMultilevel"/>
    <w:lvl w:ilvl="0">
      <w:lvlJc w:val="left"/>
      <w:lvlText w:val="%1."/>
      <w:numFmt w:val="upperLetter"/>
      <w:start w:val="17"/>
    </w:lvl>
  </w:abstractNum>
  <w:abstractNum w:abstractNumId="38">
    <w:nsid w:val="3FA62ACA"/>
    <w:multiLevelType w:val="hybridMultilevel"/>
    <w:lvl w:ilvl="0">
      <w:lvlJc w:val="left"/>
      <w:lvlText w:val="%1."/>
      <w:numFmt w:val="upperLetter"/>
      <w:start w:val="19"/>
    </w:lvl>
  </w:abstractNum>
  <w:abstractNum w:abstractNumId="39">
    <w:nsid w:val="14FCE74E"/>
    <w:multiLevelType w:val="hybridMultilevel"/>
    <w:lvl w:ilvl="0">
      <w:lvlJc w:val="left"/>
      <w:lvlText w:val="%1."/>
      <w:numFmt w:val="decimal"/>
      <w:start w:val="2"/>
    </w:lvl>
  </w:abstractNum>
  <w:abstractNum w:abstractNumId="40">
    <w:nsid w:val="6A3DD3E8"/>
    <w:multiLevelType w:val="hybridMultilevel"/>
    <w:lvl w:ilvl="0">
      <w:lvlJc w:val="left"/>
      <w:lvlText w:val="%1."/>
      <w:numFmt w:val="decimal"/>
      <w:start w:val="3"/>
    </w:lvl>
  </w:abstractNum>
  <w:abstractNum w:abstractNumId="41">
    <w:nsid w:val="71C91298"/>
    <w:multiLevelType w:val="hybridMultilevel"/>
    <w:lvl w:ilvl="0">
      <w:lvlJc w:val="left"/>
      <w:lvlText w:val="%1."/>
      <w:numFmt w:val="decimal"/>
      <w:start w:val="4"/>
    </w:lvl>
  </w:abstractNum>
  <w:abstractNum w:abstractNumId="42">
    <w:nsid w:val="9DAF632"/>
    <w:multiLevelType w:val="hybridMultilevel"/>
    <w:lvl w:ilvl="0">
      <w:lvlJc w:val="left"/>
      <w:lvlText w:val="%1."/>
      <w:numFmt w:val="decimal"/>
      <w:start w:val="5"/>
    </w:lvl>
  </w:abstractNum>
  <w:abstractNum w:abstractNumId="43">
    <w:nsid w:val="53299938"/>
    <w:multiLevelType w:val="hybridMultilevel"/>
    <w:lvl w:ilvl="0">
      <w:lvlJc w:val="left"/>
      <w:lvlText w:val="%1."/>
      <w:numFmt w:val="decimal"/>
      <w:start w:val="6"/>
    </w:lvl>
  </w:abstractNum>
  <w:abstractNum w:abstractNumId="44">
    <w:nsid w:val="1FBFE8E0"/>
    <w:multiLevelType w:val="hybridMultilevel"/>
    <w:lvl w:ilvl="0">
      <w:lvlJc w:val="left"/>
      <w:lvlText w:val="%1."/>
      <w:numFmt w:val="decimal"/>
      <w:start w:val="7"/>
    </w:lvl>
  </w:abstractNum>
  <w:abstractNum w:abstractNumId="45">
    <w:nsid w:val="5092CA79"/>
    <w:multiLevelType w:val="hybridMultilevel"/>
    <w:lvl w:ilvl="0">
      <w:lvlJc w:val="left"/>
      <w:lvlText w:val="%1."/>
      <w:numFmt w:val="decimal"/>
      <w:start w:val="8"/>
    </w:lvl>
  </w:abstractNum>
  <w:abstractNum w:abstractNumId="46">
    <w:nsid w:val="1D545C4D"/>
    <w:multiLevelType w:val="hybridMultilevel"/>
    <w:lvl w:ilvl="0">
      <w:lvlJc w:val="left"/>
      <w:lvlText w:val="%1."/>
      <w:numFmt w:val="decimal"/>
      <w:start w:val="9"/>
    </w:lvl>
  </w:abstractNum>
  <w:abstractNum w:abstractNumId="47">
    <w:nsid w:val="59ADEA3D"/>
    <w:multiLevelType w:val="hybridMultilevel"/>
    <w:lvl w:ilvl="0">
      <w:lvlJc w:val="left"/>
      <w:lvlText w:val="%1."/>
      <w:numFmt w:val="decimal"/>
      <w:start w:val="11"/>
    </w:lvl>
  </w:abstractNum>
  <w:abstractNum w:abstractNumId="48">
    <w:nsid w:val="288F1A34"/>
    <w:multiLevelType w:val="hybridMultilevel"/>
    <w:lvl w:ilvl="0">
      <w:lvlJc w:val="left"/>
      <w:lvlText w:val="%1."/>
      <w:numFmt w:val="decimal"/>
      <w:start w:val="12"/>
    </w:lvl>
  </w:abstractNum>
  <w:abstractNum w:abstractNumId="49">
    <w:nsid w:val="2A155DBC"/>
    <w:multiLevelType w:val="hybridMultilevel"/>
    <w:lvl w:ilvl="0">
      <w:lvlJc w:val="left"/>
      <w:lvlText w:val="%1."/>
      <w:numFmt w:val="decimal"/>
      <w:start w:val="13"/>
    </w:lvl>
  </w:abstractNum>
  <w:abstractNum w:abstractNumId="50">
    <w:nsid w:val="1D9F6E5F"/>
    <w:multiLevelType w:val="hybridMultilevel"/>
    <w:lvl w:ilvl="0">
      <w:lvlJc w:val="left"/>
      <w:lvlText w:val="%1."/>
      <w:numFmt w:val="decimal"/>
      <w:start w:val="14"/>
    </w:lvl>
  </w:abstractNum>
  <w:abstractNum w:abstractNumId="51">
    <w:nsid w:val="97E1B4E"/>
    <w:multiLevelType w:val="hybridMultilevel"/>
    <w:lvl w:ilvl="0">
      <w:lvlJc w:val="left"/>
      <w:lvlText w:val="%1."/>
      <w:numFmt w:val="decimal"/>
      <w:start w:val="15"/>
    </w:lvl>
  </w:abstractNum>
  <w:abstractNum w:abstractNumId="52">
    <w:nsid w:val="51088277"/>
    <w:multiLevelType w:val="hybridMultilevel"/>
    <w:lvl w:ilvl="0">
      <w:lvlJc w:val="left"/>
      <w:lvlText w:val="%1."/>
      <w:numFmt w:val="decimal"/>
      <w:start w:val="16"/>
    </w:lvl>
  </w:abstractNum>
  <w:abstractNum w:abstractNumId="53">
    <w:nsid w:val="1CA0C5FA"/>
    <w:multiLevelType w:val="hybridMultilevel"/>
    <w:lvl w:ilvl="0">
      <w:lvlJc w:val="left"/>
      <w:lvlText w:val="%1."/>
      <w:numFmt w:val="decimal"/>
      <w:start w:val="17"/>
    </w:lvl>
  </w:abstractNum>
  <w:abstractNum w:abstractNumId="54">
    <w:nsid w:val="53584BCB"/>
    <w:multiLevelType w:val="hybridMultilevel"/>
    <w:lvl w:ilvl="0">
      <w:lvlJc w:val="left"/>
      <w:lvlText w:val="%1."/>
      <w:numFmt w:val="decimal"/>
      <w:start w:val="18"/>
    </w:lvl>
  </w:abstractNum>
  <w:abstractNum w:abstractNumId="55">
    <w:nsid w:val="415E286C"/>
    <w:multiLevelType w:val="hybridMultilevel"/>
    <w:lvl w:ilvl="0">
      <w:lvlJc w:val="left"/>
      <w:lvlText w:val="%1."/>
      <w:numFmt w:val="decimal"/>
      <w:start w:val="19"/>
    </w:lvl>
  </w:abstractNum>
  <w:abstractNum w:abstractNumId="56">
    <w:nsid w:val="7C58FD05"/>
    <w:multiLevelType w:val="hybridMultilevel"/>
    <w:lvl w:ilvl="0">
      <w:lvlJc w:val="left"/>
      <w:lvlText w:val="%1."/>
      <w:numFmt w:val="decimal"/>
      <w:start w:val="20"/>
    </w:lvl>
  </w:abstractNum>
  <w:abstractNum w:abstractNumId="57">
    <w:nsid w:val="23D86AAC"/>
    <w:multiLevelType w:val="hybridMultilevel"/>
    <w:lvl w:ilvl="0">
      <w:lvlJc w:val="left"/>
      <w:lvlText w:val="%1."/>
      <w:numFmt w:val="decimal"/>
      <w:start w:val="21"/>
    </w:lvl>
  </w:abstractNum>
  <w:abstractNum w:abstractNumId="58">
    <w:nsid w:val="45E6D486"/>
    <w:multiLevelType w:val="hybridMultilevel"/>
    <w:lvl w:ilvl="0">
      <w:lvlJc w:val="left"/>
      <w:lvlText w:val="%1."/>
      <w:numFmt w:val="decimal"/>
      <w:start w:val="22"/>
    </w:lvl>
  </w:abstractNum>
  <w:abstractNum w:abstractNumId="59">
    <w:nsid w:val="5C10FE21"/>
    <w:multiLevelType w:val="hybridMultilevel"/>
    <w:lvl w:ilvl="0">
      <w:lvlJc w:val="left"/>
      <w:lvlText w:val="%1."/>
      <w:numFmt w:val="decimal"/>
      <w:start w:val="23"/>
    </w:lvl>
  </w:abstractNum>
  <w:abstractNum w:abstractNumId="60">
    <w:nsid w:val="E7FFA2B"/>
    <w:multiLevelType w:val="hybridMultilevel"/>
    <w:lvl w:ilvl="0">
      <w:lvlJc w:val="left"/>
      <w:lvlText w:val="%1."/>
      <w:numFmt w:val="decimal"/>
      <w:start w:val="24"/>
    </w:lvl>
  </w:abstractNum>
  <w:abstractNum w:abstractNumId="61">
    <w:nsid w:val="3C5991AA"/>
    <w:multiLevelType w:val="hybridMultilevel"/>
    <w:lvl w:ilvl="0">
      <w:lvlJc w:val="left"/>
      <w:lvlText w:val="(%1)"/>
      <w:numFmt w:val="lowerRoman"/>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1)"/>
      <w:numFmt w:val="decimal"/>
      <w:start w:val="1"/>
    </w:lvl>
  </w:abstractNum>
  <w:abstractNum w:abstractNumId="64">
    <w:nsid w:val="39B7AAA2"/>
    <w:multiLevelType w:val="hybridMultilevel"/>
    <w:lvl w:ilvl="0">
      <w:lvlJc w:val="left"/>
      <w:lvlText w:val="%1."/>
      <w:numFmt w:val="decimal"/>
      <w:start w:val="1"/>
    </w:lvl>
    <w:lvl w:ilvl="1">
      <w:lvlJc w:val="left"/>
      <w:lvlText w:val="%2."/>
      <w:numFmt w:val="lowerLetter"/>
      <w:start w:val="1"/>
    </w:lvl>
  </w:abstractNum>
  <w:abstractNum w:abstractNumId="65">
    <w:nsid w:val="2B0D8DB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66">
    <w:nsid w:val="6C80EC70"/>
    <w:multiLevelType w:val="hybridMultilevel"/>
    <w:lvl w:ilvl="0">
      <w:lvlJc w:val="left"/>
      <w:lvlText w:val="%1."/>
      <w:numFmt w:val="lowerLetter"/>
      <w:start w:val="35"/>
    </w:lvl>
    <w:lvl w:ilvl="1">
      <w:lvlJc w:val="left"/>
      <w:lvlText w:val="%2."/>
      <w:numFmt w:val="lowerLetter"/>
      <w:start w:val="1"/>
    </w:lvl>
  </w:abstractNum>
  <w:abstractNum w:abstractNumId="67">
    <w:nsid w:val="379E21B5"/>
    <w:multiLevelType w:val="hybridMultilevel"/>
    <w:lvl w:ilvl="0">
      <w:lvlJc w:val="left"/>
      <w:lvlText w:val="%1"/>
      <w:numFmt w:val="lowerLetter"/>
      <w:start w:val="1"/>
    </w:lvl>
    <w:lvl w:ilvl="1">
      <w:lvlJc w:val="left"/>
      <w:lvlText w:val="%2."/>
      <w:numFmt w:val="lowerLetter"/>
      <w:start w:val="2"/>
    </w:lvl>
  </w:abstractNum>
  <w:abstractNum w:abstractNumId="68">
    <w:nsid w:val="69E373"/>
    <w:multiLevelType w:val="hybridMultilevel"/>
    <w:lvl w:ilvl="0">
      <w:lvlJc w:val="left"/>
      <w:lvlText w:val="%1."/>
      <w:numFmt w:val="lowerLetter"/>
      <w:start w:val="61"/>
    </w:lvl>
    <w:lvl w:ilvl="1">
      <w:lvlJc w:val="left"/>
      <w:lvlText w:val="%2."/>
      <w:numFmt w:val="lowerLetter"/>
      <w:start w:val="1"/>
    </w:lvl>
  </w:abstractNum>
  <w:abstractNum w:abstractNumId="69">
    <w:nsid w:val="2C27173B"/>
    <w:multiLevelType w:val="hybridMultilevel"/>
    <w:lvl w:ilvl="0">
      <w:lvlJc w:val="left"/>
      <w:lvlText w:val="%1."/>
      <w:numFmt w:val="lowerRoman"/>
      <w:start w:val="4"/>
    </w:lvl>
  </w:abstractNum>
  <w:abstractNum w:abstractNumId="70">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1">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lowerLetter"/>
      <w:start w:val="1"/>
    </w:lvl>
  </w:abstractNum>
  <w:abstractNum w:abstractNumId="72">
    <w:nsid w:val="1DF029D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3">
    <w:nsid w:val="5675FF36"/>
    <w:multiLevelType w:val="hybridMultilevel"/>
    <w:lvl w:ilvl="0">
      <w:lvlJc w:val="left"/>
      <w:lvlText w:val="%1."/>
      <w:numFmt w:val="decimal"/>
      <w:start w:val="9"/>
    </w:lvl>
  </w:abstractNum>
  <w:abstractNum w:abstractNumId="74">
    <w:nsid w:val="3DD15094"/>
    <w:multiLevelType w:val="hybridMultilevel"/>
    <w:lvl w:ilvl="0">
      <w:lvlJc w:val="left"/>
      <w:lvlText w:val="%1."/>
      <w:numFmt w:val="decimal"/>
      <w:start w:val="16"/>
    </w:lvl>
  </w:abstractNum>
  <w:abstractNum w:abstractNumId="75">
    <w:nsid w:val="3DB012B3"/>
    <w:multiLevelType w:val="hybridMultilevel"/>
    <w:lvl w:ilvl="0">
      <w:lvlJc w:val="left"/>
      <w:lvlText w:val="%1."/>
      <w:numFmt w:val="decimal"/>
      <w:start w:val="25"/>
    </w:lvl>
  </w:abstractNum>
  <w:abstractNum w:abstractNumId="76">
    <w:nsid w:val="2708C9AF"/>
    <w:multiLevelType w:val="hybridMultilevel"/>
    <w:lvl w:ilvl="0">
      <w:lvlJc w:val="left"/>
      <w:lvlText w:val="%1."/>
      <w:numFmt w:val="decimal"/>
      <w:start w:val="1"/>
    </w:lvl>
  </w:abstractNum>
  <w:abstractNum w:abstractNumId="77">
    <w:nsid w:val="5B25ACE2"/>
    <w:multiLevelType w:val="hybridMultilevel"/>
    <w:lvl w:ilvl="0">
      <w:lvlJc w:val="left"/>
      <w:lvlText w:val="%1."/>
      <w:numFmt w:val="decimal"/>
      <w:start w:val="18"/>
    </w:lvl>
  </w:abstractNum>
  <w:abstractNum w:abstractNumId="78">
    <w:nsid w:val="175DFCF0"/>
    <w:multiLevelType w:val="hybridMultilevel"/>
    <w:lvl w:ilvl="0">
      <w:lvlJc w:val="left"/>
      <w:lvlText w:val="%1."/>
      <w:numFmt w:val="decimal"/>
      <w:start w:val="1"/>
    </w:lvl>
  </w:abstractNum>
  <w:abstractNum w:abstractNumId="79">
    <w:nsid w:val="4F97E3E4"/>
    <w:multiLevelType w:val="hybridMultilevel"/>
    <w:lvl w:ilvl="0">
      <w:lvlJc w:val="left"/>
      <w:lvlText w:val="%1."/>
      <w:numFmt w:val="lowerRoman"/>
      <w:start w:val="1"/>
    </w:lvl>
  </w:abstractNum>
  <w:abstractNum w:abstractNumId="80">
    <w:nsid w:val="53B0A9E"/>
    <w:multiLevelType w:val="hybridMultilevel"/>
    <w:lvl w:ilvl="0">
      <w:lvlJc w:val="left"/>
      <w:lvlText w:val="%1."/>
      <w:numFmt w:val="decimal"/>
      <w:start w:val="1"/>
    </w:lvl>
    <w:lvl w:ilvl="1">
      <w:lvlJc w:val="left"/>
      <w:lvlText w:val="%2."/>
      <w:numFmt w:val="lowerLetter"/>
      <w:start w:val="1"/>
    </w:lvl>
  </w:abstractNum>
  <w:abstractNum w:abstractNumId="81">
    <w:nsid w:val="34FD6B4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82">
    <w:nsid w:val="5915FF32"/>
    <w:multiLevelType w:val="hybridMultilevel"/>
    <w:lvl w:ilvl="0">
      <w:lvlJc w:val="left"/>
      <w:lvlText w:val="%1."/>
      <w:numFmt w:val="lowerLetter"/>
      <w:start w:val="35"/>
    </w:lvl>
    <w:lvl w:ilvl="1">
      <w:lvlJc w:val="left"/>
      <w:lvlText w:val="%2."/>
      <w:numFmt w:val="lowerLetter"/>
      <w:start w:val="1"/>
    </w:lvl>
  </w:abstractNum>
  <w:abstractNum w:abstractNumId="83">
    <w:nsid w:val="56438D15"/>
    <w:multiLevelType w:val="hybridMultilevel"/>
    <w:lvl w:ilvl="0">
      <w:lvlJc w:val="left"/>
      <w:lvlText w:val="%1"/>
      <w:numFmt w:val="lowerLetter"/>
      <w:start w:val="1"/>
    </w:lvl>
    <w:lvl w:ilvl="1">
      <w:lvlJc w:val="left"/>
      <w:lvlText w:val="%2."/>
      <w:numFmt w:val="lowerLetter"/>
      <w:start w:val="2"/>
    </w:lvl>
  </w:abstractNum>
  <w:abstractNum w:abstractNumId="84">
    <w:nsid w:val="519E3149"/>
    <w:multiLevelType w:val="hybridMultilevel"/>
    <w:lvl w:ilvl="0">
      <w:lvlJc w:val="left"/>
      <w:lvlText w:val="%1."/>
      <w:numFmt w:val="lowerLetter"/>
      <w:start w:val="61"/>
    </w:lvl>
    <w:lvl w:ilvl="1">
      <w:lvlJc w:val="left"/>
      <w:lvlText w:val="%2."/>
      <w:numFmt w:val="lowerLetter"/>
      <w:start w:val="1"/>
    </w:lvl>
  </w:abstractNum>
  <w:abstractNum w:abstractNumId="85">
    <w:nsid w:val="2C6E4AFD"/>
    <w:multiLevelType w:val="hybridMultilevel"/>
    <w:lvl w:ilvl="0">
      <w:lvlJc w:val="left"/>
      <w:lvlText w:val="%1."/>
      <w:numFmt w:val="lowerRoman"/>
      <w:start w:val="4"/>
    </w:lvl>
  </w:abstractNum>
  <w:abstractNum w:abstractNumId="86">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7">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lowerLetter"/>
      <w:start w:val="1"/>
    </w:lvl>
  </w:abstractNum>
  <w:abstractNum w:abstractNumId="88">
    <w:nsid w:val="5046B5A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9">
    <w:nsid w:val="5D888A08"/>
    <w:multiLevelType w:val="hybridMultilevel"/>
    <w:lvl w:ilvl="0">
      <w:lvlJc w:val="left"/>
      <w:lvlText w:val="%1."/>
      <w:numFmt w:val="decimal"/>
      <w:start w:val="9"/>
    </w:lvl>
  </w:abstractNum>
  <w:abstractNum w:abstractNumId="90">
    <w:nsid w:val="2A082C70"/>
    <w:multiLevelType w:val="hybridMultilevel"/>
    <w:lvl w:ilvl="0">
      <w:lvlJc w:val="left"/>
      <w:lvlText w:val="%1."/>
      <w:numFmt w:val="decimal"/>
      <w:start w:val="17"/>
    </w:lvl>
  </w:abstractNum>
  <w:abstractNum w:abstractNumId="91">
    <w:nsid w:val="5EC6AFD4"/>
    <w:multiLevelType w:val="hybridMultilevel"/>
    <w:lvl w:ilvl="0">
      <w:lvlJc w:val="left"/>
      <w:lvlText w:val="%1."/>
      <w:numFmt w:val="decimal"/>
      <w:start w:val="26"/>
    </w:lvl>
  </w:abstractNum>
  <w:abstractNum w:abstractNumId="92">
    <w:nsid w:val="19E21BB2"/>
    <w:multiLevelType w:val="hybridMultilevel"/>
    <w:lvl w:ilvl="0">
      <w:lvlJc w:val="left"/>
      <w:lvlText w:val="%1."/>
      <w:numFmt w:val="decimal"/>
      <w:start w:val="1"/>
    </w:lvl>
  </w:abstractNum>
  <w:abstractNum w:abstractNumId="93">
    <w:nsid w:val="75E0858A"/>
    <w:multiLevelType w:val="hybridMultilevel"/>
    <w:lvl w:ilvl="0">
      <w:lvlJc w:val="left"/>
      <w:lvlText w:val="%1."/>
      <w:numFmt w:val="decimal"/>
      <w:start w:val="18"/>
    </w:lvl>
  </w:abstractNum>
  <w:abstractNum w:abstractNumId="94">
    <w:nsid w:val="57A61A29"/>
    <w:multiLevelType w:val="hybridMultilevel"/>
    <w:lvl w:ilvl="0">
      <w:lvlJc w:val="left"/>
      <w:lvlText w:val="%1."/>
      <w:numFmt w:val="decimal"/>
      <w:start w:val="1"/>
    </w:lvl>
    <w:lvl w:ilvl="1">
      <w:lvlJc w:val="left"/>
      <w:lvlText w:val="%2."/>
      <w:numFmt w:val="lowerLetter"/>
      <w:start w:val="1"/>
    </w:lvl>
  </w:abstractNum>
  <w:abstractNum w:abstractNumId="95">
    <w:nsid w:val="5399C65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96">
    <w:nsid w:val="20EE1348"/>
    <w:multiLevelType w:val="hybridMultilevel"/>
    <w:lvl w:ilvl="0">
      <w:lvlJc w:val="left"/>
      <w:lvlText w:val="%1."/>
      <w:numFmt w:val="lowerLetter"/>
      <w:start w:val="35"/>
    </w:lvl>
    <w:lvl w:ilvl="1">
      <w:lvlJc w:val="left"/>
      <w:lvlText w:val="%2."/>
      <w:numFmt w:val="lowerLetter"/>
      <w:start w:val="1"/>
    </w:lvl>
  </w:abstractNum>
  <w:abstractNum w:abstractNumId="97">
    <w:nsid w:val="4427069A"/>
    <w:multiLevelType w:val="hybridMultilevel"/>
    <w:lvl w:ilvl="0">
      <w:lvlJc w:val="left"/>
      <w:lvlText w:val="%1"/>
      <w:numFmt w:val="lowerLetter"/>
      <w:start w:val="1"/>
    </w:lvl>
    <w:lvl w:ilvl="1">
      <w:lvlJc w:val="left"/>
      <w:lvlText w:val="%2."/>
      <w:numFmt w:val="lowerLetter"/>
      <w:start w:val="2"/>
    </w:lvl>
  </w:abstractNum>
  <w:abstractNum w:abstractNumId="98">
    <w:nsid w:val="B37E80A"/>
    <w:multiLevelType w:val="hybridMultilevel"/>
    <w:lvl w:ilvl="0">
      <w:lvlJc w:val="left"/>
      <w:lvlText w:val="%1."/>
      <w:numFmt w:val="lowerLetter"/>
      <w:start w:val="61"/>
    </w:lvl>
    <w:lvl w:ilvl="1">
      <w:lvlJc w:val="left"/>
      <w:lvlText w:val="%2."/>
      <w:numFmt w:val="lowerLetter"/>
      <w:start w:val="1"/>
    </w:lvl>
  </w:abstractNum>
  <w:abstractNum w:abstractNumId="99">
    <w:nsid w:val="2157F6BC"/>
    <w:multiLevelType w:val="hybridMultilevel"/>
    <w:lvl w:ilvl="0">
      <w:lvlJc w:val="left"/>
      <w:lvlText w:val="%1."/>
      <w:numFmt w:val="lowerRoman"/>
      <w:start w:val="4"/>
    </w:lvl>
  </w:abstractNum>
  <w:abstractNum w:abstractNumId="100">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01">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lowerLetter"/>
      <w:start w:val="1"/>
    </w:lvl>
  </w:abstractNum>
  <w:abstractNum w:abstractNumId="102">
    <w:nsid w:val="BFFAE1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03">
    <w:nsid w:val="E3E47A8"/>
    <w:multiLevelType w:val="hybridMultilevel"/>
    <w:lvl w:ilvl="0">
      <w:lvlJc w:val="left"/>
      <w:lvlText w:val="%1."/>
      <w:numFmt w:val="decimal"/>
      <w:start w:val="9"/>
    </w:lvl>
  </w:abstractNum>
  <w:abstractNum w:abstractNumId="104">
    <w:nsid w:val="2E48F044"/>
    <w:multiLevelType w:val="hybridMultilevel"/>
    <w:lvl w:ilvl="0">
      <w:lvlJc w:val="left"/>
      <w:lvlText w:val="%1."/>
      <w:numFmt w:val="decimal"/>
      <w:start w:val="17"/>
    </w:lvl>
  </w:abstractNum>
  <w:abstractNum w:abstractNumId="105">
    <w:nsid w:val="49D0FEAC"/>
    <w:multiLevelType w:val="hybridMultilevel"/>
    <w:lvl w:ilvl="0">
      <w:lvlJc w:val="left"/>
      <w:lvlText w:val="%1."/>
      <w:numFmt w:val="decimal"/>
      <w:start w:val="26"/>
    </w:lvl>
  </w:abstractNum>
  <w:abstractNum w:abstractNumId="106">
    <w:nsid w:val="4BEE5A5B"/>
    <w:multiLevelType w:val="hybridMultilevel"/>
    <w:lvl w:ilvl="0">
      <w:lvlJc w:val="left"/>
      <w:lvlText w:val="%1."/>
      <w:numFmt w:val="decimal"/>
      <w:start w:val="1"/>
    </w:lvl>
  </w:abstractNum>
  <w:abstractNum w:abstractNumId="107">
    <w:nsid w:val="5551B9F3"/>
    <w:multiLevelType w:val="hybridMultilevel"/>
    <w:lvl w:ilvl="0">
      <w:lvlJc w:val="left"/>
      <w:lvlText w:val="%1."/>
      <w:numFmt w:val="decimal"/>
      <w:start w:val="18"/>
    </w:lvl>
  </w:abstractNum>
  <w:abstractNum w:abstractNumId="108">
    <w:nsid w:val="24F6AB8E"/>
    <w:multiLevelType w:val="hybridMultilevel"/>
    <w:lvl w:ilvl="0">
      <w:lvlJc w:val="left"/>
      <w:lvlText w:val="%1."/>
      <w:numFmt w:val="decimal"/>
      <w:start w:val="1"/>
    </w:lvl>
    <w:lvl w:ilvl="1">
      <w:lvlJc w:val="left"/>
      <w:lvlText w:val="%2."/>
      <w:numFmt w:val="lowerLetter"/>
      <w:start w:val="1"/>
    </w:lvl>
  </w:abstractNum>
  <w:abstractNum w:abstractNumId="109">
    <w:nsid w:val="634C574C"/>
    <w:multiLevelType w:val="hybridMultilevel"/>
    <w:lvl w:ilvl="0">
      <w:lvlJc w:val="left"/>
      <w:lvlText w:val="%1."/>
      <w:numFmt w:val="decimal"/>
      <w:start w:val="6"/>
    </w:lvl>
  </w:abstractNum>
  <w:abstractNum w:abstractNumId="110">
    <w:nsid w:val="24E99DD7"/>
    <w:multiLevelType w:val="hybridMultilevel"/>
    <w:lvl w:ilvl="0">
      <w:lvlJc w:val="left"/>
      <w:lvlText w:val="%1."/>
      <w:numFmt w:val="decimal"/>
      <w:start w:val="15"/>
    </w:lvl>
  </w:abstractNum>
  <w:abstractNum w:abstractNumId="111">
    <w:nsid w:val="2A31B62D"/>
    <w:multiLevelType w:val="hybridMultilevel"/>
    <w:lvl w:ilvl="0">
      <w:lvlJc w:val="left"/>
      <w:lvlText w:val="%1."/>
      <w:numFmt w:val="decimal"/>
      <w:start w:val="24"/>
    </w:lvl>
  </w:abstractNum>
  <w:abstractNum w:abstractNumId="112">
    <w:nsid w:val="1849C29B"/>
    <w:multiLevelType w:val="hybridMultilevel"/>
    <w:lvl w:ilvl="0">
      <w:lvlJc w:val="left"/>
      <w:lvlText w:val="%1."/>
      <w:numFmt w:val="decimal"/>
      <w:start w:val="1"/>
    </w:lvl>
  </w:abstractNum>
  <w:abstractNum w:abstractNumId="113">
    <w:nsid w:val="7DFF9D09"/>
    <w:multiLevelType w:val="hybridMultilevel"/>
    <w:lvl w:ilvl="0">
      <w:lvlJc w:val="left"/>
      <w:lvlText w:val="%1."/>
      <w:numFmt w:val="decimal"/>
      <w:start w:val="18"/>
    </w:lvl>
  </w:abstractNum>
  <w:abstractNum w:abstractNumId="114">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5">
    <w:nsid w:val="69E7F3E5"/>
    <w:multiLevelType w:val="hybridMultilevel"/>
    <w:lvl w:ilvl="0">
      <w:lvlJc w:val="left"/>
      <w:lvlText w:val="%1."/>
      <w:numFmt w:val="decimal"/>
      <w:start w:val="7"/>
    </w:lvl>
    <w:lvl w:ilvl="1">
      <w:lvlJc w:val="left"/>
      <w:lvlText w:val="%2."/>
      <w:numFmt w:val="lowerLetter"/>
      <w:start w:val="1"/>
    </w:lvl>
  </w:abstractNum>
  <w:abstractNum w:abstractNumId="116">
    <w:nsid w:val="2A6DE806"/>
    <w:multiLevelType w:val="hybridMultilevel"/>
    <w:lvl w:ilvl="0">
      <w:lvlJc w:val="left"/>
      <w:lvlText w:val="%1."/>
      <w:numFmt w:val="decimal"/>
      <w:start w:val="10"/>
    </w:lvl>
  </w:abstractNum>
  <w:abstractNum w:abstractNumId="117">
    <w:nsid w:val="1816F8C4"/>
    <w:multiLevelType w:val="hybridMultilevel"/>
    <w:lvl w:ilvl="0">
      <w:lvlJc w:val="left"/>
      <w:lvlText w:val="%1."/>
      <w:numFmt w:val="decimal"/>
      <w:start w:val="18"/>
    </w:lvl>
  </w:abstractNum>
  <w:abstractNum w:abstractNumId="118">
    <w:nsid w:val="37DF2233"/>
    <w:multiLevelType w:val="hybridMultilevel"/>
    <w:lvl w:ilvl="0">
      <w:lvlJc w:val="left"/>
      <w:lvlText w:val="%1."/>
      <w:numFmt w:val="decimal"/>
      <w:start w:val="27"/>
    </w:lvl>
  </w:abstractNum>
  <w:abstractNum w:abstractNumId="119">
    <w:nsid w:val="7AB49DAF"/>
    <w:multiLevelType w:val="hybridMultilevel"/>
    <w:lvl w:ilvl="0">
      <w:lvlJc w:val="left"/>
      <w:lvlText w:val="%1."/>
      <w:numFmt w:val="decimal"/>
      <w:start w:val="1"/>
    </w:lvl>
  </w:abstractNum>
  <w:abstractNum w:abstractNumId="120">
    <w:nsid w:val="759F82CD"/>
    <w:multiLevelType w:val="hybridMultilevel"/>
    <w:lvl w:ilvl="0">
      <w:lvlJc w:val="left"/>
      <w:lvlText w:val="%1."/>
      <w:numFmt w:val="decimal"/>
      <w:start w:val="17"/>
    </w:lvl>
  </w:abstractNum>
  <w:abstractNum w:abstractNumId="121">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2">
    <w:nsid w:val="597B4D84"/>
    <w:multiLevelType w:val="hybridMultilevel"/>
    <w:lvl w:ilvl="0">
      <w:lvlJc w:val="left"/>
      <w:lvlText w:val="%1."/>
      <w:numFmt w:val="decimal"/>
      <w:start w:val="7"/>
    </w:lvl>
    <w:lvl w:ilvl="1">
      <w:lvlJc w:val="left"/>
      <w:lvlText w:val="%2."/>
      <w:numFmt w:val="lowerLetter"/>
      <w:start w:val="1"/>
    </w:lvl>
  </w:abstractNum>
  <w:abstractNum w:abstractNumId="123">
    <w:nsid w:val="F819E7F"/>
    <w:multiLevelType w:val="hybridMultilevel"/>
    <w:lvl w:ilvl="0">
      <w:lvlJc w:val="left"/>
      <w:lvlText w:val="%1."/>
      <w:numFmt w:val="decimal"/>
      <w:start w:val="10"/>
    </w:lvl>
  </w:abstractNum>
  <w:abstractNum w:abstractNumId="124">
    <w:nsid w:val="57C7D42D"/>
    <w:multiLevelType w:val="hybridMultilevel"/>
    <w:lvl w:ilvl="0">
      <w:lvlJc w:val="left"/>
      <w:lvlText w:val="%1."/>
      <w:numFmt w:val="decimal"/>
      <w:start w:val="18"/>
    </w:lvl>
  </w:abstractNum>
  <w:abstractNum w:abstractNumId="125">
    <w:nsid w:val="312167AD"/>
    <w:multiLevelType w:val="hybridMultilevel"/>
    <w:lvl w:ilvl="0">
      <w:lvlJc w:val="left"/>
      <w:lvlText w:val="%1."/>
      <w:numFmt w:val="decimal"/>
      <w:start w:val="27"/>
    </w:lvl>
  </w:abstractNum>
  <w:abstractNum w:abstractNumId="126">
    <w:nsid w:val="631B64D4"/>
    <w:multiLevelType w:val="hybridMultilevel"/>
    <w:lvl w:ilvl="0">
      <w:lvlJc w:val="left"/>
      <w:lvlText w:val="%1."/>
      <w:numFmt w:val="decimal"/>
      <w:start w:val="1"/>
    </w:lvl>
  </w:abstractNum>
  <w:abstractNum w:abstractNumId="127">
    <w:nsid w:val="78B5E776"/>
    <w:multiLevelType w:val="hybridMultilevel"/>
    <w:lvl w:ilvl="0">
      <w:lvlJc w:val="left"/>
      <w:lvlText w:val="%1."/>
      <w:numFmt w:val="decimal"/>
      <w:start w:val="1"/>
    </w:lvl>
  </w:abstractNum>
  <w:abstractNum w:abstractNumId="128">
    <w:nsid w:val="75486E47"/>
    <w:multiLevelType w:val="hybridMultilevel"/>
    <w:lvl w:ilvl="0">
      <w:lvlJc w:val="left"/>
      <w:lvlText w:val="%1."/>
      <w:numFmt w:val="decimal"/>
      <w:start w:val="2"/>
    </w:lvl>
  </w:abstractNum>
  <w:abstractNum w:abstractNumId="129">
    <w:nsid w:val="6E534CDE"/>
    <w:multiLevelType w:val="hybridMultilevel"/>
    <w:lvl w:ilvl="0">
      <w:lvlJc w:val="left"/>
      <w:lvlText w:val="%1."/>
      <w:numFmt w:val="upperLetter"/>
      <w:start w:val="9"/>
    </w:lvl>
  </w:abstractNum>
  <w:abstractNum w:abstractNumId="130">
    <w:nsid w:val="1A0DDE32"/>
    <w:multiLevelType w:val="hybridMultilevel"/>
    <w:lvl w:ilvl="0">
      <w:lvlJc w:val="left"/>
      <w:lvlText w:val="%1."/>
      <w:numFmt w:val="upperLetter"/>
      <w:start w:val="35"/>
    </w:lvl>
  </w:abstractNum>
  <w:abstractNum w:abstractNumId="131">
    <w:nsid w:val="65968C1C"/>
    <w:multiLevelType w:val="hybridMultilevel"/>
    <w:lvl w:ilvl="0">
      <w:lvlJc w:val="left"/>
      <w:lvlText w:val="(%1)"/>
      <w:numFmt w:val="decimal"/>
      <w:start w:val="5"/>
    </w:lvl>
  </w:abstractNum>
  <w:abstractNum w:abstractNumId="132">
    <w:nsid w:val="46263DEC"/>
    <w:multiLevelType w:val="hybridMultilevel"/>
    <w:lvl w:ilvl="0">
      <w:lvlJc w:val="left"/>
      <w:lvlText w:val="%1."/>
      <w:numFmt w:val="upperLetter"/>
      <w:start w:val="61"/>
    </w:lvl>
  </w:abstractNum>
  <w:abstractNum w:abstractNumId="133">
    <w:nsid w:val="260D8C4A"/>
    <w:multiLevelType w:val="hybridMultilevel"/>
    <w:lvl w:ilvl="0">
      <w:lvlJc w:val="left"/>
      <w:lvlText w:val="%1."/>
      <w:numFmt w:val="upperLetter"/>
      <w:start w:val="22"/>
    </w:lvl>
  </w:abstractNum>
  <w:abstractNum w:abstractNumId="134">
    <w:nsid w:val="73D4D3C4"/>
    <w:multiLevelType w:val="hybridMultilevel"/>
    <w:lvl w:ilvl="0">
      <w:lvlJc w:val="left"/>
      <w:lvlText w:val="%1."/>
      <w:numFmt w:val="decimal"/>
      <w:start w:val="1"/>
    </w:lvl>
  </w:abstractNum>
  <w:abstractNum w:abstractNumId="135">
    <w:nsid w:val="746F2E30"/>
    <w:multiLevelType w:val="hybridMultilevel"/>
    <w:lvl w:ilvl="0">
      <w:lvlJc w:val="left"/>
      <w:lvlText w:val="%1."/>
      <w:numFmt w:val="decimal"/>
      <w:start w:val="2"/>
    </w:lvl>
  </w:abstractNum>
  <w:abstractNum w:abstractNumId="136">
    <w:nsid w:val="6FDE8AF6"/>
    <w:multiLevelType w:val="hybridMultilevel"/>
    <w:lvl w:ilvl="0">
      <w:lvlJc w:val="left"/>
      <w:lvlText w:val="%1."/>
      <w:numFmt w:val="decimal"/>
      <w:start w:val="3"/>
    </w:lvl>
  </w:abstractNum>
  <w:abstractNum w:abstractNumId="137">
    <w:nsid w:val="3FC32E20"/>
    <w:multiLevelType w:val="hybridMultilevel"/>
    <w:lvl w:ilvl="0">
      <w:lvlJc w:val="left"/>
      <w:lvlText w:val="%1."/>
      <w:numFmt w:val="decimal"/>
      <w:start w:val="4"/>
    </w:lvl>
  </w:abstractNum>
  <w:abstractNum w:abstractNumId="138">
    <w:nsid w:val="49C0E823"/>
    <w:multiLevelType w:val="hybridMultilevel"/>
    <w:lvl w:ilvl="0">
      <w:lvlJc w:val="left"/>
      <w:lvlText w:val="%1."/>
      <w:numFmt w:val="decimal"/>
      <w:start w:val="5"/>
    </w:lvl>
  </w:abstractNum>
  <w:abstractNum w:abstractNumId="139">
    <w:nsid w:val="14D53685"/>
    <w:multiLevelType w:val="hybridMultilevel"/>
    <w:lvl w:ilvl="0">
      <w:lvlJc w:val="left"/>
      <w:lvlText w:val="%1."/>
      <w:numFmt w:val="decimal"/>
      <w:start w:val="6"/>
    </w:lvl>
  </w:abstractNum>
  <w:abstractNum w:abstractNumId="140">
    <w:nsid w:val="230F856C"/>
    <w:multiLevelType w:val="hybridMultilevel"/>
    <w:lvl w:ilvl="0">
      <w:lvlJc w:val="left"/>
      <w:lvlText w:val="(%1)"/>
      <w:numFmt w:val="lowerLetter"/>
      <w:start w:val="1"/>
    </w:lvl>
  </w:abstractNum>
  <w:abstractNum w:abstractNumId="141">
    <w:nsid w:val="6EAA85FB"/>
    <w:multiLevelType w:val="hybridMultilevel"/>
    <w:lvl w:ilvl="0">
      <w:lvlJc w:val="left"/>
      <w:lvlText w:val="%1"/>
      <w:numFmt w:val="upperLetter"/>
      <w:start w:val="1"/>
    </w:lvl>
    <w:lvl w:ilvl="1">
      <w:lvlJc w:val="left"/>
      <w:lvlText w:val="(%2)"/>
      <w:numFmt w:val="lowerLetter"/>
      <w:start w:val="3"/>
    </w:lvl>
  </w:abstractNum>
  <w:abstractNum w:abstractNumId="142">
    <w:nsid w:val="3F06ECB2"/>
    <w:multiLevelType w:val="hybridMultilevel"/>
    <w:lvl w:ilvl="0">
      <w:lvlJc w:val="left"/>
      <w:lvlText w:val="(%1)"/>
      <w:numFmt w:val="upperLetter"/>
      <w:start w:val="1"/>
    </w:lvl>
    <w:lvl w:ilvl="1">
      <w:lvlJc w:val="left"/>
      <w:lvlText w:val="%2"/>
      <w:numFmt w:val="lowerLetter"/>
      <w:start w:val="1"/>
    </w:lvl>
  </w:abstractNum>
  <w:abstractNum w:abstractNumId="143">
    <w:nsid w:val="3B594807"/>
    <w:multiLevelType w:val="hybridMultilevel"/>
    <w:lvl w:ilvl="0">
      <w:lvlJc w:val="left"/>
      <w:lvlText w:val="(%1)"/>
      <w:numFmt w:val="lowerLetter"/>
      <w:start w:val="5"/>
    </w:lvl>
  </w:abstractNum>
  <w:abstractNum w:abstractNumId="144">
    <w:nsid w:val="6CAA2304"/>
    <w:multiLevelType w:val="hybridMultilevel"/>
    <w:lvl w:ilvl="0">
      <w:lvlJc w:val="left"/>
      <w:lvlText w:val="(%1)"/>
      <w:numFmt w:val="lowerLetter"/>
      <w:start w:val="6"/>
    </w:lvl>
  </w:abstractNum>
  <w:abstractNum w:abstractNumId="145">
    <w:nsid w:val="3F7C2FF4"/>
    <w:multiLevelType w:val="hybridMultilevel"/>
    <w:lvl w:ilvl="0">
      <w:lvlJc w:val="left"/>
      <w:lvlText w:val="(%1)"/>
      <w:numFmt w:val="lowerLetter"/>
      <w:start w:val="7"/>
    </w:lvl>
  </w:abstractNum>
  <w:abstractNum w:abstractNumId="146">
    <w:nsid w:val="25413B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3"/>
    </w:lvl>
  </w:abstractNum>
  <w:abstractNum w:abstractNumId="147">
    <w:nsid w:val="17180B0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48">
    <w:nsid w:val="579328B9"/>
    <w:multiLevelType w:val="hybridMultilevel"/>
    <w:lvl w:ilvl="0">
      <w:lvlJc w:val="left"/>
      <w:lvlText w:val="(%1)"/>
      <w:numFmt w:val="lowerLetter"/>
      <w:start w:val="14"/>
    </w:lvl>
    <w:lvl w:ilvl="1">
      <w:lvlJc w:val="left"/>
      <w:lvlText w:val="%2"/>
      <w:numFmt w:val="lowerLetter"/>
      <w:start w:val="1"/>
    </w:lvl>
    <w:lvl w:ilvl="2">
      <w:lvlJc w:val="left"/>
      <w:lvlText w:val="%3"/>
      <w:numFmt w:val="lowerLetter"/>
      <w:start w:val="1"/>
    </w:lvl>
  </w:abstractNum>
  <w:abstractNum w:abstractNumId="149">
    <w:nsid w:val="5D205E20"/>
    <w:multiLevelType w:val="hybridMultilevel"/>
    <w:lvl w:ilvl="0">
      <w:lvlJc w:val="left"/>
      <w:lvlText w:val="(%1)"/>
      <w:numFmt w:val="lowerLetter"/>
      <w:start w:val="10"/>
    </w:lvl>
  </w:abstractNum>
  <w:abstractNum w:abstractNumId="150">
    <w:nsid w:val="11CCA8BA"/>
    <w:multiLevelType w:val="hybridMultilevel"/>
    <w:lvl w:ilvl="0">
      <w:lvlJc w:val="left"/>
      <w:lvlText w:val="(%1)"/>
      <w:numFmt w:val="lowerLetter"/>
      <w:start w:val="25"/>
    </w:lvl>
    <w:lvl w:ilvl="1">
      <w:lvlJc w:val="left"/>
      <w:lvlText w:val="(%2)"/>
      <w:numFmt w:val="lowerLetter"/>
      <w:start w:val="9"/>
    </w:lvl>
  </w:abstractNum>
  <w:abstractNum w:abstractNumId="151">
    <w:nsid w:val="4D32AB86"/>
    <w:multiLevelType w:val="hybridMultilevel"/>
    <w:lvl w:ilvl="0">
      <w:lvlJc w:val="left"/>
      <w:lvlText w:val="(%1)"/>
      <w:numFmt w:val="lowerLetter"/>
      <w:start w:val="11"/>
    </w:lvl>
  </w:abstractNum>
  <w:abstractNum w:abstractNumId="152">
    <w:nsid w:val="3F07ACC3"/>
    <w:multiLevelType w:val="hybridMultilevel"/>
    <w:lvl w:ilvl="0">
      <w:lvlJc w:val="left"/>
      <w:lvlText w:val="%1"/>
      <w:numFmt w:val="lowerLetter"/>
      <w:start w:val="1"/>
    </w:lvl>
    <w:lvl w:ilvl="1">
      <w:lvlJc w:val="left"/>
      <w:lvlText w:val="(%2)"/>
      <w:numFmt w:val="lowerLetter"/>
      <w:start w:val="6"/>
    </w:lvl>
  </w:abstractNum>
  <w:abstractNum w:abstractNumId="153">
    <w:nsid w:val="6B47F63E"/>
    <w:multiLevelType w:val="hybridMultilevel"/>
    <w:lvl w:ilvl="0">
      <w:lvlJc w:val="left"/>
      <w:lvlText w:val="(%1)"/>
      <w:numFmt w:val="lowerLetter"/>
      <w:start w:val="12"/>
    </w:lvl>
    <w:lvl w:ilvl="1">
      <w:lvlJc w:val="left"/>
      <w:lvlText w:val="%2"/>
      <w:numFmt w:val="lowerLetter"/>
      <w:start w:val="1"/>
    </w:lvl>
  </w:abstractNum>
  <w:abstractNum w:abstractNumId="154">
    <w:nsid w:val="5CB44A05"/>
    <w:multiLevelType w:val="hybridMultilevel"/>
    <w:lvl w:ilvl="0">
      <w:lvlJc w:val="left"/>
      <w:lvlText w:val="(%1)"/>
      <w:numFmt w:val="lowerLetter"/>
      <w:start w:val="1"/>
    </w:lvl>
  </w:abstractNum>
  <w:abstractNum w:abstractNumId="155">
    <w:nsid w:val="16CF80F1"/>
    <w:multiLevelType w:val="hybridMultilevel"/>
    <w:lvl w:ilvl="0">
      <w:lvlJc w:val="left"/>
      <w:lvlText w:val="(%1)"/>
      <w:numFmt w:val="lowerLetter"/>
      <w:start w:val="1"/>
    </w:lvl>
  </w:abstractNum>
  <w:abstractNum w:abstractNumId="156">
    <w:nsid w:val="1C695DEC"/>
    <w:multiLevelType w:val="hybridMultilevel"/>
    <w:lvl w:ilvl="0">
      <w:lvlJc w:val="left"/>
      <w:lvlText w:val="(%1)"/>
      <w:numFmt w:val="lowerLetter"/>
      <w:start w:val="1"/>
    </w:lvl>
  </w:abstractNum>
  <w:abstractNum w:abstractNumId="157">
    <w:nsid w:val="3FCFAED9"/>
    <w:multiLevelType w:val="hybridMultilevel"/>
    <w:lvl w:ilvl="0">
      <w:lvlJc w:val="left"/>
      <w:lvlText w:val="(%1)"/>
      <w:numFmt w:val="lowerLetter"/>
      <w:start w:val="1"/>
    </w:lvl>
  </w:abstractNum>
  <w:abstractNum w:abstractNumId="158">
    <w:nsid w:val="F856867"/>
    <w:multiLevelType w:val="hybridMultilevel"/>
    <w:lvl w:ilvl="0">
      <w:lvlJc w:val="left"/>
      <w:lvlText w:val="(%1)"/>
      <w:numFmt w:val="decimal"/>
      <w:start w:val="1"/>
    </w:lvl>
  </w:abstractNum>
  <w:abstractNum w:abstractNumId="159">
    <w:nsid w:val="11B1CC33"/>
    <w:multiLevelType w:val="hybridMultilevel"/>
    <w:lvl w:ilvl="0">
      <w:lvlJc w:val="left"/>
      <w:lvlText w:val="%1."/>
      <w:numFmt w:val="decimal"/>
      <w:start w:val="1"/>
    </w:lvl>
    <w:lvl w:ilvl="1">
      <w:lvlJc w:val="left"/>
      <w:lvlText w:val="%2."/>
      <w:numFmt w:val="lowerLetter"/>
      <w:start w:val="1"/>
    </w:lvl>
  </w:abstractNum>
  <w:abstractNum w:abstractNumId="160">
    <w:nsid w:val="2E22FBB7"/>
    <w:multiLevelType w:val="hybridMultilevel"/>
    <w:lvl w:ilvl="0">
      <w:lvlJc w:val="left"/>
      <w:lvlText w:val="%1."/>
      <w:numFmt w:val="decimal"/>
      <w:start w:val="1"/>
    </w:lvl>
    <w:lvl w:ilvl="1">
      <w:lvlJc w:val="left"/>
      <w:lvlText w:val="%2."/>
      <w:numFmt w:val="lowerLetter"/>
      <w:start w:val="1"/>
    </w:lvl>
  </w:abstractNum>
  <w:abstractNum w:abstractNumId="161">
    <w:nsid w:val="29934699"/>
    <w:multiLevelType w:val="hybridMultilevel"/>
    <w:lvl w:ilvl="0">
      <w:lvlJc w:val="left"/>
      <w:lvlText w:val="(%1)"/>
      <w:numFmt w:val="decimal"/>
      <w:start w:val="1"/>
    </w:lvl>
  </w:abstractNum>
  <w:abstractNum w:abstractNumId="162">
    <w:nsid w:val="77485850"/>
    <w:multiLevelType w:val="hybridMultilevel"/>
    <w:lvl w:ilvl="0">
      <w:lvlJc w:val="left"/>
      <w:lvlText w:val="(%1)"/>
      <w:numFmt w:val="lowerRoman"/>
      <w:start w:val="1"/>
    </w:lvl>
  </w:abstractNum>
  <w:abstractNum w:abstractNumId="163">
    <w:nsid w:val="744939A3"/>
    <w:multiLevelType w:val="hybridMultilevel"/>
    <w:lvl w:ilvl="0">
      <w:lvlJc w:val="left"/>
      <w:lvlText w:val="(%1)"/>
      <w:numFmt w:val="lowerRoman"/>
      <w:start w:val="4"/>
    </w:lvl>
  </w:abstractNum>
  <w:abstractNum w:abstractNumId="164">
    <w:nsid w:val="4FA0D2E3"/>
    <w:multiLevelType w:val="hybridMultilevel"/>
    <w:lvl w:ilvl="0">
      <w:lvlJc w:val="left"/>
      <w:lvlText w:val="•"/>
      <w:numFmt w:val="bullet"/>
      <w:start w:val="1"/>
    </w:lvl>
  </w:abstractNum>
  <w:abstractNum w:abstractNumId="165">
    <w:nsid w:val="6B1D2C14"/>
    <w:multiLevelType w:val="hybridMultilevel"/>
    <w:lvl w:ilvl="0">
      <w:lvlJc w:val="left"/>
      <w:lvlText w:val="%1"/>
      <w:numFmt w:val="decimal"/>
      <w:start w:val="1"/>
    </w:lvl>
    <w:lvl w:ilvl="1">
      <w:lvlJc w:val="left"/>
      <w:lvlText w:val="(%2)"/>
      <w:numFmt w:val="lowerRoman"/>
      <w:start w:val="1"/>
    </w:lvl>
  </w:abstractNum>
  <w:abstractNum w:abstractNumId="166">
    <w:nsid w:val="68B867D3"/>
    <w:multiLevelType w:val="hybridMultilevel"/>
    <w:lvl w:ilvl="0">
      <w:lvlJc w:val="left"/>
      <w:lvlText w:val="%1."/>
      <w:numFmt w:val="decimal"/>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25" Type="http://schemas.openxmlformats.org/officeDocument/2006/relationships/hyperlink" Target="https://www.sec.gov/Archives/edgar/data/1519449/000110465922117762/tm228594d12_ex3-1.htm" TargetMode="External"/><Relationship Id="rId226" Type="http://schemas.openxmlformats.org/officeDocument/2006/relationships/hyperlink" Target="https://www.sec.gov/Archives/edgar/data/1519449/000110465922117762/tm228594d12_ex3-2.htm" TargetMode="External"/><Relationship Id="rId227" Type="http://schemas.openxmlformats.org/officeDocument/2006/relationships/hyperlink" Target="https://www.sec.gov/Archives/edgar/data/1519449/000110465922117762/tm228594d12_ex4-1.htm" TargetMode="External"/><Relationship Id="rId228" Type="http://schemas.openxmlformats.org/officeDocument/2006/relationships/hyperlink" Target="https://www.sec.gov/Archives/edgar/data/1519449/000151944923000008/exhibit42descriptionofcapt.htm" TargetMode="External"/><Relationship Id="rId229" Type="http://schemas.openxmlformats.org/officeDocument/2006/relationships/hyperlink" Target="https://www.sec.gov/Archives/edgar/data/1519449/000110465922117762/tm228594d12_ex10-1.htm" TargetMode="External"/><Relationship Id="rId230" Type="http://schemas.openxmlformats.org/officeDocument/2006/relationships/hyperlink" Target="https://www.sec.gov/Archives/edgar/data/1519449/000110465922117762/tm228594d12_ex10-2.htm" TargetMode="External"/><Relationship Id="rId231" Type="http://schemas.openxmlformats.org/officeDocument/2006/relationships/hyperlink" Target="https://www.sec.gov/Archives/edgar/data/1519449/000110465922117762/tm228594d12_ex10-3.htm" TargetMode="External"/><Relationship Id="rId232" Type="http://schemas.openxmlformats.org/officeDocument/2006/relationships/hyperlink" Target="https://www.sec.gov/Archives/edgar/data/1519449/000110465922117762/tm228594d12_ex10-4.htm" TargetMode="External"/><Relationship Id="rId233" Type="http://schemas.openxmlformats.org/officeDocument/2006/relationships/hyperlink" Target="https://www.sec.gov/Archives/edgar/data/1519449/000110465922117762/tm228594d12_ex10-5.htm" TargetMode="External"/><Relationship Id="rId236" Type="http://schemas.openxmlformats.org/officeDocument/2006/relationships/hyperlink" Target="https://www.sec.gov/Archives/edgar/data/1519449/000110465923003482/tm233124d1_ex99-6.htm" TargetMode="External"/><Relationship Id="rId237" Type="http://schemas.openxmlformats.org/officeDocument/2006/relationships/hyperlink" Target="https://www.sec.gov/Archives/edgar/data/1519449/000110465923003482/tm233124d1_ex99-7.htm" TargetMode="External"/><Relationship Id="rId238" Type="http://schemas.openxmlformats.org/officeDocument/2006/relationships/hyperlink" Target="https://www.sec.gov/Archives/edgar/data/1519449/000110465923003482/tm233124d1_ex99-8.htm" TargetMode="External"/><Relationship Id="rId239" Type="http://schemas.openxmlformats.org/officeDocument/2006/relationships/hyperlink" Target="https://www.sec.gov/Archives/edgar/data/1519449/000110465923003482/tm233124d1_ex99-9.htm" TargetMode="External"/><Relationship Id="rId240" Type="http://schemas.openxmlformats.org/officeDocument/2006/relationships/hyperlink" Target="https://www.sec.gov/Archives/edgar/data/1519449/000151944923000008/exhibit1010performancebase.htm" TargetMode="External"/><Relationship Id="rId241" Type="http://schemas.openxmlformats.org/officeDocument/2006/relationships/hyperlink" Target="https://www.sec.gov/Archives/edgar/data/1519449/000151944923000008/exhibit1011performancebase.htm" TargetMode="External"/><Relationship Id="rId242" Type="http://schemas.openxmlformats.org/officeDocument/2006/relationships/hyperlink" Target="https://www.sec.gov/Archives/edgar/data/1519449/000151944923000008/exhibit1012performanceunit.htm" TargetMode="External"/><Relationship Id="rId243" Type="http://schemas.openxmlformats.org/officeDocument/2006/relationships/hyperlink" Target="https://www.sec.gov/Archives/edgar/data/1519449/000110465922117762/tm228594d12_ex10-6.htm" TargetMode="External"/><Relationship Id="rId244" Type="http://schemas.openxmlformats.org/officeDocument/2006/relationships/hyperlink" Target="https://www.sec.gov/Archives/edgar/data/1519449/000110465922117762/tm228594d12_ex10-7.htm" TargetMode="External"/><Relationship Id="rId245" Type="http://schemas.openxmlformats.org/officeDocument/2006/relationships/hyperlink" Target="https://www.sec.gov/Archives/edgar/data/1519449/000110465922117762/tm228594d12_ex10-8.htm" TargetMode="External"/><Relationship Id="rId246" Type="http://schemas.openxmlformats.org/officeDocument/2006/relationships/hyperlink" Target="https://www.sec.gov/Archives/edgar/data/1519449/000110465922117762/tm228594d12_ex10-10.htm" TargetMode="External"/><Relationship Id="rId247" Type="http://schemas.openxmlformats.org/officeDocument/2006/relationships/hyperlink" Target="https://www.sec.gov/Archives/edgar/data/1519449/000110465922117762/tm228594d12_ex10-14.htm" TargetMode="External"/><Relationship Id="rId250" Type="http://schemas.openxmlformats.org/officeDocument/2006/relationships/hyperlink" Target="https://www.sec.gov/Archives/edgar/data/1519449/000110465922117762/tm228594d12_ex10-15.htm" TargetMode="External"/><Relationship Id="rId251" Type="http://schemas.openxmlformats.org/officeDocument/2006/relationships/hyperlink" Target="https://www.sec.gov/Archives/edgar/data/1519449/000151944923000015/exhibit101creditagreement.htm" TargetMode="External"/><Relationship Id="rId252" Type="http://schemas.openxmlformats.org/officeDocument/2006/relationships/hyperlink" Target="https://www.sec.gov/Archives/edgar/data/1519449/000151944923000015/exhibit102guarantyagreement.htm" TargetMode="External"/><Relationship Id="rId253" Type="http://schemas.openxmlformats.org/officeDocument/2006/relationships/hyperlink" Target="https://www.sec.gov/Archives/edgar/data/1519449/000110465922117762/tm228594d12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2024-04-01T14:01:47Z</dcterms:created>
  <dcterms:modified xsi:type="dcterms:W3CDTF">2024-04-01T14:01:47Z</dcterms:modified>
</cp:coreProperties>
</file>