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072026_080509.xml.htm"/>
      <w:bookmarkStart w:id="1" w:name="ksform405072026_0805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Hays James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GESSNER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Skyward Specialty Insurance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SKWD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7"/>
        <w:gridCol w:w="907"/>
        <w:gridCol w:w="777"/>
        <w:gridCol w:w="603"/>
        <w:gridCol w:w="347"/>
        <w:gridCol w:w="839"/>
        <w:gridCol w:w="448"/>
        <w:gridCol w:w="611"/>
        <w:gridCol w:w="1275"/>
        <w:gridCol w:w="991"/>
        <w:gridCol w:w="11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175,858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669,311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Marquis Lafayette,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2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1,975,851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JWayne,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RSU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settles for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controlling member of the entity.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right to receive, at settlement,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May 7, 2025, the Reporting Person was granted an RSU award of 1,797 RSUs. Subject to the terms of the award agreement, and pursuant to Board-approved accelerated vesting to coincide with the Reporting Person's director term ending at the Company's 2026 Annual Meeting of Shareholders, this award fully vested on May 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E. Skelton,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909" TargetMode="External"/><Relationship Id="rId5" Type="http://schemas.openxmlformats.org/officeDocument/2006/relationships/hyperlink" Target="http://www.sec.gov/cgi-bin/browse-edgar?action=getcompany&amp;CIK=00015194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3668</Characters>
  <CharactersWithSpaces>4276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