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500" w:right="1520" w:hanging="290"/>
        <w:spacing w:after="0" w:line="335" w:lineRule="auto"/>
        <w:tabs>
          <w:tab w:leader="none" w:pos="5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640" w:right="1460" w:hanging="430"/>
        <w:spacing w:after="0" w:line="215"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14-1957288</w:t>
            </w:r>
          </w:p>
        </w:tc>
        <w:tc>
          <w:tcPr>
            <w:tcW w:w="0" w:type="dxa"/>
            <w:vAlign w:val="bottom"/>
          </w:tcPr>
          <w:p>
            <w:pPr>
              <w:spacing w:after="0"/>
              <w:rPr>
                <w:sz w:val="1"/>
                <w:szCs w:val="1"/>
                <w:color w:val="auto"/>
              </w:rPr>
            </w:pPr>
          </w:p>
        </w:tc>
      </w:tr>
      <w:tr>
        <w:trPr>
          <w:trHeight w:val="211"/>
        </w:trPr>
        <w:tc>
          <w:tcPr>
            <w:tcW w:w="7500" w:type="dxa"/>
            <w:vAlign w:val="bottom"/>
            <w:gridSpan w:val="5"/>
            <w:vMerge w:val="restart"/>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26"/>
        </w:trPr>
        <w:tc>
          <w:tcPr>
            <w:tcW w:w="7500" w:type="dxa"/>
            <w:vAlign w:val="bottom"/>
            <w:gridSpan w:val="5"/>
            <w:vMerge w:val="continue"/>
          </w:tcPr>
          <w:p>
            <w:pPr>
              <w:spacing w:after="0"/>
              <w:rPr>
                <w:sz w:val="10"/>
                <w:szCs w:val="10"/>
                <w:color w:val="auto"/>
              </w:rPr>
            </w:pPr>
          </w:p>
        </w:tc>
        <w:tc>
          <w:tcPr>
            <w:tcW w:w="3760" w:type="dxa"/>
            <w:vAlign w:val="bottom"/>
            <w:vMerge w:val="restart"/>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2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vMerge w:val="restart"/>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77024-4284</w:t>
            </w: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935-4800</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gridSpan w:val="5"/>
          </w:tcPr>
          <w:p>
            <w:pPr>
              <w:jc w:val="center"/>
              <w:ind w:left="3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4"/>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6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the registrant had 40,487,365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and Description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2025 and December 31, 2024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for the Three and Nine-Month Periods</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September 30, 2025 and 2024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 and Nine-Month Periods Ended</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 and 2024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Cash Flows for the Nine-Month Periods Ended September 30, 2025 and 2024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6. 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00" w:type="dxa"/>
            <w:vAlign w:val="bottom"/>
            <w:shd w:val="clear" w:color="auto" w:fill="CCEEFF"/>
          </w:tcPr>
          <w:p>
            <w:pPr>
              <w:spacing w:after="0"/>
              <w:rPr>
                <w:sz w:val="19"/>
                <w:szCs w:val="19"/>
                <w:color w:val="auto"/>
              </w:rPr>
            </w:pPr>
          </w:p>
        </w:tc>
      </w:tr>
      <w:tr>
        <w:trPr>
          <w:trHeight w:val="90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78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(net of allowance for credit losses of $7,000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1,805,218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 respectively) (amortized cost of $1,800,068 and $1,320,266, respectively)</w:t>
            </w:r>
          </w:p>
        </w:tc>
        <w:tc>
          <w:tcPr>
            <w:tcW w:w="26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$236</w:t>
            </w:r>
          </w:p>
        </w:tc>
        <w:tc>
          <w:tcPr>
            <w:tcW w:w="2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34,568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$243, respectively)</w:t>
            </w:r>
          </w:p>
        </w:tc>
        <w:tc>
          <w:tcPr>
            <w:tcW w:w="2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50,078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247,376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2,233,788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1,870,820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38,197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583,148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923,406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857,876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117,714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86,698</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4,594,046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2,061,774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885,669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637,185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276,750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114,570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19,561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3,632,623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2,935,479</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40,487,365 and 40,127,908 shares issued</w:t>
            </w:r>
          </w:p>
        </w:tc>
        <w:tc>
          <w:tcPr>
            <w:tcW w:w="2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727,561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718,598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223,918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961,423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793,999</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4,594,046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351,797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947,705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763,482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382,526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1,030,956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845,798</w:t>
            </w: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582,351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473,489</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273,823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226,270</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321,979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254,035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869,179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711,613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35" w:right="35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Unrealized gains and losses on investments: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change in unrealized gains on investments, net of tax</w:t>
      </w:r>
    </w:p>
    <w:p>
      <w:pPr>
        <w:spacing w:after="0" w:line="63" w:lineRule="exact"/>
        <w:rPr>
          <w:sz w:val="20"/>
          <w:szCs w:val="20"/>
          <w:color w:val="auto"/>
        </w:rPr>
      </w:pPr>
    </w:p>
    <w:p>
      <w:pPr>
        <w:ind w:left="560" w:right="480" w:hanging="188"/>
        <w:spacing w:after="0" w:line="282" w:lineRule="auto"/>
        <w:rPr>
          <w:sz w:val="20"/>
          <w:szCs w:val="20"/>
          <w:color w:val="auto"/>
        </w:rPr>
      </w:pPr>
      <w:r>
        <w:rPr>
          <w:rFonts w:ascii="Times New Roman" w:cs="Times New Roman" w:eastAsia="Times New Roman" w:hAnsi="Times New Roman"/>
          <w:sz w:val="18"/>
          <w:szCs w:val="18"/>
          <w:color w:val="auto"/>
        </w:rPr>
        <w:t>Reclassification adjustment for gains (losses) on securities no longer held,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3"/>
              </w:rPr>
              <w:t>6,740</w:t>
            </w:r>
          </w:p>
        </w:tc>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31,396</w:t>
            </w: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30,000</w:t>
            </w: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24,527</w:t>
            </w:r>
          </w:p>
        </w:tc>
      </w:tr>
      <w:tr>
        <w:trPr>
          <w:trHeight w:val="486"/>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3"/>
              </w:rPr>
              <w:t>5,465</w:t>
            </w:r>
          </w:p>
        </w:tc>
        <w:tc>
          <w:tcPr>
            <w:tcW w:w="1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(1,963)</w:t>
            </w: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1,659</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(3,277)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-624840</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-307975</wp:posOffset>
            </wp:positionV>
            <wp:extent cx="71151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5280" w:space="720"/>
            <w:col w:w="5220"/>
          </w:cols>
          <w:pgMar w:left="320" w:top="135" w:right="35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4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12,205</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31,659</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40,487,069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40,098,345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40,377,864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40,039,269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41,868,449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41,428,557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41,784,976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41,302,108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40,486,656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40,096,132</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40,487,365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40,099,931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724,159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713,542</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716,095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Retained earnings: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178,017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46,046</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r>
      <w:tr>
        <w:trPr>
          <w:trHeight w:val="223"/>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82,714</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797,507</w:t>
            </w:r>
          </w:p>
        </w:tc>
      </w:tr>
      <w:tr>
        <w:trPr>
          <w:trHeight w:val="20"/>
        </w:trPr>
        <w:tc>
          <w:tcPr>
            <w:tcW w:w="7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40,127,908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39,863,756</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359,457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236,175</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40,487,365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40,099,931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718,598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716,095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r>
      <w:tr>
        <w:trPr>
          <w:trHeight w:val="223"/>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82,714</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19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104,422</w:t>
            </w:r>
          </w:p>
        </w:tc>
      </w:tr>
      <w:tr>
        <w:trPr>
          <w:trHeight w:val="229"/>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178,793</w:t>
            </w:r>
          </w:p>
        </w:tc>
      </w:tr>
      <w:tr>
        <w:trPr>
          <w:trHeight w:val="223"/>
        </w:trPr>
        <w:tc>
          <w:tcPr>
            <w:tcW w:w="7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283,216</w:t>
            </w:r>
          </w:p>
        </w:tc>
      </w:tr>
      <w:tr>
        <w:trPr>
          <w:trHeight w:val="19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fixed maturity securities, available-for-sale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(425,642)</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equity method investments and other long-term investments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(22,377)</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 and goodwill</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direct and indirect loans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sales of fixed maturity securities, available-for-sale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17,540</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calls, transfers and paydowns of fixed maturity securities, available-for-sale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96,306</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calls and paydowns of fixed maturity securities held-to-maturity</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sales of equity securities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of and distributions from equity method and other long-term investments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short-term investments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63,868</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receivable/payable for securities</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provided by deposit accounting</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23"/>
        </w:trPr>
        <w:tc>
          <w:tcPr>
            <w:tcW w:w="7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investment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(315,568)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(227,963)</w:t>
            </w:r>
          </w:p>
        </w:tc>
      </w:tr>
      <w:tr>
        <w:trPr>
          <w:trHeight w:val="19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stock notes receivable</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 term borrowings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 term borrowings and trust preferred</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(116,794)</w:t>
            </w:r>
          </w:p>
        </w:tc>
      </w:tr>
      <w:tr>
        <w:trPr>
          <w:trHeight w:val="223"/>
        </w:trPr>
        <w:tc>
          <w:tcPr>
            <w:tcW w:w="77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51,020</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period</w:t>
            </w:r>
            <w:r>
              <w:rPr>
                <w:rFonts w:ascii="Times New Roman" w:cs="Times New Roman" w:eastAsia="Times New Roman" w:hAnsi="Times New Roman"/>
                <w:sz w:val="21"/>
                <w:szCs w:val="21"/>
                <w:b w:val="1"/>
                <w:bCs w:val="1"/>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r>
      <w:tr>
        <w:trPr>
          <w:trHeight w:val="223"/>
        </w:trPr>
        <w:tc>
          <w:tcPr>
            <w:tcW w:w="77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r>
              <w:rPr>
                <w:rFonts w:ascii="Times New Roman" w:cs="Times New Roman" w:eastAsia="Times New Roman" w:hAnsi="Times New Roman"/>
                <w:sz w:val="21"/>
                <w:szCs w:val="21"/>
                <w:b w:val="1"/>
                <w:bCs w:val="1"/>
                <w:color w:val="auto"/>
                <w:vertAlign w:val="superscript"/>
              </w:rPr>
              <w:t>(1)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r>
      <w:tr>
        <w:trPr>
          <w:trHeight w:val="252"/>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The sum of cash and cash equivalents and restricted cash from the consolidated balance sheets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 Basis of Presentation</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2024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2024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Updates to Significant Accounting Policies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accounting policy has been updated to align with reporting of peer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limited to the amount by which fair value is below amortized cost. Prior to September 30, 2025, changes in the allowance for credit losses were recognized in net investment income on the consolidated statements of operations. As of September 30, 2025, changes in the allowance for credit losses are recognized in net investment gains. Prior periods have been updated to conform to the current period presentation. Credit losses that are limited by the fair value of the security are recognized in stockholders’ equity, net of taxes, as a component of accumulated other comprehensive (loss) income. Unrealized losses that are not credit-related continue to be recognized in stockholders’ equity, net of taxes, as a component of accumulated other comprehensive (loss)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to maturity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multi-year cumulative loss rates for asset backed securities. The historical loss rate is adjusted for current conditions and reasonable and supportable forecasts. Prior to September 30, 2025, changes in the allowance for credit losses were recognized in net investment income on the consolidated statements of operations. As of September 30, 2025, changes in the allowance for credit losses are recognized in net investment gains. Prior periods have been updated to conform to the current period presentation.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consolidates an entity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 A VIE is an entity that either (i) lacks sufficient equity to finance its activities without additional subordinated financial support from other parties; (ii) whose equity holders lack the characteristics of a controlling financial interest; and/or (iii) is established with non-substantive voting rights. The Company’s assessment may involve subjectivity in the determination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which activities most significantly affect the VIE’s performance, and estimates about current and future fair value of the assets held by the VIE and financial performance of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each reporting period, the Company reassesses whether changes in facts and circumstances cause a change in the status of an entity as a VIE,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performing the above assessments, the Company has determined one entity meets the definition of a VIE for which the Company is the primary beneficiary. See Note 6 for further details and required disclosures.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commodity derivatives to assume risk and manage its exposures in the insurance industry. Commodity derivatives expose the Company to potentially unfavorable price changes to the underlying commodities. The Company accounts for its derivatives in accordance with FASB ASC Topic 815, Derivatives and Hedging, which requires all derivatives to be recorded at fair value on the Company’s balance sheet as either assets or liabilities, depending on their rights or obligations, with changes in fair value reflected in current earnings. The Company meets the criteria in the guidance to net the assets and liabilities, which the Company includes in “other assets” on the condensed consolidated balance sheets. While the Company considers these exchange-traded futures and forward purchase and sale contracts to be effective economic hedges, the Company has not elected hedge accounting treatment. The fair value of the Company’s derivatives is estimated by reference to quoted prices or broker quotes, where available, or in the absence of quoted prices or broker quotes, the use of industry or internal valuation models. See Note 7 for further details and required disclosures.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amortized cost and the fair value by investment category at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76,187</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597,802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100,003</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495,176</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72,384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463,666</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1,805,218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34,804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available-for-sale fixed maturity securities by contractual maturity at September 30,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41,043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40,596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445,407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444,540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235,749</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53,107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567,560</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459,234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463,666</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1,800,068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1,805,218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September 30, 2025 consisted entirely of asset backed securities that were not due at a single maturity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2025, the Company had U.S. government agencies mortgage-backed fixed maturity securities, with a carrying value of approximately $67.3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2025, the Company had assets with fair values of approximately $55.3 million pledged as collateral for performance obligations under reinsurance agreements. In accordance with the terms of the trust agreements, the Company retains all rights regarding these securities, of which $45.7 million are residential mortgage-backed securities, $7.4 million of cash and cash equivalents and other assets and $2.2 million of short-term investments.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
              <w:spacing w:after="0" w:line="135"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
              <w:spacing w:after="0" w:line="135"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4"/>
              <w:spacing w:after="0" w:line="135"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143,238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48,244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66,746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182,806</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203,531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386,337</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(18,507)</w:t>
            </w:r>
          </w:p>
        </w:tc>
        <w:tc>
          <w:tcPr>
            <w:tcW w:w="0" w:type="dxa"/>
            <w:vAlign w:val="bottom"/>
          </w:tcPr>
          <w:p>
            <w:pPr>
              <w:spacing w:after="0"/>
              <w:rPr>
                <w:sz w:val="1"/>
                <w:szCs w:val="1"/>
                <w:color w:val="auto"/>
              </w:rPr>
            </w:pPr>
          </w:p>
        </w:tc>
      </w:tr>
      <w:tr>
        <w:trPr>
          <w:trHeight w:val="34"/>
        </w:trPr>
        <w:tc>
          <w:tcPr>
            <w:tcW w:w="3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480,693</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515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September 30, 2025 and determined that for two available-for-sale securities in the “corporate securities and miscellaneous” category, credit impairments existed, based on new recovery analysis that showed deteriorating conditions raising credit concerns. Other than the securities discussed previously, the Company determined that no other credit impairment existed in the gross unrealized holding losses, due to the reasons discussed below:</w:t>
      </w:r>
    </w:p>
    <w:p>
      <w:pPr>
        <w:spacing w:after="0" w:line="77"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securities and municipal securities</w:t>
      </w:r>
      <w:r>
        <w:rPr>
          <w:rFonts w:ascii="Times New Roman" w:cs="Times New Roman" w:eastAsia="Times New Roman" w:hAnsi="Times New Roman"/>
          <w:sz w:val="18"/>
          <w:szCs w:val="18"/>
          <w:color w:val="auto"/>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4"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securities and miscellaneous</w:t>
      </w:r>
      <w:r>
        <w:rPr>
          <w:rFonts w:ascii="Times New Roman" w:cs="Times New Roman" w:eastAsia="Times New Roman" w:hAnsi="Times New Roman"/>
          <w:sz w:val="18"/>
          <w:szCs w:val="18"/>
          <w:color w:val="auto"/>
        </w:rPr>
        <w:t>: Corporations in various industries issued these securities. The decline in fair values was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Residential mortgage-backed securities, commercial mortgage-backed securities, and other asset-backed securities</w:t>
      </w:r>
      <w:r>
        <w:rPr>
          <w:rFonts w:ascii="Times New Roman" w:cs="Times New Roman" w:eastAsia="Times New Roman" w:hAnsi="Times New Roman"/>
          <w:sz w:val="18"/>
          <w:szCs w:val="18"/>
          <w:color w:val="auto"/>
        </w:rPr>
        <w:t>: The decline in fair values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6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the allowance for credit losses on available-for-sale securities and held-to-maturity securities during the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2700" w:type="dxa"/>
            <w:vAlign w:val="bottom"/>
            <w:tcBorders>
              <w:top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Fixed Maturity Securities, Held-to-</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For-Sale</w:t>
            </w:r>
          </w:p>
        </w:tc>
        <w:tc>
          <w:tcPr>
            <w:tcW w:w="560" w:type="dxa"/>
            <w:vAlign w:val="bottom"/>
          </w:tcPr>
          <w:p>
            <w:pPr>
              <w:spacing w:after="0"/>
              <w:rPr>
                <w:sz w:val="20"/>
                <w:szCs w:val="20"/>
                <w:color w:val="auto"/>
              </w:rPr>
            </w:pPr>
          </w:p>
        </w:tc>
        <w:tc>
          <w:tcPr>
            <w:tcW w:w="21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2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6,150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Fixed Maturity Securities, Held-to-</w:t>
            </w: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2024</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4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for the three and nine months ended September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30"/>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3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r>
      <w:tr>
        <w:trPr>
          <w:trHeight w:val="22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30"/>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91440</wp:posOffset>
            </wp:positionV>
            <wp:extent cx="7054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 w:type="dxa"/>
            <w:vAlign w:val="bottom"/>
          </w:tcPr>
          <w:p>
            <w:pPr>
              <w:spacing w:after="0"/>
              <w:rPr>
                <w:sz w:val="19"/>
                <w:szCs w:val="19"/>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37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60" w:type="dxa"/>
            <w:vAlign w:val="bottom"/>
          </w:tcPr>
          <w:p>
            <w:pPr>
              <w:spacing w:after="0"/>
              <w:rPr>
                <w:sz w:val="19"/>
                <w:szCs w:val="19"/>
                <w:color w:val="auto"/>
              </w:rPr>
            </w:pPr>
          </w:p>
        </w:tc>
      </w:tr>
      <w:tr>
        <w:trPr>
          <w:trHeight w:val="238"/>
        </w:trPr>
        <w:tc>
          <w:tcPr>
            <w:tcW w:w="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22,993</w:t>
            </w:r>
          </w:p>
        </w:tc>
        <w:tc>
          <w:tcPr>
            <w:tcW w:w="60" w:type="dxa"/>
            <w:vAlign w:val="bottom"/>
          </w:tcPr>
          <w:p>
            <w:pPr>
              <w:spacing w:after="0"/>
              <w:rPr>
                <w:sz w:val="20"/>
                <w:szCs w:val="20"/>
                <w:color w:val="auto"/>
              </w:rPr>
            </w:pPr>
          </w:p>
        </w:tc>
      </w:tr>
      <w:tr>
        <w:trPr>
          <w:trHeight w:val="45"/>
        </w:trPr>
        <w:tc>
          <w:tcPr>
            <w:tcW w:w="80" w:type="dxa"/>
            <w:vAlign w:val="bottom"/>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885"/>
        </w:trPr>
        <w:tc>
          <w:tcPr>
            <w:tcW w:w="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7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80" w:type="dxa"/>
            <w:vAlign w:val="bottom"/>
            <w:tcBorders>
              <w:bottom w:val="single" w:sz="8" w:color="9A9A9A"/>
            </w:tcBorders>
          </w:tcPr>
          <w:p>
            <w:pPr>
              <w:spacing w:after="0"/>
              <w:rPr>
                <w:sz w:val="19"/>
                <w:szCs w:val="19"/>
                <w:color w:val="auto"/>
              </w:rPr>
            </w:pPr>
          </w:p>
        </w:tc>
        <w:tc>
          <w:tcPr>
            <w:tcW w:w="4300" w:type="dxa"/>
            <w:vAlign w:val="bottom"/>
            <w:tcBorders>
              <w:bottom w:val="single" w:sz="8" w:color="9A9A9A"/>
            </w:tcBorders>
          </w:tcPr>
          <w:p>
            <w:pPr>
              <w:spacing w:after="0"/>
              <w:rPr>
                <w:sz w:val="19"/>
                <w:szCs w:val="19"/>
                <w:color w:val="auto"/>
              </w:rPr>
            </w:pPr>
          </w:p>
        </w:tc>
        <w:tc>
          <w:tcPr>
            <w:tcW w:w="37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nine months ended September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41,099</w:t>
            </w:r>
          </w:p>
        </w:tc>
      </w:tr>
      <w:tr>
        <w:trPr>
          <w:trHeight w:val="22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30"/>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2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3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Indirect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2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w:t>
            </w:r>
          </w:p>
        </w:tc>
      </w:tr>
      <w:tr>
        <w:trPr>
          <w:trHeight w:val="22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2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r>
      <w:tr>
        <w:trPr>
          <w:trHeight w:val="22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59,866</w:t>
            </w:r>
          </w:p>
        </w:tc>
      </w:tr>
      <w:tr>
        <w:trPr>
          <w:trHeight w:val="21"/>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(losses) on the Company’s investment portfolio, net of deferred income taxes, included in other comprehensive loss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15,505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37,257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40,192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26,898</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(3,300)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(7,824)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(8,533)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(5,648)</w:t>
            </w:r>
          </w:p>
        </w:tc>
      </w:tr>
      <w:tr>
        <w:trPr>
          <w:trHeight w:val="248"/>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12,205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29,433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31,659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21,250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65"/>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49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 for sale classified as Level 3</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range of the discount rate as of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54"/>
        </w:trPr>
        <w:tc>
          <w:tcPr>
            <w:tcW w:w="68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judgment and uncertainty.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7.93 %</w:t>
            </w:r>
          </w:p>
        </w:tc>
      </w:tr>
      <w:tr>
        <w:trPr>
          <w:trHeight w:val="54"/>
        </w:trPr>
        <w:tc>
          <w:tcPr>
            <w:tcW w:w="68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Included in other assets are derivatives which consist of certain exchange traded options contracts entered into by the Company. The fair values of these options are measured using quoted prices in active markets on the relevant exchange, specifically utilizing either the volume-weighted average price of trades in similar contracts during a specified time window, or the last trade settlement price when no trades occur within that period. This method represents Level 1 inputs.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investments and derivatives within the fair value hierarchy at September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76,187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76,187</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496,195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597,802</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100,003</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495,176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495,176</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72,384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463,666</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76,187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1,609,804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119,227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1,805,218</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9,998</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247,376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247,376</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16,843</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340,406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1,610,986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166,492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2,117,884</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425,628</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292,191</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1,187,812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3"/>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attributable to the change in unrealized</w:t>
            </w:r>
          </w:p>
        </w:tc>
        <w:tc>
          <w:tcPr>
            <w:tcW w:w="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or losses relating to assets held as of period end</w:t>
            </w:r>
          </w:p>
        </w:tc>
        <w:tc>
          <w:tcPr>
            <w:tcW w:w="200" w:type="dxa"/>
            <w:vAlign w:val="bottom"/>
            <w:vMerge w:val="continue"/>
            <w:shd w:val="clear" w:color="auto" w:fill="CCEEFF"/>
          </w:tcPr>
          <w:p>
            <w:pPr>
              <w:spacing w:after="0"/>
              <w:rPr>
                <w:sz w:val="20"/>
                <w:szCs w:val="20"/>
                <w:color w:val="auto"/>
              </w:rPr>
            </w:pPr>
          </w:p>
        </w:tc>
        <w:tc>
          <w:tcPr>
            <w:tcW w:w="17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Total (losses) gains for the period recognized in net investment gains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330</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 (loss)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attributable to the change in unrealized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500" w:type="dxa"/>
            <w:vAlign w:val="bottom"/>
            <w:vMerge w:val="continue"/>
          </w:tcPr>
          <w:p>
            <w:pPr>
              <w:spacing w:after="0"/>
              <w:rPr>
                <w:sz w:val="10"/>
                <w:szCs w:val="10"/>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or losses relating to assets held as of period end</w:t>
            </w:r>
          </w:p>
        </w:tc>
        <w:tc>
          <w:tcPr>
            <w:tcW w:w="20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9,998</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attributable to the change in unrealized</w:t>
            </w:r>
          </w:p>
        </w:tc>
        <w:tc>
          <w:tcPr>
            <w:tcW w:w="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or losses relating to assets held as of period end</w:t>
            </w:r>
          </w:p>
        </w:tc>
        <w:tc>
          <w:tcPr>
            <w:tcW w:w="200" w:type="dxa"/>
            <w:vAlign w:val="bottom"/>
            <w:vMerge w:val="continue"/>
            <w:shd w:val="clear" w:color="auto" w:fill="CCEEFF"/>
          </w:tcPr>
          <w:p>
            <w:pPr>
              <w:spacing w:after="0"/>
              <w:rPr>
                <w:sz w:val="20"/>
                <w:szCs w:val="20"/>
                <w:color w:val="auto"/>
              </w:rPr>
            </w:pPr>
          </w:p>
        </w:tc>
        <w:tc>
          <w:tcPr>
            <w:tcW w:w="17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5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6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3"/>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2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the change in unrealized gains or losses relating to assets</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as of period end</w:t>
            </w:r>
          </w:p>
        </w:tc>
        <w:tc>
          <w:tcPr>
            <w:tcW w:w="20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(losses)</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the change in unrealized gains or losses relating to assets</w:t>
            </w:r>
          </w:p>
        </w:tc>
        <w:tc>
          <w:tcPr>
            <w:tcW w:w="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as of period end</w:t>
            </w:r>
          </w:p>
        </w:tc>
        <w:tc>
          <w:tcPr>
            <w:tcW w:w="200" w:type="dxa"/>
            <w:vAlign w:val="bottom"/>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Total (losses) gains for the period recognized in net investment gains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76"/>
        </w:trPr>
        <w:tc>
          <w:tcPr>
            <w:tcW w:w="5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the change in unrealized gains or losses relating to assets</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as of period end</w:t>
            </w:r>
          </w:p>
        </w:tc>
        <w:tc>
          <w:tcPr>
            <w:tcW w:w="20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transfers into Level 3 during the nine months ended September 30, 2025 were the result of securities that began receiving valuations from asset managers that utilized unobservable inputs at the end of the period.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September 30, 2025, the Company determined the fair value of these instruments using the income approach utilizing inputs that are unobservable (Level 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NOTES TO(UNAUDITED) CONDENSED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u w:val="single" w:color="auto"/>
          <w:color w:val="auto"/>
        </w:rPr>
        <w:t>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Fair Value Measurements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in RedBird Capital Partners: </w:t>
      </w:r>
      <w:r>
        <w:rPr>
          <w:rFonts w:ascii="Times New Roman" w:cs="Times New Roman" w:eastAsia="Times New Roman" w:hAnsi="Times New Roman"/>
          <w:sz w:val="18"/>
          <w:szCs w:val="18"/>
          <w:color w:val="auto"/>
        </w:rPr>
        <w:t>Included in other long-term investments is an investment in a limited partnership with RedBird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invests in Bishop Street Underwriters, LLC (“Bishop Street”), a managing general agent (MGA). The investment had a fair value of $47.0 million at September 30, 2025, which was determined using the net asset value. The Company employs procedures to assess the reasonableness of the fair value of the investment including obtaining and reviewing the audited financial statements. The unfunded commitment related to the investment was $21.5 million at September 30, 2025.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w:t>
      </w:r>
    </w:p>
    <w:p>
      <w:pPr>
        <w:spacing w:after="0" w:line="7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the Unsecured Subordinated Notes, due May 24, 2039 and have a fixed interest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fair value of these instruments using the income approach utilizing inputs that are observable (Level 2).</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19,561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September 30, 2025 and December 31, 2024,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and mature in approximately 2 to 4 years from loan origination. The principal amounts of the loans are approximately 64% of the property’s appraised value at the time the loans were made.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of the Company’s mortgage loans as of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23"/>
        </w:trPr>
        <w:tc>
          <w:tcPr>
            <w:tcW w:w="806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nine months ended September 30, 2025 and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and as of December 31, 2024, no mortgage loans were in the process of foreclosure and there were no mortgage loans that were not producing income for the previous 12 months.</w:t>
      </w:r>
    </w:p>
    <w:p>
      <w:pPr>
        <w:spacing w:after="0" w:line="5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the carrying value and ownership percentage of the Company’s equity method investments as of September 30, 2025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15,044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3"/>
        </w:trPr>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55,789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(loss) from equity method investments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3"/>
        </w:trPr>
        <w:tc>
          <w:tcPr>
            <w:tcW w:w="5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1"/>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 Bird Capital Partners LP units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48"/>
        </w:trPr>
        <w:tc>
          <w:tcPr>
            <w:tcW w:w="7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September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September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
        </w:trPr>
        <w:tc>
          <w:tcPr>
            <w:tcW w:w="7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held indirect investments in collateralized loans and loan collateral through SMA1 and SMA2.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September 30, 2025 and December 31, 2024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48"/>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Variable Interest Entity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GAAP consolidation guidance, Skyward consolidates Separate Account HSIC-01 (“HSIC-01”), established by Mangrove Risk Solutions Bermuda Ltd. (“Mangrove”). HSIC-01 is a VIE for which the Company is the primary beneficiary. The purpose of the VIE is to hedge price volatility risks of certain insurance products by investing in dairy and livestock commodities. The Company directly manages the business; therefore, it considers itself the primary beneficiary. The Company does not provide performance guarantees and has no other financial obligation to provide funding to HSIC-01, other than its own capital commitments. The assets of consolidated variable interest entities may only be used to settle obligations of these entities. In addition, there is no recourse to the assets of HSIC-01 other than to satisfy associated liabilities.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assets of HSIC-01, included in the condensed consolidated balance sheet as of September 30, 2025. The assets presented below only include third-party net assets and exclude any intercompany balances, which were eliminated upon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Derivatives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24,822</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576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7" w:lineRule="exact"/>
        <w:rPr>
          <w:sz w:val="20"/>
          <w:szCs w:val="20"/>
          <w:color w:val="auto"/>
        </w:rPr>
      </w:pPr>
    </w:p>
    <w:p>
      <w:pPr>
        <w:ind w:left="1245" w:hanging="1245"/>
        <w:spacing w:after="0"/>
        <w:tabs>
          <w:tab w:leader="none" w:pos="124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41,665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1157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35560</wp:posOffset>
            </wp:positionV>
            <wp:extent cx="1157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8715" w:space="720"/>
            <w:col w:w="1805"/>
          </w:cols>
          <w:pgMar w:left="320" w:top="135" w:right="339" w:bottom="1440" w:gutter="0" w:footer="0" w:header="0"/>
          <w:type w:val="continuous"/>
        </w:sect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derivatives as part of its financial risk management programs to mitigate price risk related to certain insurance contracts exposed to commodity price risk due to fluctuations in relevant market prices, including cattle and milk. To mitigate revenue volatility and support financial stability, the Company employs a hedging strategy that utilizes derivatives, specifically put options, as part of its risk management framework. The primary objective of holding these derivative instruments is to manage exposure to adverse price movements. The activity in these instruments generally reflects current market conditions and shifts in risk exposures throughout the year. The notional value of derivative contracts held and the degree of hedged exposure are actively managed and may vary depending on the prevailing pricing environment in cattle, hogs, and milk markets. The Company does not use derivatives for speculative or trading purposes. All derivative positions are intended to support the overall risk transfer objectives of the business. The Company has not elected hedge accounting for these derivatives.</w:t>
      </w:r>
    </w:p>
    <w:p>
      <w:pPr>
        <w:spacing w:after="0" w:line="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amounts and fair value of derivative assets in the condensed consolidated balance sheets at September 30,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3540" w:type="dxa"/>
            <w:vAlign w:val="bottom"/>
            <w:tcBorders>
              <w:top w:val="single" w:sz="8" w:color="auto"/>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Derivative Assets</w:t>
            </w:r>
          </w:p>
        </w:tc>
      </w:tr>
      <w:tr>
        <w:trPr>
          <w:trHeight w:val="223"/>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Notional Amount</w:t>
            </w:r>
          </w:p>
        </w:tc>
        <w:tc>
          <w:tcPr>
            <w:tcW w:w="32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Fair Value</w:t>
            </w:r>
          </w:p>
        </w:tc>
      </w:tr>
      <w:tr>
        <w:trPr>
          <w:trHeight w:val="257"/>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16,843</w:t>
            </w:r>
          </w:p>
        </w:tc>
      </w:tr>
      <w:tr>
        <w:trPr>
          <w:trHeight w:val="20"/>
        </w:trPr>
        <w:tc>
          <w:tcPr>
            <w:tcW w:w="7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the net gain (loss) recognized on derivative instruments in economic hedging relationships in “losses and loss adjustment expenses” on the condensed consolidated statements of operations. For the three and nine months ended September 30, 2025, the Company recognized $5.2 million, respectively, of pre-tax net gains in losses and loss adjustment expenses.</w:t>
      </w:r>
    </w:p>
    <w:p>
      <w:pPr>
        <w:spacing w:after="0" w:line="64"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through which it offers a broad array of commercial property and casualty products and solutions on a non-admitted (or E&amp;S) and admitted basis, predominantly in the United States. The segment is made up of nine distinct underwriting divisions, or “continuing business,” and has dedicated underwriting leadership supported by high-quality technical staff with deep experience in their respective niches.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1 “Summary of Significant Accounting Policies” of the Company’s Annual Report on Form 10-K for the year ended December 31, 2024. The CODM assesses performance for the segment and decides how to allocate resources based on gross written premiums by net underwriting division, underwriting income, and income before income taxes that also is reported on the condensed consolidated statements of operations as consolidated income before income taxes. The measure of segment assets is reported on the balance sheet as total consolidated assets.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written premiums by underwriting division, net underwriting income, and consolidated net income are used to monitor budget versus actual results. The chief operating decision maker also uses net underwriting income, annualized return on equity and growth in book value per share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three and nine months ended September 30, 2025 and 2024:</w:t>
      </w:r>
    </w:p>
    <w:p>
      <w:pPr>
        <w:spacing w:after="0" w:line="142"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4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&amp; Health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128,479</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327,525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96,957</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Captives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213,318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184,137</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215,760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222,745</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Property</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183,083</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Lines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120,655</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Programs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166,256</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Surety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106,076</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Transactional E&amp;S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156,417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146,506</w:t>
            </w:r>
          </w:p>
        </w:tc>
      </w:tr>
      <w:tr>
        <w:trPr>
          <w:trHeight w:val="223"/>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continuing business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606,489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1,726,736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1,354,894</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Exited business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written premiums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606,509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1,726,749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1,354,877</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net underwriting income, significant segment expenses and a reconciliation of net underwriting income to net income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189"/>
        </w:trPr>
        <w:tc>
          <w:tcPr>
            <w:tcW w:w="20" w:type="dxa"/>
            <w:vAlign w:val="bottom"/>
            <w:shd w:val="clear" w:color="auto" w:fill="CCEEFF"/>
          </w:tcPr>
          <w:p>
            <w:pPr>
              <w:spacing w:after="0"/>
              <w:rPr>
                <w:sz w:val="16"/>
                <w:szCs w:val="16"/>
                <w:color w:val="auto"/>
              </w:rPr>
            </w:pPr>
          </w:p>
        </w:tc>
        <w:tc>
          <w:tcPr>
            <w:tcW w:w="50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Underwriting income</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2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763,482</w:t>
            </w:r>
          </w:p>
        </w:tc>
      </w:tr>
      <w:tr>
        <w:trPr>
          <w:trHeight w:val="22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underwriting revenues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954,145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769,379</w:t>
            </w:r>
          </w:p>
        </w:tc>
      </w:tr>
      <w:tr>
        <w:trPr>
          <w:trHeight w:val="209"/>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LAE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473,489</w:t>
            </w:r>
          </w:p>
        </w:tc>
      </w:tr>
      <w:tr>
        <w:trPr>
          <w:trHeight w:val="230"/>
        </w:trPr>
        <w:tc>
          <w:tcPr>
            <w:tcW w:w="20" w:type="dxa"/>
            <w:vAlign w:val="bottom"/>
          </w:tcPr>
          <w:p>
            <w:pPr>
              <w:spacing w:after="0"/>
              <w:rPr>
                <w:sz w:val="19"/>
                <w:szCs w:val="19"/>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105,273</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120,997</w:t>
            </w: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underwriting expenses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315,456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250,338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underwriting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Reconciliation of net underwriting income to net income:</w:t>
            </w: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underwriting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59,866</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w:t>
            </w:r>
          </w:p>
        </w:tc>
      </w:tr>
      <w:tr>
        <w:trPr>
          <w:trHeight w:val="230"/>
        </w:trPr>
        <w:tc>
          <w:tcPr>
            <w:tcW w:w="20" w:type="dxa"/>
            <w:vAlign w:val="bottom"/>
          </w:tcPr>
          <w:p>
            <w:pPr>
              <w:spacing w:after="0"/>
              <w:rPr>
                <w:sz w:val="19"/>
                <w:szCs w:val="19"/>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134,185</w:t>
            </w: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annualized return on equity for the three and nine months ended September 30, 2025 and 2024 and book value per share as of September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0" w:type="dxa"/>
            <w:vAlign w:val="bottom"/>
            <w:tcBorders>
              <w:top w:val="single" w:sz="8" w:color="auto"/>
            </w:tcBorders>
          </w:tcPr>
          <w:p>
            <w:pPr>
              <w:spacing w:after="0"/>
              <w:rPr>
                <w:sz w:val="21"/>
                <w:szCs w:val="21"/>
                <w:color w:val="auto"/>
              </w:rPr>
            </w:pPr>
          </w:p>
        </w:tc>
        <w:tc>
          <w:tcPr>
            <w:tcW w:w="3760" w:type="dxa"/>
            <w:vAlign w:val="bottom"/>
            <w:tcBorders>
              <w:top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Borders>
              <w:top w:val="single" w:sz="8" w:color="auto"/>
            </w:tcBorders>
          </w:tcPr>
          <w:p>
            <w:pPr>
              <w:spacing w:after="0"/>
              <w:rPr>
                <w:sz w:val="21"/>
                <w:szCs w:val="21"/>
                <w:color w:val="auto"/>
              </w:rPr>
            </w:pPr>
          </w:p>
        </w:tc>
        <w:tc>
          <w:tcPr>
            <w:tcW w:w="354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8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162"/>
        </w:trPr>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23"/>
        </w:trPr>
        <w:tc>
          <w:tcPr>
            <w:tcW w:w="38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per share</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54"/>
        </w:trPr>
        <w:tc>
          <w:tcPr>
            <w:tcW w:w="38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885"/>
        </w:trPr>
        <w:tc>
          <w:tcPr>
            <w:tcW w:w="3800" w:type="dxa"/>
            <w:vAlign w:val="bottom"/>
          </w:tcPr>
          <w:p>
            <w:pPr>
              <w:spacing w:after="0"/>
              <w:rPr>
                <w:sz w:val="24"/>
                <w:szCs w:val="24"/>
                <w:color w:val="auto"/>
              </w:rPr>
            </w:pPr>
          </w:p>
        </w:tc>
        <w:tc>
          <w:tcPr>
            <w:tcW w:w="2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3"/>
        </w:trPr>
        <w:tc>
          <w:tcPr>
            <w:tcW w:w="3800" w:type="dxa"/>
            <w:vAlign w:val="bottom"/>
            <w:tcBorders>
              <w:bottom w:val="single" w:sz="8" w:color="9A9A9A"/>
            </w:tcBorders>
          </w:tcPr>
          <w:p>
            <w:pPr>
              <w:spacing w:after="0"/>
              <w:rPr>
                <w:sz w:val="19"/>
                <w:szCs w:val="19"/>
                <w:color w:val="auto"/>
              </w:rPr>
            </w:pPr>
          </w:p>
        </w:tc>
        <w:tc>
          <w:tcPr>
            <w:tcW w:w="18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6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income tax expense and effective tax rates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14,646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29,763</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45"/>
        </w:trPr>
        <w:tc>
          <w:tcPr>
            <w:tcW w:w="4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effective tax rate will differ from the statutory rate of 21 percent due to permanent differences for disallowed expenses for tax and beneficial adjustments for tax-exempt income, dividends-received deduction, non-deductible expenses and discrete items. The effective tax rate for the three and nine months ended September 30, 2025 increased 2.5% and decreased 0.6%, respectively, when compared to the same 2024 periods. The effective tax rate for the three months ended September 30, 2025 was primarily impacted by a permanent tax item related to non-deductible acquisition expenses, which increased the effective tax rate by 1.1%.</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income taxes of $11.0 million and $31.8 million during the three and nine months ended September 30, 2025, respectively, and $8.5 million and $23.0 million during the three and nine months ended September 30, 2024, respectively.</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legislative changes did not and are not expected to have a material impact on the Company’s third quarter or future effective tax rates. The Company has included the estimated impact of the OBBBA in its third quarter financial results, the period of enactment.</w:t>
      </w:r>
    </w:p>
    <w:p>
      <w:pPr>
        <w:spacing w:after="0" w:line="71" w:lineRule="exact"/>
        <w:rPr>
          <w:sz w:val="20"/>
          <w:szCs w:val="20"/>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condensed consolidated balance sheets as of and for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2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28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859,017</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474,289</w:t>
            </w:r>
          </w:p>
        </w:tc>
      </w:tr>
      <w:tr>
        <w:trPr>
          <w:trHeight w:val="229"/>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28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587,584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474,289</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w:t>
            </w:r>
          </w:p>
        </w:tc>
      </w:tr>
      <w:tr>
        <w:trPr>
          <w:trHeight w:val="230"/>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292,605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224,760</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307,413</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1,321,933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1,025,893</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28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739,841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542,884</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28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1,568,777</w:t>
            </w:r>
          </w:p>
        </w:tc>
      </w:tr>
      <w:tr>
        <w:trPr>
          <w:trHeight w:val="21"/>
        </w:trPr>
        <w:tc>
          <w:tcPr>
            <w:tcW w:w="5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84"/>
        </w:trPr>
        <w:tc>
          <w:tcPr>
            <w:tcW w:w="5260" w:type="dxa"/>
            <w:vAlign w:val="bottom"/>
          </w:tcPr>
          <w:p>
            <w:pPr>
              <w:spacing w:after="0"/>
              <w:rPr>
                <w:sz w:val="24"/>
                <w:szCs w:val="24"/>
                <w:color w:val="auto"/>
              </w:rPr>
            </w:pPr>
          </w:p>
        </w:tc>
        <w:tc>
          <w:tcPr>
            <w:tcW w:w="288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260" w:type="dxa"/>
            <w:vAlign w:val="bottom"/>
            <w:tcBorders>
              <w:bottom w:val="single" w:sz="8" w:color="9A9A9A"/>
            </w:tcBorders>
          </w:tcPr>
          <w:p>
            <w:pPr>
              <w:spacing w:after="0"/>
              <w:rPr>
                <w:sz w:val="19"/>
                <w:szCs w:val="19"/>
                <w:color w:val="auto"/>
              </w:rPr>
            </w:pPr>
          </w:p>
        </w:tc>
        <w:tc>
          <w:tcPr>
            <w:tcW w:w="28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3,054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4,422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(1,036)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6,440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1"/>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contract assets from commission and fee income as of September 30, 2025 and December 31, 2024 were $2.6 million and $1.4 million, respectively.</w:t>
      </w:r>
    </w:p>
    <w:p>
      <w:pPr>
        <w:spacing w:after="0" w:line="50"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105,273</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120,997</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1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414,475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417,896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349,980</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192,034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69,436</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(165,342)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(149,859)</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441,167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351,797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79"/>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50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r>
      <w:tr>
        <w:trPr>
          <w:trHeight w:val="223"/>
        </w:trPr>
        <w:tc>
          <w:tcPr>
            <w:tcW w:w="5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1,283,866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1,196,111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1,118,683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1,012,550</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(603,098)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(530,561)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(502,326)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(451,476)</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1,123,651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852,551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763,482</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September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739,841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670,846</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857,876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276,354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203,901</w:t>
            </w:r>
          </w:p>
        </w:tc>
      </w:tr>
      <w:tr>
        <w:trPr>
          <w:trHeight w:val="21"/>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September 30, 2025, the market value of these accounts was approximately $220.4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September 30, 2025 and December 31, 2024 was $22.0 million and $25.9 million, respectively, and was included in other assets on the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45,901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36,668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126,798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104,422</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40,487,069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40,098,345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40,377,864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40,039,269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880,353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895,468</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505,514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367,371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41,868,449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41,428,557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41,784,976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41,302,108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0.91</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3.14</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54"/>
        </w:trPr>
        <w:tc>
          <w:tcPr>
            <w:tcW w:w="4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10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91,206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165,072</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45"/>
        </w:trPr>
        <w:tc>
          <w:tcPr>
            <w:tcW w:w="4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pacing w:after="0" w:line="167"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three and nine months ended September 30, 2025 and 2024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79,511</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45"/>
        </w:trPr>
        <w:tc>
          <w:tcPr>
            <w:tcW w:w="5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right="20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Premiums receivable as of September 30, 2025 and December 31, 2024 were $15.2 million and $12.6 million, respectively. </w:t>
      </w:r>
      <w:r>
        <w:rPr>
          <w:rFonts w:ascii="Times New Roman" w:cs="Times New Roman" w:eastAsia="Times New Roman" w:hAnsi="Times New Roman"/>
          <w:sz w:val="18"/>
          <w:szCs w:val="18"/>
          <w:b w:val="1"/>
          <w:bCs w:val="1"/>
          <w:u w:val="single" w:color="auto"/>
          <w:color w:val="auto"/>
        </w:rPr>
        <w:t>Other</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three and nine months ended September 30, 2025 were $0.2 million and $0.5 million, compared to $0.2 million and $0.4 million for the three and nine months ended September 30, 2024.</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for investments involving affiliated companies and additional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280" w:firstLine="8"/>
        <w:spacing w:after="0" w:line="378" w:lineRule="auto"/>
        <w:tabs>
          <w:tab w:leader="none" w:pos="4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Apollo Acquisition</w:t>
      </w: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2, 2025, the Company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the Company has agreed to acquire all of the issued shares of Apollo held by the Majority Sellers, representing approximately 87% of the issued share capital of Apollo. In addition, the closing of the transaction ("completion") is conditioned upon the Company acquiring 100% of the issued share capital of Apollo at completion pursuant to additional short-form share purchase agreements (the "Apollo Minority SPAs" and together with the Apollo Majority SPAs, the "Apollo SPAs") to be entered into either prior to or at completion with the remaining minority shareholders of Apollo (the "Minority Sellers" and together with the Majority Sellers, the "Sellers"). The consideration for the entire issued share capital of Apollo under the Apollo SPAs is $555.0 million, approximately 33% of which will be satisfied by the issuance of 3,679,332 unregistered shares of common stock of the Company to certain Sellers and the remainder in cash. The acquisition is expected to close in the first quarter of 2026, subject to the satisfaction of closing conditions, including regulatory approvals. In connection with the Apollo SPAs, on September 2, 2025, the Company entered into debt commitment letters (the "Apollo Commitment Letters") pursuant to which Barclays Bank PLC (the "Lender") has committed to provide us with debt financing in the form of (i) up to two senior unsecured delayed draw term loan credit facilities of up to $300.0 million in total, and (ii) in case the borrower is not able to obtain consent from lenders under its existing revolving credit agreement to the transactions under the Apollo SPAs, a senior unsecured bridge facility of up to $150.0 million, in each case, on the terms and subject to the conditions set forth in the Apollo Commitment Letters.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Litigation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“third quarter” as used below refers to the three and nine months ended September 30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Specialty are defined in the sections entitled “Select Insurance and Financial Terms” and “Key Operating and Financial Metrics” included in our 2024 Form 10-K for the year ended December 31, 2024 (the “2024 Form 10-K”).</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 certain forward-looking statements that are subject to risks, uncertainties and other factors described in “Risk Factors” in our 2024 Form 10-K. Our actual results could differ materially from those anticipated in these forward-looking statements as a result of many factors.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and nine months ended September 30, 2025 are not necessarily indicative of the results that may be expected for the full year ended December 31, 2025,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2024 Form 10-K.</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2, 2025, we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we have agreed to acquire all of the issued shares of Apollo held by the Majority Sellers, representing approximately 87% of the issued share capital of Apollo. In addition, the closing of the transaction ("completion") is conditioned upon the Company acquiring 100% of the issued share capital of Apollo at completion pursuant to additional short-form share purchase agreements (the "Apollo Minority SPAs" and together with the Apollo Majority SPAs, the "Apollo SPAs") to be entered into either prior to or at completion with the remaining minority shareholders of Apollo (the "Minority Sellers" and together with the Majority Sellers, the "Sellers"). The consideration for the entire issued share capital of Apollo under the Apollo SPAs is $555.0 million, approximately 33% of which will be satisfied by the issue of common stock of the Company to certain Sellers and the remainder in cash. The acquisition is expected to close in the first quarter of 2026, subject to the satisfaction of closing conditions, including regulatory approvals. In connection with the Apollo SPAs, on September 2, 2025, we entered into debt commitment letters (the "Apollo Commitment Letters") pursuant to which Barclays Bank PLC (the "Lender") has committed to provide us with debt financing in the form of (i) up to two senior unsecured delayed draw term loan credit facilities of up to $300.0 million in total, and (ii) in case the borrower is not able to obtain consent from lenders under its existing revolving credit agreement to the transactions under the Apollo SPAs, a senior unsecured bridge facility of up to $150.0 million, in each case, on the terms and subject to the conditions set forth in the Apollo Commitment Letters. As of September 30, 2025, we have recognized $3.1 million in acquisition-related expenses associated with this pending transaction.</w:t>
      </w:r>
    </w:p>
    <w:p>
      <w:pPr>
        <w:spacing w:after="0" w:line="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updated our underwriting divisions to align with how management currently oversees the business, allocates resources and evaluates operating performance. We added a ninth division, Agriculture and Credit (Re)insurance, which includes the Global Agriculture unit, previously reported with Global Property, and the Mortgage and Credit units, and focuses on specialty classes for which reinsurance provides a more attractive market entry. The Industry Solutions division is now the Construction &amp; Energy Solutions division and the Inland Marine unit is now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included in the Transactional E&amp;S division. Programs is now Specialty Programs. Prior reporting periods have been conformed to reflect the new presentation.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with stable outlook from the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and nine months ended September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606,509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1,726,749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1,354,877</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(165,342)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(131,692)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(603,098)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(502,326)</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441,167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268,322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1,123,651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852,551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351,797</w:t>
            </w:r>
          </w:p>
        </w:tc>
        <w:tc>
          <w:tcPr>
            <w:tcW w:w="8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269,557</w:t>
            </w:r>
          </w:p>
        </w:tc>
        <w:tc>
          <w:tcPr>
            <w:tcW w:w="8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947,705</w:t>
            </w:r>
          </w:p>
        </w:tc>
        <w:tc>
          <w:tcPr>
            <w:tcW w:w="8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763,482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18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213,780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170,521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582,351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473,489</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101,676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79,817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273,823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226,270</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38,245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97,971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69,620</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22,180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59,866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6,881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10,173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16,920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60,547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161,777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134,185</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45,901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36,668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104,422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44,008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118,574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93,361</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21"/>
        </w:trPr>
        <w:tc>
          <w:tcPr>
            <w:tcW w:w="45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89.2 %</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92.2 %</w:t>
            </w:r>
          </w:p>
        </w:tc>
        <w:tc>
          <w:tcPr>
            <w:tcW w:w="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89.6 %</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90.9 %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19.7 %</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return on tangible equity</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adjusted return on equity</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8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20.9 %</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ind w:left="180" w:hanging="141"/>
        <w:spacing w:after="0" w:line="210" w:lineRule="auto"/>
        <w:tabs>
          <w:tab w:leader="none" w:pos="180" w:val="left"/>
        </w:tabs>
        <w:numPr>
          <w:ilvl w:val="0"/>
          <w:numId w:val="35"/>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three and nine months ended September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gridSpan w:val="11"/>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3300" w:type="dxa"/>
            <w:vAlign w:val="bottom"/>
            <w:tcBorders>
              <w:top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After-tax</w:t>
            </w:r>
          </w:p>
        </w:tc>
        <w:tc>
          <w:tcPr>
            <w:tcW w:w="1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After-tax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24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expense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134,185</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r>
      <w:tr>
        <w:trPr>
          <w:trHeight w:val="230"/>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59,866</w:t>
            </w:r>
          </w:p>
        </w:tc>
      </w:tr>
      <w:tr>
        <w:trPr>
          <w:trHeight w:val="229"/>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16,755</w:t>
            </w:r>
          </w:p>
        </w:tc>
      </w:tr>
      <w:tr>
        <w:trPr>
          <w:trHeight w:val="23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38,245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97,971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69,620</w:t>
            </w:r>
          </w:p>
        </w:tc>
      </w:tr>
      <w:tr>
        <w:trPr>
          <w:trHeight w:val="21"/>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for the periods ended September 30, 2025 and 2024:</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961,423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797,507</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709,900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Equity</w:t>
      </w:r>
    </w:p>
    <w:p>
      <w:pPr>
        <w:spacing w:after="0" w:line="11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annualized adjusted return on equity to annualized return on equity for the three and nine months ended September 30, 2025 and 2024:</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176,032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158,099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124,481</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930,669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760,564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877,711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729,269</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54"/>
        </w:trPr>
        <w:tc>
          <w:tcPr>
            <w:tcW w:w="4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Return on Tangible Equity</w:t>
      </w:r>
    </w:p>
    <w:p>
      <w:pPr>
        <w:spacing w:after="0" w:line="11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Annualized return on tangible equity for the three and nine months ended September 30, 2025 and 2024 reconciles to annualized return on equity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183,604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146,672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169,064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139,229</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842,063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672,826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789,829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641,248</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tangible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54"/>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Tangible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Annualized adjusted return on tangible equity for the three and nine months ended September 30, 2025 and 2024 reconciles to annualized return on equity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176,032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158,099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124,481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842,063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672,826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789,829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641,248</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54"/>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three and nine months ended September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tcBorders>
          </w:tcPr>
          <w:p>
            <w:pPr>
              <w:spacing w:after="0"/>
              <w:rPr>
                <w:sz w:val="21"/>
                <w:szCs w:val="21"/>
                <w:color w:val="auto"/>
              </w:rPr>
            </w:pPr>
          </w:p>
        </w:tc>
        <w:tc>
          <w:tcPr>
            <w:tcW w:w="586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&amp; Health</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Captives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Property</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Lines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Programs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Surety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Transactional E&amp;S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606,489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gridSpan w:val="2"/>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206,475</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58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10"/>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327,525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213,318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215,760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Programs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156,417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1,726,736</w:t>
            </w:r>
          </w:p>
        </w:tc>
        <w:tc>
          <w:tcPr>
            <w:tcW w:w="2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1,354,894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371,842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9"/>
                <w:szCs w:val="9"/>
                <w:i w:val="1"/>
                <w:iCs w:val="1"/>
                <w:color w:val="auto"/>
              </w:rPr>
              <w:t xml:space="preserve">(1) </w:t>
            </w:r>
            <w:r>
              <w:rPr>
                <w:rFonts w:ascii="Times New Roman" w:cs="Times New Roman" w:eastAsia="Times New Roman" w:hAnsi="Times New Roman"/>
                <w:sz w:val="14"/>
                <w:szCs w:val="14"/>
                <w:i w:val="1"/>
                <w:iCs w:val="1"/>
                <w:color w:val="auto"/>
              </w:rPr>
              <w:t>Excludes exited business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increases in gross written premiums for the third quarter and first nine months of 2025, when compared to the same 2024 periods, were primarily driven by growth from the agriculture and credit (re)insurance division. Specialty programs, accident &amp; health, captives and surety also contributed meaningfully to the growth, partially offset by decreases in gross written premiums in the global property, professional lines and construction and energy solutions divisions.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written premiums for the third quarter of 2025 were $441.2 million compared to $268.3 million for the same 2024 period, an increase of $172.8 million or 64.4%. Net written premiums for the first nine months of 2025 were $1,123.7 million compared to $852.6 million for the same 2024 period, an increase of $271.1 million or 31.8%. The increases in net written premiums was primarily driven by the same reasons that drove the increases in gross written premiums discussed above.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earned premiums for the third quarter of 2025 were $351.8 million compared to $269.6 million for the same 2024 period, an increase of $82.2 million or 30.5%. Net earned premiums for the first nine months of 2025 were $947.7 million compared to $763.5 million for the same 2024 period, an increase of $184.2 million or 24.1%. The increases in net earned premiums was primarily driven by the same reasons that drove the increases in gross written premiums discussed above.</w:t>
      </w:r>
    </w:p>
    <w:p>
      <w:pPr>
        <w:spacing w:after="0" w:line="70" w:lineRule="exact"/>
        <w:rPr>
          <w:sz w:val="20"/>
          <w:szCs w:val="20"/>
          <w:color w:val="auto"/>
        </w:rPr>
      </w:pPr>
    </w:p>
    <w:p>
      <w:pPr>
        <w:ind w:right="2200" w:firstLine="324"/>
        <w:spacing w:after="0" w:line="376" w:lineRule="auto"/>
        <w:rPr>
          <w:sz w:val="20"/>
          <w:szCs w:val="20"/>
          <w:color w:val="auto"/>
        </w:rPr>
      </w:pPr>
      <w:r>
        <w:rPr>
          <w:rFonts w:ascii="Times New Roman" w:cs="Times New Roman" w:eastAsia="Times New Roman" w:hAnsi="Times New Roman"/>
          <w:sz w:val="18"/>
          <w:szCs w:val="18"/>
          <w:color w:val="auto"/>
        </w:rPr>
        <w:t>For additional information regarding our reinsurance programs, see the “Reinsurance” discussion included in this Item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and LAE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Losses and LAE: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Non-cat loss and LAE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117" w:lineRule="exact"/>
        <w:rPr>
          <w:sz w:val="20"/>
          <w:szCs w:val="20"/>
          <w:color w:val="auto"/>
        </w:rPr>
      </w:pPr>
    </w:p>
    <w:p>
      <w:pPr>
        <w:ind w:left="20" w:right="800" w:firstLine="108"/>
        <w:spacing w:after="0" w:line="315" w:lineRule="auto"/>
        <w:rPr>
          <w:sz w:val="20"/>
          <w:szCs w:val="20"/>
          <w:color w:val="auto"/>
        </w:rPr>
      </w:pPr>
      <w:r>
        <w:rPr>
          <w:rFonts w:ascii="Times New Roman" w:cs="Times New Roman" w:eastAsia="Times New Roman" w:hAnsi="Times New Roman"/>
          <w:sz w:val="18"/>
          <w:szCs w:val="18"/>
          <w:color w:val="auto"/>
        </w:rPr>
        <w:t>Prior accident year development - LPT Total losses and LAE</w:t>
      </w:r>
    </w:p>
    <w:p>
      <w:pPr>
        <w:ind w:left="160" w:hanging="134"/>
        <w:spacing w:after="0" w:line="238" w:lineRule="auto"/>
        <w:tabs>
          <w:tab w:leader="none" w:pos="160" w:val="left"/>
        </w:tabs>
        <w:numPr>
          <w:ilvl w:val="0"/>
          <w:numId w:val="36"/>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8"/>
                <w:szCs w:val="18"/>
                <w:color w:val="auto"/>
              </w:rPr>
              <w:t>Losses</w:t>
            </w:r>
          </w:p>
        </w:tc>
        <w:tc>
          <w:tcPr>
            <w:tcW w:w="13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38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Premiums</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and LAE</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52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211,760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60.2 %</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6"/>
        </w:trPr>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213,780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60.8 %</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170,521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-925195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-582295</wp:posOffset>
            </wp:positionV>
            <wp:extent cx="713232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-170815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162560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308610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5" w:lineRule="exact"/>
        <w:rPr>
          <w:sz w:val="20"/>
          <w:szCs w:val="20"/>
          <w:color w:val="auto"/>
        </w:rPr>
      </w:pPr>
    </w:p>
    <w:p>
      <w:pPr>
        <w:sectPr>
          <w:pgSz w:w="11900" w:h="16838" w:orient="portrait"/>
          <w:cols w:equalWidth="0" w:num="2">
            <w:col w:w="3740" w:space="720"/>
            <w:col w:w="678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Losses and LAE: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Non-cat loss and LAE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117" w:lineRule="exact"/>
        <w:rPr>
          <w:sz w:val="20"/>
          <w:szCs w:val="20"/>
          <w:color w:val="auto"/>
        </w:rPr>
      </w:pPr>
    </w:p>
    <w:p>
      <w:pPr>
        <w:ind w:left="20" w:right="800" w:firstLine="108"/>
        <w:spacing w:after="0" w:line="315" w:lineRule="auto"/>
        <w:rPr>
          <w:sz w:val="20"/>
          <w:szCs w:val="20"/>
          <w:color w:val="auto"/>
        </w:rPr>
      </w:pPr>
      <w:r>
        <w:rPr>
          <w:rFonts w:ascii="Times New Roman" w:cs="Times New Roman" w:eastAsia="Times New Roman" w:hAnsi="Times New Roman"/>
          <w:sz w:val="18"/>
          <w:szCs w:val="18"/>
          <w:color w:val="auto"/>
        </w:rPr>
        <w:t>Prior accident year development - LPT Total losses and LAE</w:t>
      </w:r>
    </w:p>
    <w:p>
      <w:pPr>
        <w:ind w:left="160" w:hanging="134"/>
        <w:spacing w:after="0" w:line="238" w:lineRule="auto"/>
        <w:tabs>
          <w:tab w:leader="none" w:pos="160" w:val="left"/>
        </w:tabs>
        <w:numPr>
          <w:ilvl w:val="0"/>
          <w:numId w:val="3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8"/>
                <w:szCs w:val="18"/>
                <w:color w:val="auto"/>
              </w:rPr>
              <w:t>Losses</w:t>
            </w:r>
          </w:p>
        </w:tc>
        <w:tc>
          <w:tcPr>
            <w:tcW w:w="13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38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39"/>
        </w:trPr>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Premiums</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and LAE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524"/>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569,831</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60.1 %</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6"/>
        </w:trPr>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582,351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61.4 %</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473,489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-925195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-582295</wp:posOffset>
            </wp:positionV>
            <wp:extent cx="71323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-170815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163195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5" w:lineRule="exact"/>
        <w:rPr>
          <w:sz w:val="20"/>
          <w:szCs w:val="20"/>
          <w:color w:val="auto"/>
        </w:rPr>
      </w:pPr>
    </w:p>
    <w:p>
      <w:pPr>
        <w:sectPr>
          <w:pgSz w:w="11900" w:h="16838" w:orient="portrait"/>
          <w:cols w:equalWidth="0" w:num="2">
            <w:col w:w="3740" w:space="720"/>
            <w:col w:w="6780"/>
          </w:cols>
          <w:pgMar w:left="320" w:top="135" w:right="339" w:bottom="1440" w:gutter="0" w:footer="0" w:header="0"/>
          <w:type w:val="continuous"/>
        </w:sectPr>
      </w:pPr>
    </w:p>
    <w:p>
      <w:pPr>
        <w:spacing w:after="0" w:line="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The loss ratios for the third quarter and first nine months of 2025 improved 2.5 points and 0.6 points when compared to the same </w:t>
      </w:r>
      <w:r>
        <w:rPr>
          <w:rFonts w:ascii="Times New Roman" w:cs="Times New Roman" w:eastAsia="Times New Roman" w:hAnsi="Times New Roman"/>
          <w:sz w:val="19"/>
          <w:szCs w:val="19"/>
          <w:color w:val="auto"/>
        </w:rPr>
        <w:t>2024</w:t>
      </w:r>
      <w:r>
        <w:rPr>
          <w:rFonts w:ascii="Times New Roman" w:cs="Times New Roman" w:eastAsia="Times New Roman" w:hAnsi="Times New Roman"/>
          <w:sz w:val="18"/>
          <w:szCs w:val="18"/>
          <w:color w:val="auto"/>
        </w:rPr>
        <w:t xml:space="preserve"> periods, respectively, primarily driven by the business mix shift. Catastrophe losses in the third quarter of 2025 decreased when compared to the same 2024 period, which was impacted by higher catastrophe losses, primarily from Hurricanes Helene and Beryl. The first nine months of 2025 were impacted by convective storms in the Midwest and the California wildfires.</w:t>
      </w:r>
    </w:p>
    <w:p>
      <w:pPr>
        <w:spacing w:after="0" w:line="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non-cat loss and LAE ratios for the third quarter and first nine months of 2025 improved 0.4 points and 0.5 points, respectively, when compared to the same 2024 periods, primarily driven by the business mix shift.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three and nine months ended September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52,433</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(1,904)</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138,369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135,454</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120,997</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273,823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267,383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the third quarter and first nine months of 2025 improved 0.5 points and 0.7 points, respectively, when compared to the same 2024 periods due to earnings leverage partially offset by higher acquisition costs due to the business mix shift.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all periods presented exclude the impact of IPO related stock compensation, Apollo acquisition-related expenses and secondary offering expenses, which are reported in other expenses in our condensed consolidated statements of operations and comprehensive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020" w:type="dxa"/>
            <w:vAlign w:val="bottom"/>
            <w:tcBorders>
              <w:top w:val="single" w:sz="8" w:color="auto"/>
              <w:bottom w:val="single" w:sz="8" w:color="CCEEFF"/>
            </w:tcBorders>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22,180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60,107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59,866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securities still held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(8,987)</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(6,677)</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gains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investment income for the third quarter and first nine months of 2025 increased $2.6 million and $0.2 million, respectively when compared to the same 2024 periods, driven by increased income from our fixed income portfolio due to a higher book yield of 5.3% at September 30, 2025 compared to 5.0% at September 30, 2024 and larger asset base.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 xml:space="preserve">The alternative and strategic investments portfolio continued to be impacted by the decline in the fair value of limited partnership investments. The decreases in income from the short-term investments and cash and cash equivalents was due to an overall decrease in yields when compared to the same </w:t>
      </w:r>
      <w:r>
        <w:rPr>
          <w:rFonts w:ascii="Times New Roman" w:cs="Times New Roman" w:eastAsia="Times New Roman" w:hAnsi="Times New Roman"/>
          <w:sz w:val="19"/>
          <w:szCs w:val="19"/>
          <w:color w:val="auto"/>
        </w:rPr>
        <w:t xml:space="preserve">2024 </w:t>
      </w:r>
      <w:r>
        <w:rPr>
          <w:rFonts w:ascii="Times New Roman" w:cs="Times New Roman" w:eastAsia="Times New Roman" w:hAnsi="Times New Roman"/>
          <w:sz w:val="17"/>
          <w:szCs w:val="17"/>
          <w:color w:val="auto"/>
        </w:rPr>
        <w:t>periods. The decrease in income from equities was due to the sale of almost all of the equity portfolio in the third quarter of 2025.</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June 30, 2025 and recognized a provision for credit losses of $6.2 million for two available-for-sale “corporate securities and miscellaneous” securities. At September 30, 2025, we recognized an additional provision for credit losses of $0.8 million for one available-for-sale “corporate securities and miscellaneous” security. Other than the securities discussed previously, we determined that no other credit impairment existed at September 30, 2025. See Note 2, “Investments” to our condensed consolidated financial statements included in Item 1 of this Form 10-Q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September 30, 2025 and December 31,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1,815,216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2,393,856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1,992,423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1,805,218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1,815,216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79"/>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3"/>
        </w:trPr>
        <w:tc>
          <w:tcPr>
            <w:tcW w:w="5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 at September 30, 2025 and “AA-”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credit quality of our available-for-sale fixed income portfolio at September 30, 2025 and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483,099</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1,805,218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average duration of our fixed income portfolio was approximately 4.07 years and 4.34 years, respectively, as of September 30, 2025 and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equities portfolio primarily consisted of domestic preferred stocks, common equities, exchange traded funds, limited partnerships, limited liability corporations and other types of equity interests, 100.0% of which were publicly traded. During the third quarter of 2025, we sold almost all of our equities portfolio, retaining only our preferred stocks.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and nine months ended September 30, 2025 was $14.6 million and $35.0 million, respectively, compared to $10.2 million and $29.8 million, respectively, for the same 2024 periods. Our effective tax rates for the three and nine months ended September 30, 2025 were 24.2% and 21.6%, respectively, compared to 21.7% and 22.2% for the same 2024 periods, respectively. The effective tax rate for the three months ended September 30, 2025 was primarily impacted by a permanent tax item related to non-deductible acquisition expenses, which increased the effective tax rate by 1.1%. For additional information, see Note 9 of our condensed consolidated financial statements included in Item 1 of this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356,308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283,216</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(315,568)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(227,963)</w:t>
            </w: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2025 when compared to 2024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in 2025 and 2024 was primarily driven by purchases of fixed maturity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the redemption of the March 15, 2024 draw on the Revolving Credit Facility and redeemed $7.0 million of the March 29, 2023 draw on the Revolving Credit Facility (see “Revolving Credit Facility” below for additional information regarding the redemption).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provides us with up to a $150.0 million revolving credit facility and a letter of credit sub-facility of up to $30.0 million.</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30, 2024, we fully redeemed the March 15, 2024 draw on the Revolving Credit Facility and redeemed $7.0 million of the March 29, 2023 draw on the Revolving Credit Facility. As of September 30, 2025, we had $43.0 million outstanding under the Revolving Credit Facility with another $107.0 million of undrawn capacity.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At September 30, 2025, the six-month SOFR on the Revolving Credit Facility was 3.87%,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September 30, 2025,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2025 the ratio of total debt outstanding, including the FHLB Loan, the Revolving Credit Facility and the Notes, to total capitalization (defined as total debt plus stockholders’ equity) was 11.1% and at December 31, 2024, the ratio of total debt outstanding, including the Term Loan, the Revolver, the Trust Preferred and the Notes, to total capitalization was 13.1%.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September 30, 2025, no shares had been repurchased under this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April.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our net retention on a written basis (calculated as net written premiums as a percentage of gross written premiums) was 72.7% and 65.1%, respectively, compared to 67.1% and 62.9% for the same 2024 periods,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September 30,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Ocean Marine</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$5.21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million per occurrence</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million per occurrence</w:t>
            </w:r>
          </w:p>
        </w:tc>
      </w:tr>
      <w:tr>
        <w:trPr>
          <w:trHeight w:val="281"/>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 million per occurrence</w:t>
            </w:r>
          </w:p>
        </w:tc>
      </w:tr>
    </w:tbl>
    <w:p>
      <w:pPr>
        <w:ind w:left="180" w:hanging="154"/>
        <w:spacing w:after="0" w:line="199" w:lineRule="auto"/>
        <w:tabs>
          <w:tab w:leader="none" w:pos="180" w:val="left"/>
        </w:tabs>
        <w:numPr>
          <w:ilvl w:val="0"/>
          <w:numId w:val="3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Strength Ratings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14, 2025, A.M. Best affirmed Skyward Specialty’s financial strength rating of A (Excellent) with a stable outlook.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within Item 9A. Controls and Procedures of our 2024 Form 10-K, management concluded that a material weakness existed related to the ineffective implementation of information technology general controls (“ITGCs”) in the area of user access for systems that support the Company’s financial reporting processes as well as the related process-level IT dependent manual and automated controls that rely upon the affected ITGCs, or information coming from IT systems with affected ITGCs. As part of our efforts to remediate the material weakness, new controls and procedures have been designed and continue to be implemented as previously disclosed within Item 9A. Controls and Procedures of our 2024 Form 10-K. Therefore, our CEO and CFO concluded that, as of September 30, 2025, our disclosure controls and procedures were not effective. Despite the foregoing, our CEO and CFO have certified that, based on their knowledge, the financial statements, and other financial information included in this Form 10-Q, fairly present in all material respects our financial condition, results of operations and cash flows as of, and for, the periods presented in this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Activities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the oversight of the Audit Committee, our management has implemented, and is in process of implementing, additional measures to improve our internal control over ITGCs to remediate the material weakness identified above, including (i) conducting a thorough review of existing ITGCs to identify areas of weakness, (ii) enhancing access controls, (iii) strengthening system access procedures and (iv) providing regular training and awareness programs for employees to ensure they understand ITGC policies and procedures and adhere to best practices for maintaining data integrity and security. We are committed to continuing to improve our ITGCs.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identified material weakness, or to avoid potential future material weaknesses or significant deficiencies. While we believe our efforts have improved our internal control over ITGCs, remediation of the material weakness will require further validation and testing of the design and operating effectiveness of internal controls over a sustained period of financial reporting cycles. We have invested, and expect to continue to invest, significant resources to improve our ITGCs.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ongoing remediation efforts relating to the material weaknesses identified above, there has been no change in our internal control over financial reporting identified in connection with the evaluation required by Rule 13a-15(d) and 15d-15(d) of the Exchange Act that occurred during the year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risks and uncertainties described under the heading “Risk Factors” in Part I, Item 1A of our Annual Report on Form 10-K for the year ended December 31, 2024 (our “2024 Form 10-K”), as supplemented by the risk factor captioned “Security breaches, loss of data, cyberattacks, and other information technology failures could disrupt our operations, damage our reputation, and adversely affect our business, operations, and financial results” in our Quarterly Report on Form 10-Q for the period ended March 31, 2025 (our “Q1 10-Q”). Additionally, the following risk factors have been identified.</w:t>
      </w:r>
    </w:p>
    <w:p>
      <w:pPr>
        <w:spacing w:after="0" w:line="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acquisition of Apollo involves a number of risks, the occurrence of which could adversely affect our business, financial condition, and operating results.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September 2, 2025, we entered into the Apollo SPAs to acquire Apollo. The acquisition involves certain risks, the occurrence of which could adversely affect our business, financial condition, and operating results, including:</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the acquisition within the expected time period and the risk that the acquisition may not be completed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complete the acquisition and integrate Apollo’s operations thereafter;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 or inability to effectively manage our expanded operations after the closing of the acquisition;</w:t>
      </w:r>
    </w:p>
    <w:p>
      <w:pPr>
        <w:spacing w:after="0" w:line="11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Apollo employees, partners or customers, or other adverse effects on existing business relationships with partners or customers;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expanded operations may not achieve the growth prospects, synergies or other financial results that we have projected for the acquisition.</w:t>
      </w:r>
    </w:p>
    <w:p>
      <w:pPr>
        <w:spacing w:after="0" w:line="11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that will govern indebtedness to be incurred or assumed in connection with our acquisition of Apollo are expected to contain various covenants that will impose restrictions on that may affect our ability to operate our businesses.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agreements that will govern indebtedness to be incurred or assumed in connection with our acquisition of Apollo, including pursuant to the related debt financing contemplated by a debt commitment letter, are expected to contain various affirmative and negative covenants that will, subject to certain significant exceptions, restrict our ability to, among other things, have liens on our property, incur additional indebtedness, enter into sale and lease-back transactions, make loans, advances or other investments, make non-ordinary course asset sales, declare or pay dividends or make other distributions with respect to equity interests, and/or merge or consolidate with any other person or sell or convey certain of our assets to any one person, among other things. In addition, the debt financing may contain financial maintenance covenants that will require us to maintain a certain leverage ratio and an interest coverage ratio at the end of each fiscal quarter. Our ability to comply with these provisions may be affected by events beyond our control. Failure to comply with these covenants could result in an event of default, which, if not cured or waived, could accelerate our repayment obligations under the applicable definitive documentation or under other debt agreements.</w:t>
      </w:r>
    </w:p>
    <w:p>
      <w:pPr>
        <w:spacing w:after="0" w:line="7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significant additional indebtedness that we will incur in connection with our acquisition of Apollo could adversely affect us, including by decreasing our business flexibility, increasing our interest expense and causing our credit ratings to be downgraded.</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have increased indebtedness following completion of the acquisition in comparison to what we have had on a recent historical basis. This additional indebtedness may reduce the flexibility in our operations. If we cannot service our indebtedness, we may have to take actions such as pursuing sales of additional debt or equity securities, or reducing or delaying expansion efforts, strategic acquisitions, investments, or partnerships.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is an evolving and rapidly growing technology which may impact our business and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rapid growth and development of artificial intelligence and machine learning may alter the competitive landscape in which we operate. Our employees utilize artificial intelligence for risk selection, pricing and claims handling to aid in their effectiveness and efficiency and we continue to research and implement artificial intelligence-based solutions in 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effort to improve our business. Notwithstanding this, our competitive position may be harmed if competitors are able leverage artificial intelligence solutions more quickly or more effectively. In addition, while we do not rely solely on information and analysis production through artificial intelligence in our decision making, if the content, analyses or recommendations that artificial intelligence applications assist in producing are, or are alleged to be, deficient, inaccurate or biased, such as due to limitations in algorithms, insufficient or biased base data or flawed training methodologies, our business, financial condition, results of operations and reputation may be adversely affected. Further, as artificial intelligence technology and products are continuously evolving, and we may incur costs to adopt and deploy technologies that could become obsolete earlier than expected. There can be no assurance that we will realize the desired or anticipated benefits from artificial intelligence.</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also uncertainty in the legal and regulatory landscape for artificial intelligence, which is not fully developed, and any laws, regulations or industry standards adopted in response to the emergence of artificial intelligence may be burdensome, could entail significant costs, and may restrict or impede our ability to successfully develop, adopt and deploy artificial intelligence technologies efficiently and effectively. Furthermore, state insurance regulators could have input on usage of artificial intelligence and machine learning.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could adversely impact our business, financial condition and results of operations.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in our risk factors in the nine months ended September 30, 2025 from those disclosed in our 2024 Form 10-K and our Q1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8, 2025, Sandip Kapadia entered into a new Rule 10b5-1 Trading Arrangement. On September 10, 2025, Tom Schmitt terminated an existing Rule 10b5-1 Trading Arrangement and entered into a new Rule 10b5-1 Trading Arrangement on September 11, 2025 replacing the previous plan. The material terms of the trading plans and the termination of Mr. Schmitt’s plan are set forth in the table below. All plans were entered into during an open insider trading window and are intended to satisfy the affirmative defense of Rule 10b5-1(c) under the Exchange Act and our policies regarding transactions in our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Disclosure</w:t>
            </w:r>
          </w:p>
        </w:tc>
        <w:tc>
          <w:tcPr>
            <w:tcW w:w="2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Date of Adoption,</w:t>
            </w:r>
          </w:p>
        </w:tc>
        <w:tc>
          <w:tcPr>
            <w:tcW w:w="220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Nature of Trading</w:t>
            </w:r>
          </w:p>
        </w:tc>
        <w:tc>
          <w:tcPr>
            <w:tcW w:w="17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Duration of Trading</w:t>
            </w:r>
          </w:p>
        </w:tc>
        <w:tc>
          <w:tcPr>
            <w:tcW w:w="14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6"/>
        </w:trPr>
        <w:tc>
          <w:tcPr>
            <w:tcW w:w="1220" w:type="dxa"/>
            <w:vAlign w:val="bottom"/>
            <w:gridSpan w:val="2"/>
            <w:vMerge w:val="continue"/>
          </w:tcPr>
          <w:p>
            <w:pPr>
              <w:spacing w:after="0"/>
              <w:rPr>
                <w:sz w:val="15"/>
                <w:szCs w:val="15"/>
                <w:color w:val="auto"/>
              </w:rPr>
            </w:pPr>
          </w:p>
        </w:tc>
        <w:tc>
          <w:tcPr>
            <w:tcW w:w="23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(Title)</w:t>
            </w:r>
          </w:p>
        </w:tc>
        <w:tc>
          <w:tcPr>
            <w:tcW w:w="100" w:type="dxa"/>
            <w:vAlign w:val="bottom"/>
            <w:vMerge w:val="restart"/>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Events</w:t>
            </w:r>
          </w:p>
        </w:tc>
        <w:tc>
          <w:tcPr>
            <w:tcW w:w="100" w:type="dxa"/>
            <w:vAlign w:val="bottom"/>
            <w:tcBorders>
              <w:bottom w:val="single" w:sz="8" w:color="CCEEFF"/>
            </w:tcBorders>
          </w:tcPr>
          <w:p>
            <w:pPr>
              <w:spacing w:after="0"/>
              <w:rPr>
                <w:sz w:val="21"/>
                <w:szCs w:val="21"/>
                <w:color w:val="auto"/>
              </w:rPr>
            </w:pPr>
          </w:p>
        </w:tc>
        <w:tc>
          <w:tcPr>
            <w:tcW w:w="23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Amendment, or Termination</w:t>
            </w:r>
          </w:p>
        </w:tc>
        <w:tc>
          <w:tcPr>
            <w:tcW w:w="8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Arrangement</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Arrangement</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Sandip Kapadia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President,</w:t>
            </w:r>
          </w:p>
        </w:tc>
        <w:tc>
          <w:tcPr>
            <w:tcW w:w="100" w:type="dxa"/>
            <w:vAlign w:val="bottom"/>
            <w:shd w:val="clear" w:color="auto" w:fill="CCEEFF"/>
          </w:tcPr>
          <w:p>
            <w:pPr>
              <w:spacing w:after="0"/>
              <w:rPr>
                <w:sz w:val="14"/>
                <w:szCs w:val="14"/>
                <w:color w:val="auto"/>
              </w:rPr>
            </w:pPr>
          </w:p>
        </w:tc>
        <w:tc>
          <w:tcPr>
            <w:tcW w:w="2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2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Reinsurance &amp; Head of</w:t>
            </w:r>
          </w:p>
        </w:tc>
        <w:tc>
          <w:tcPr>
            <w:tcW w:w="2220" w:type="dxa"/>
            <w:vAlign w:val="bottom"/>
            <w:gridSpan w:val="2"/>
            <w:vMerge w:val="continue"/>
            <w:shd w:val="clear" w:color="auto" w:fill="CCEEFF"/>
          </w:tcPr>
          <w:p>
            <w:pPr>
              <w:spacing w:after="0"/>
              <w:rPr>
                <w:sz w:val="15"/>
                <w:szCs w:val="15"/>
                <w:color w:val="auto"/>
              </w:rPr>
            </w:pPr>
          </w:p>
        </w:tc>
        <w:tc>
          <w:tcPr>
            <w:tcW w:w="2200" w:type="dxa"/>
            <w:vAlign w:val="bottom"/>
            <w:gridSpan w:val="2"/>
            <w:vMerge w:val="continue"/>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w:t>
            </w:r>
            <w:r>
              <w:rPr>
                <w:rFonts w:ascii="Times New Roman" w:cs="Times New Roman" w:eastAsia="Times New Roman" w:hAnsi="Times New Roman"/>
                <w:sz w:val="18"/>
                <w:szCs w:val="18"/>
                <w:i w:val="1"/>
                <w:iCs w:val="1"/>
                <w:color w:val="auto"/>
              </w:rPr>
              <w:t>)</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8, 2025</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12/8/2025 – 2/27/2026</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7,716 shares</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Tom Schmitt </w:t>
            </w:r>
            <w:r>
              <w:rPr>
                <w:rFonts w:ascii="Times New Roman" w:cs="Times New Roman" w:eastAsia="Times New Roman" w:hAnsi="Times New Roman"/>
                <w:sz w:val="18"/>
                <w:szCs w:val="18"/>
                <w:i w:val="1"/>
                <w:iCs w:val="1"/>
                <w:color w:val="auto"/>
              </w:rPr>
              <w:t>(Chief People</w:t>
            </w:r>
          </w:p>
        </w:tc>
        <w:tc>
          <w:tcPr>
            <w:tcW w:w="22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Termination on</w:t>
            </w: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Rule 10b5-1(c) Trading</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2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September 10, 2025 of plan</w:t>
            </w:r>
          </w:p>
        </w:tc>
        <w:tc>
          <w:tcPr>
            <w:tcW w:w="220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entered into on May 9, 2025</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11/10/2025 – 6/9/2026</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8,485 shares</w:t>
            </w: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Adoption of new plan</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Tom Schmitt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Chief People</w:t>
            </w:r>
          </w:p>
        </w:tc>
        <w:tc>
          <w:tcPr>
            <w:tcW w:w="22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replacing above</w:t>
            </w:r>
          </w:p>
        </w:tc>
        <w:tc>
          <w:tcPr>
            <w:tcW w:w="2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420" w:type="dxa"/>
            <w:vAlign w:val="bottom"/>
            <w:gridSpan w:val="2"/>
            <w:vMerge w:val="continue"/>
            <w:shd w:val="clear" w:color="auto" w:fill="CCEEFF"/>
          </w:tcPr>
          <w:p>
            <w:pPr>
              <w:spacing w:after="0"/>
              <w:rPr>
                <w:sz w:val="15"/>
                <w:szCs w:val="15"/>
                <w:color w:val="auto"/>
              </w:rPr>
            </w:pPr>
          </w:p>
        </w:tc>
        <w:tc>
          <w:tcPr>
            <w:tcW w:w="2220" w:type="dxa"/>
            <w:vAlign w:val="bottom"/>
            <w:gridSpan w:val="2"/>
            <w:shd w:val="clear" w:color="auto" w:fill="CCEEFF"/>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plan on</w:t>
            </w:r>
          </w:p>
        </w:tc>
        <w:tc>
          <w:tcPr>
            <w:tcW w:w="2200" w:type="dxa"/>
            <w:vAlign w:val="bottom"/>
            <w:gridSpan w:val="2"/>
            <w:vMerge w:val="continue"/>
            <w:shd w:val="clear" w:color="auto" w:fill="CCEEFF"/>
          </w:tcPr>
          <w:p>
            <w:pPr>
              <w:spacing w:after="0"/>
              <w:rPr>
                <w:sz w:val="15"/>
                <w:szCs w:val="15"/>
                <w:color w:val="auto"/>
              </w:rPr>
            </w:pPr>
          </w:p>
        </w:tc>
        <w:tc>
          <w:tcPr>
            <w:tcW w:w="1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12/11/2025 – 6/9/2026</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8,485 shares</w:t>
            </w:r>
          </w:p>
        </w:tc>
        <w:tc>
          <w:tcPr>
            <w:tcW w:w="0" w:type="dxa"/>
            <w:vAlign w:val="bottom"/>
          </w:tcPr>
          <w:p>
            <w:pPr>
              <w:spacing w:after="0"/>
              <w:rPr>
                <w:sz w:val="1"/>
                <w:szCs w:val="1"/>
                <w:color w:val="auto"/>
              </w:rPr>
            </w:pPr>
          </w:p>
        </w:tc>
      </w:tr>
      <w:tr>
        <w:trPr>
          <w:trHeight w:val="230"/>
        </w:trPr>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18"/>
                <w:szCs w:val="18"/>
                <w:i w:val="1"/>
                <w:iCs w:val="1"/>
                <w:color w:val="auto"/>
              </w:rPr>
              <w:t>)</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11, 2025</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780" w:type="dxa"/>
            <w:vAlign w:val="bottom"/>
            <w:gridSpan w:val="2"/>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0"/>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60"/>
        <w:spacing w:after="0" w:line="183" w:lineRule="auto"/>
        <w:tabs>
          <w:tab w:leader="none" w:pos="5660" w:val="left"/>
        </w:tabs>
        <w:rPr>
          <w:sz w:val="20"/>
          <w:szCs w:val="20"/>
          <w:color w:val="auto"/>
        </w:rPr>
      </w:pPr>
      <w:r>
        <w:rPr>
          <w:rFonts w:ascii="Times New Roman" w:cs="Times New Roman" w:eastAsia="Times New Roman" w:hAnsi="Times New Roman"/>
          <w:sz w:val="25"/>
          <w:szCs w:val="25"/>
          <w:b w:val="1"/>
          <w:bCs w:val="1"/>
          <w:color w:val="auto"/>
          <w:vertAlign w:val="superscript"/>
        </w:rPr>
        <w:t>Number</w:t>
      </w:r>
      <w:r>
        <w:rPr>
          <w:sz w:val="20"/>
          <w:szCs w:val="20"/>
          <w:color w:val="auto"/>
        </w:rPr>
        <w:tab/>
      </w:r>
      <w:r>
        <w:rPr>
          <w:rFonts w:ascii="Times New Roman" w:cs="Times New Roman" w:eastAsia="Times New Roman" w:hAnsi="Times New Roman"/>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w:t>
      </w:r>
    </w:p>
    <w:p>
      <w:pPr>
        <w:spacing w:after="0" w:line="3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2.2</w:t>
      </w: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360"/>
        <w:spacing w:after="0" w:line="232" w:lineRule="auto"/>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Agreement for the Sale and Purchase of Shares in Apollo Group Holdings Limited - Institutional Sellers dated September 2, 2025</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(incorporated by reference to Exhibit 2.1 to the Company’s Current Report on Form 8-K filed with the Commission on September 8,</w:t>
        </w:r>
      </w:hyperlink>
    </w:p>
    <w:p>
      <w:pPr>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2025).</w:t>
        </w:r>
      </w:hyperlink>
    </w:p>
    <w:p>
      <w:pPr>
        <w:spacing w:after="0" w:line="7" w:lineRule="exact"/>
        <w:rPr>
          <w:sz w:val="20"/>
          <w:szCs w:val="20"/>
          <w:color w:val="auto"/>
        </w:rPr>
      </w:pPr>
    </w:p>
    <w:p>
      <w:pPr>
        <w:ind w:right="360"/>
        <w:spacing w:after="0" w:line="233" w:lineRule="auto"/>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Agreement for the Sale and Purchase of Shares in Apollo Group Holdings Limited - Management Sellers dated September 2, 2025</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(incorporated by reference to Exhibit 2.2 to the Company’s Current Report on Form 8-K filed with the Commission on September 8,</w:t>
        </w:r>
      </w:hyperlink>
    </w:p>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2025).</w:t>
        </w:r>
      </w:hyperlink>
    </w:p>
    <w:p>
      <w:pPr>
        <w:spacing w:after="0" w:line="7" w:lineRule="exact"/>
        <w:rPr>
          <w:sz w:val="20"/>
          <w:szCs w:val="20"/>
          <w:color w:val="auto"/>
        </w:rPr>
      </w:pPr>
    </w:p>
    <w:p>
      <w:pPr>
        <w:ind w:right="120"/>
        <w:spacing w:after="0" w:line="234"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Amended and Restated Certificate of Incorporation (incorporated by reference to Exhibit 3.1 to the Company’s Current Report on Form</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8-K filed with the Commission on January 18, 2023).</w:t>
        </w:r>
      </w:hyperlink>
    </w:p>
    <w:p>
      <w:pPr>
        <w:spacing w:after="0" w:line="1" w:lineRule="exact"/>
        <w:rPr>
          <w:sz w:val="20"/>
          <w:szCs w:val="20"/>
          <w:color w:val="auto"/>
        </w:rPr>
      </w:pPr>
    </w:p>
    <w:p>
      <w:pPr>
        <w:sectPr>
          <w:pgSz w:w="11900" w:h="16838" w:orient="portrait"/>
          <w:cols w:equalWidth="0" w:num="2">
            <w:col w:w="620" w:space="720"/>
            <w:col w:w="9900"/>
          </w:cols>
          <w:pgMar w:left="320" w:top="135" w:right="339" w:bottom="1440" w:gutter="0" w:footer="0" w:header="0"/>
          <w:type w:val="continuous"/>
        </w:sectPr>
      </w:pPr>
    </w:p>
    <w:tbl>
      <w:tblPr>
        <w:tblLayout w:type="fixed"/>
        <w:tblInd w:w="180" w:type="dxa"/>
        <w:tblCellMar>
          <w:top w:w="0" w:type="dxa"/>
          <w:left w:w="0" w:type="dxa"/>
          <w:bottom w:w="0" w:type="dxa"/>
          <w:right w:w="0" w:type="dxa"/>
        </w:tblCellMar>
      </w:tblPr>
      <w:tr>
        <w:trPr>
          <w:trHeight w:val="204"/>
        </w:trPr>
        <w:tc>
          <w:tcPr>
            <w:tcW w:w="1160" w:type="dxa"/>
            <w:vAlign w:val="bottom"/>
          </w:tcPr>
          <w:p>
            <w:pPr>
              <w:jc w:val="center"/>
              <w:ind w:right="410"/>
              <w:spacing w:after="0" w:line="204" w:lineRule="exact"/>
              <w:rPr>
                <w:sz w:val="20"/>
                <w:szCs w:val="20"/>
                <w:color w:val="auto"/>
              </w:rPr>
            </w:pPr>
            <w:r>
              <w:rPr>
                <w:rFonts w:ascii="Times New Roman" w:cs="Times New Roman" w:eastAsia="Times New Roman" w:hAnsi="Times New Roman"/>
                <w:sz w:val="18"/>
                <w:szCs w:val="18"/>
                <w:color w:val="auto"/>
                <w:w w:val="97"/>
              </w:rPr>
              <w:t>3.2</w:t>
            </w:r>
          </w:p>
        </w:tc>
        <w:tc>
          <w:tcPr>
            <w:tcW w:w="9860" w:type="dxa"/>
            <w:vAlign w:val="bottom"/>
            <w:gridSpan w:val="11"/>
          </w:tcPr>
          <w:p>
            <w:pPr>
              <w:spacing w:after="0" w:line="20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r>
      <w:tr>
        <w:trPr>
          <w:trHeight w:val="156"/>
        </w:trPr>
        <w:tc>
          <w:tcPr>
            <w:tcW w:w="11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Commission on January 18, 2023).</w:t>
              </w:r>
            </w:hyperlink>
          </w:p>
        </w:tc>
        <w:tc>
          <w:tcPr>
            <w:tcW w:w="7140" w:type="dxa"/>
            <w:vAlign w:val="bottom"/>
            <w:tcBorders>
              <w:top w:val="single" w:sz="8" w:color="0000FF"/>
            </w:tcBorders>
            <w:gridSpan w:val="7"/>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4.1</w:t>
            </w:r>
          </w:p>
        </w:tc>
        <w:tc>
          <w:tcPr>
            <w:tcW w:w="9860" w:type="dxa"/>
            <w:vAlign w:val="bottom"/>
            <w:gridSpan w:val="11"/>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Stockholders’ Agreement, by and among the Company and the stockholders listed therein (incorporated by</w:t>
              </w:r>
            </w:hyperlink>
          </w:p>
        </w:tc>
      </w:tr>
      <w:tr>
        <w:trPr>
          <w:trHeight w:val="155"/>
        </w:trPr>
        <w:tc>
          <w:tcPr>
            <w:tcW w:w="1160" w:type="dxa"/>
            <w:vAlign w:val="bottom"/>
          </w:tcPr>
          <w:p>
            <w:pPr>
              <w:spacing w:after="0"/>
              <w:rPr>
                <w:sz w:val="13"/>
                <w:szCs w:val="13"/>
                <w:color w:val="auto"/>
              </w:rPr>
            </w:pPr>
          </w:p>
        </w:tc>
        <w:tc>
          <w:tcPr>
            <w:tcW w:w="94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r>
      <w:tr>
        <w:trPr>
          <w:trHeight w:val="156"/>
        </w:trPr>
        <w:tc>
          <w:tcPr>
            <w:tcW w:w="116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5"/>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31.2</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and Accounting Officer pursuant to Rule 13a-14(a) or Rule 15d-14(a) of the Securities Exchange Act</w:t>
            </w:r>
          </w:p>
        </w:tc>
      </w:tr>
      <w:tr>
        <w:trPr>
          <w:trHeight w:val="155"/>
        </w:trPr>
        <w:tc>
          <w:tcPr>
            <w:tcW w:w="116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Sarbanes-Oxley Act of 2002.</w:t>
            </w:r>
          </w:p>
        </w:tc>
        <w:tc>
          <w:tcPr>
            <w:tcW w:w="40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6"/>
        </w:trPr>
        <w:tc>
          <w:tcPr>
            <w:tcW w:w="1160" w:type="dxa"/>
            <w:vAlign w:val="bottom"/>
          </w:tcPr>
          <w:p>
            <w:pPr>
              <w:spacing w:after="0"/>
              <w:rPr>
                <w:sz w:val="13"/>
                <w:szCs w:val="13"/>
                <w:color w:val="auto"/>
              </w:rPr>
            </w:pPr>
          </w:p>
        </w:tc>
        <w:tc>
          <w:tcPr>
            <w:tcW w:w="95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20" w:type="dxa"/>
            <w:vAlign w:val="bottom"/>
            <w:gridSpan w:val="4"/>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480" w:type="dxa"/>
            <w:vAlign w:val="bottom"/>
            <w:gridSpan w:val="10"/>
          </w:tcPr>
          <w:p>
            <w:pPr>
              <w:spacing w:after="0" w:line="20" w:lineRule="exact"/>
              <w:rPr>
                <w:sz w:val="1"/>
                <w:szCs w:val="1"/>
                <w:color w:val="auto"/>
              </w:rPr>
            </w:pPr>
          </w:p>
        </w:tc>
      </w:tr>
      <w:tr>
        <w:trPr>
          <w:trHeight w:val="210"/>
        </w:trPr>
        <w:tc>
          <w:tcPr>
            <w:tcW w:w="11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101.INS</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160" w:type="dxa"/>
            <w:vAlign w:val="bottom"/>
          </w:tcPr>
          <w:p>
            <w:pPr>
              <w:spacing w:after="0"/>
              <w:rPr>
                <w:sz w:val="20"/>
                <w:szCs w:val="20"/>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8"/>
        </w:trPr>
        <w:tc>
          <w:tcPr>
            <w:tcW w:w="11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101.SCH</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40" w:hanging="961"/>
        <w:spacing w:after="0"/>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360" w:hanging="352"/>
        <w:spacing w:after="0" w:line="284" w:lineRule="auto"/>
        <w:tabs>
          <w:tab w:leader="none" w:pos="358"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 information called for is not required or is shown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431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1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3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29"/>
        </w:trPr>
        <w:tc>
          <w:tcPr>
            <w:tcW w:w="3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1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3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29"/>
        </w:trPr>
        <w:tc>
          <w:tcPr>
            <w:tcW w:w="3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240"/>
          </w:cols>
          <w:pgMar w:left="320" w:top="13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6, 2025</w:t>
            </w: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6, 2025</w:t>
            </w: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nine months ended September 30, 2025,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6, 2025</w:t>
            </w: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6, 2025</w:t>
            </w: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2"/>
    </w:lvl>
    <w:lvl w:ilvl="1">
      <w:lvlJc w:val="left"/>
      <w:lvlText w:val="•"/>
      <w:numFmt w:val="bullet"/>
      <w:start w:val="1"/>
    </w:lvl>
  </w:abstractNum>
  <w:abstractNum w:abstractNumId="8">
    <w:nsid w:val="54E49EB4"/>
    <w:multiLevelType w:val="hybridMultilevel"/>
    <w:lvl w:ilvl="0">
      <w:lvlJc w:val="left"/>
      <w:lvlText w:val="%1."/>
      <w:numFmt w:val="decimal"/>
      <w:start w:val="2"/>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1."/>
      <w:numFmt w:val="decimal"/>
      <w:start w:val="3"/>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decimal"/>
      <w:start w:val="3"/>
    </w:lvl>
  </w:abstractNum>
  <w:abstractNum w:abstractNumId="16">
    <w:nsid w:val="7C3DBD3D"/>
    <w:multiLevelType w:val="hybridMultilevel"/>
    <w:lvl w:ilvl="0">
      <w:lvlJc w:val="left"/>
      <w:lvlText w:val="%1."/>
      <w:numFmt w:val="decimal"/>
      <w:start w:val="4"/>
    </w:lvl>
  </w:abstractNum>
  <w:abstractNum w:abstractNumId="17">
    <w:nsid w:val="737B8DDC"/>
    <w:multiLevelType w:val="hybridMultilevel"/>
    <w:lvl w:ilvl="0">
      <w:lvlJc w:val="left"/>
      <w:lvlText w:val="%1."/>
      <w:numFmt w:val="decimal"/>
      <w:start w:val="4"/>
    </w:lvl>
  </w:abstractNum>
  <w:abstractNum w:abstractNumId="18">
    <w:nsid w:val="6CEAF087"/>
    <w:multiLevelType w:val="hybridMultilevel"/>
    <w:lvl w:ilvl="0">
      <w:lvlJc w:val="left"/>
      <w:lvlText w:val="%1."/>
      <w:numFmt w:val="decimal"/>
      <w:start w:val="5"/>
    </w:lvl>
  </w:abstractNum>
  <w:abstractNum w:abstractNumId="19">
    <w:nsid w:val="22221A70"/>
    <w:multiLevelType w:val="hybridMultilevel"/>
    <w:lvl w:ilvl="0">
      <w:lvlJc w:val="left"/>
      <w:lvlText w:val="%1."/>
      <w:numFmt w:val="decimal"/>
      <w:start w:val="5"/>
    </w:lvl>
  </w:abstractNum>
  <w:abstractNum w:abstractNumId="20">
    <w:nsid w:val="4516DDE9"/>
    <w:multiLevelType w:val="hybridMultilevel"/>
    <w:lvl w:ilvl="0">
      <w:lvlJc w:val="left"/>
      <w:lvlText w:val="%1."/>
      <w:numFmt w:val="decimal"/>
      <w:start w:val="5"/>
    </w:lvl>
  </w:abstractNum>
  <w:abstractNum w:abstractNumId="21">
    <w:nsid w:val="3006C83E"/>
    <w:multiLevelType w:val="hybridMultilevel"/>
    <w:lvl w:ilvl="0">
      <w:lvlJc w:val="left"/>
      <w:lvlText w:val="%1."/>
      <w:numFmt w:val="decimal"/>
      <w:start w:val="6"/>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8"/>
    </w:lvl>
  </w:abstractNum>
  <w:abstractNum w:abstractNumId="24">
    <w:nsid w:val="5577F8E1"/>
    <w:multiLevelType w:val="hybridMultilevel"/>
    <w:lvl w:ilvl="0">
      <w:lvlJc w:val="left"/>
      <w:lvlText w:val="%1."/>
      <w:numFmt w:val="decimal"/>
      <w:start w:val="8"/>
    </w:lvl>
  </w:abstractNum>
  <w:abstractNum w:abstractNumId="25">
    <w:nsid w:val="440BADFC"/>
    <w:multiLevelType w:val="hybridMultilevel"/>
    <w:lvl w:ilvl="0">
      <w:lvlJc w:val="left"/>
      <w:lvlText w:val="%1."/>
      <w:numFmt w:val="decimal"/>
      <w:start w:val="9"/>
    </w:lvl>
  </w:abstractNum>
  <w:abstractNum w:abstractNumId="26">
    <w:nsid w:val="5072367"/>
    <w:multiLevelType w:val="hybridMultilevel"/>
    <w:lvl w:ilvl="0">
      <w:lvlJc w:val="left"/>
      <w:lvlText w:val="%1."/>
      <w:numFmt w:val="decimal"/>
      <w:start w:val="10"/>
    </w:lvl>
  </w:abstractNum>
  <w:abstractNum w:abstractNumId="27">
    <w:nsid w:val="3804823E"/>
    <w:multiLevelType w:val="hybridMultilevel"/>
    <w:lvl w:ilvl="0">
      <w:lvlJc w:val="left"/>
      <w:lvlText w:val="%1."/>
      <w:numFmt w:val="decimal"/>
      <w:start w:val="11"/>
    </w:lvl>
  </w:abstractNum>
  <w:abstractNum w:abstractNumId="28">
    <w:nsid w:val="77465F01"/>
    <w:multiLevelType w:val="hybridMultilevel"/>
    <w:lvl w:ilvl="0">
      <w:lvlJc w:val="left"/>
      <w:lvlText w:val="%1."/>
      <w:numFmt w:val="decimal"/>
      <w:start w:val="12"/>
    </w:lvl>
  </w:abstractNum>
  <w:abstractNum w:abstractNumId="29">
    <w:nsid w:val="7724C67E"/>
    <w:multiLevelType w:val="hybridMultilevel"/>
    <w:lvl w:ilvl="0">
      <w:lvlJc w:val="left"/>
      <w:lvlText w:val="%1."/>
      <w:numFmt w:val="decimal"/>
      <w:start w:val="13"/>
    </w:lvl>
  </w:abstractNum>
  <w:abstractNum w:abstractNumId="30">
    <w:nsid w:val="5C482A97"/>
    <w:multiLevelType w:val="hybridMultilevel"/>
    <w:lvl w:ilvl="0">
      <w:lvlJc w:val="left"/>
      <w:lvlText w:val="%1."/>
      <w:numFmt w:val="decimal"/>
      <w:start w:val="13"/>
    </w:lvl>
  </w:abstractNum>
  <w:abstractNum w:abstractNumId="31">
    <w:nsid w:val="2463B9EA"/>
    <w:multiLevelType w:val="hybridMultilevel"/>
    <w:lvl w:ilvl="0">
      <w:lvlJc w:val="left"/>
      <w:lvlText w:val="%1."/>
      <w:numFmt w:val="decimal"/>
      <w:start w:val="14"/>
    </w:lvl>
  </w:abstractNum>
  <w:abstractNum w:abstractNumId="32">
    <w:nsid w:val="5E884ADC"/>
    <w:multiLevelType w:val="hybridMultilevel"/>
    <w:lvl w:ilvl="0">
      <w:lvlJc w:val="left"/>
      <w:lvlText w:val="%1."/>
      <w:numFmt w:val="decimal"/>
      <w:start w:val="15"/>
    </w:lvl>
  </w:abstractNum>
  <w:abstractNum w:abstractNumId="33">
    <w:nsid w:val="51EAD36B"/>
    <w:multiLevelType w:val="hybridMultilevel"/>
    <w:lvl w:ilvl="0">
      <w:lvlJc w:val="left"/>
      <w:lvlText w:val="%1."/>
      <w:numFmt w:val="decimal"/>
      <w:start w:val="16"/>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Letter"/>
      <w:start w:val="1"/>
    </w:lvl>
    <w:lvl w:ilvl="1">
      <w:lvlJc w:val="left"/>
      <w:lvlText w:val="%2"/>
      <w:numFmt w:val="decimal"/>
      <w:start w:val="104"/>
    </w:lvl>
  </w:abstractNum>
  <w:abstractNum w:abstractNumId="41">
    <w:nsid w:val="1D4ED43B"/>
    <w:multiLevelType w:val="hybridMultilevel"/>
    <w:lvl w:ilvl="0">
      <w:lvlJc w:val="left"/>
      <w:lvlText w:val="(%1)"/>
      <w:numFmt w:val="lowerLetter"/>
      <w:start w:val="2"/>
    </w:lvl>
    <w:lvl w:ilvl="1">
      <w:lvlJc w:val="left"/>
      <w:lvlText w:val="%2"/>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0" Type="http://schemas.openxmlformats.org/officeDocument/2006/relationships/hyperlink" Target="https://www.sec.gov/Archives/edgar/data/1519449/000151944925000050/exhibit21-agreementforthes.htm" TargetMode="External"/><Relationship Id="rId101" Type="http://schemas.openxmlformats.org/officeDocument/2006/relationships/hyperlink" Target="https://www.sec.gov/Archives/edgar/data/1519449/000151944925000050/exhibit22-agreementforthes.htm" TargetMode="External"/><Relationship Id="rId102" Type="http://schemas.openxmlformats.org/officeDocument/2006/relationships/hyperlink" Target="https://www.sec.gov/Archives/edgar/data/1519449/000110465923004624/tm233575d1_ex3-1.htm" TargetMode="External"/><Relationship Id="rId103" Type="http://schemas.openxmlformats.org/officeDocument/2006/relationships/hyperlink" Target="https://www.sec.gov/Archives/edgar/data/1519449/000110465923004624/tm233575d1_ex3-2.htm" TargetMode="External"/><Relationship Id="rId104"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2025-11-06T14:10:41Z</dcterms:created>
  <dcterms:modified xsi:type="dcterms:W3CDTF">2025-11-06T14:10:41Z</dcterms:modified>
</cp:coreProperties>
</file>