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500" w:right="1520" w:hanging="290"/>
        <w:spacing w:after="0" w:line="335"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11"/>
        </w:trPr>
        <w:tc>
          <w:tcPr>
            <w:tcW w:w="7500" w:type="dxa"/>
            <w:vAlign w:val="bottom"/>
            <w:gridSpan w:val="5"/>
            <w:vMerge w:val="restart"/>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7500" w:type="dxa"/>
            <w:vAlign w:val="bottom"/>
            <w:gridSpan w:val="5"/>
            <w:vMerge w:val="continue"/>
          </w:tcPr>
          <w:p>
            <w:pPr>
              <w:spacing w:after="0"/>
              <w:rPr>
                <w:sz w:val="10"/>
                <w:szCs w:val="10"/>
                <w:color w:val="auto"/>
              </w:rPr>
            </w:pPr>
          </w:p>
        </w:tc>
        <w:tc>
          <w:tcPr>
            <w:tcW w:w="3760" w:type="dxa"/>
            <w:vAlign w:val="bottom"/>
            <w:vMerge w:val="restart"/>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4"/>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 2025, the registrant had 40,486,656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June 30, 2025 and December 31,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 and Six-Month Periods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June 30, 2025 and 2024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 and Six-Month Periods Ended</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and 2024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Six-Month Periods Ended June 30, 2025 and 2024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00" w:type="dxa"/>
            <w:vAlign w:val="bottom"/>
            <w:shd w:val="clear" w:color="auto" w:fill="CCEEFF"/>
          </w:tcPr>
          <w:p>
            <w:pPr>
              <w:spacing w:after="0"/>
              <w:rPr>
                <w:sz w:val="19"/>
                <w:szCs w:val="19"/>
                <w:color w:val="auto"/>
              </w:rPr>
            </w:pPr>
          </w:p>
        </w:tc>
      </w:tr>
      <w:tr>
        <w:trPr>
          <w:trHeight w:val="90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78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(net of allowance for credit losses of $6,150 and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 respectively) (amortized cost of $1,638,973 and $1,320,266, respectively)</w:t>
            </w:r>
          </w:p>
        </w:tc>
        <w:tc>
          <w:tcPr>
            <w:tcW w:w="20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$268</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35,253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$243, respectively)</w:t>
            </w:r>
          </w:p>
        </w:tc>
        <w:tc>
          <w:tcPr>
            <w:tcW w:w="2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214,338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2,080,507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1,870,820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518,441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925,291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857,876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88,795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86,440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86,698</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4,336,392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1,918,753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1,782,383</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814,063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637,185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54,952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299,481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19,553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3,436,477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2,935,479</w:t>
            </w:r>
          </w:p>
        </w:tc>
        <w:tc>
          <w:tcPr>
            <w:tcW w:w="0" w:type="dxa"/>
            <w:vAlign w:val="bottom"/>
          </w:tcPr>
          <w:p>
            <w:pPr>
              <w:spacing w:after="0"/>
              <w:rPr>
                <w:sz w:val="1"/>
                <w:szCs w:val="1"/>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40,486,656 and 40,127,908 shares issued</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724,159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178,017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793,999</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4,336,392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3,729,478</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295,542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257,583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595,908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493,925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(loss)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648,430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544,910</w:t>
            </w: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302,968</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172,147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270,108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547,200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457,578</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5" w:right="35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Unrealized gains and losses on investments:</w:t>
      </w:r>
    </w:p>
    <w:p>
      <w:pPr>
        <w:spacing w:after="0" w:line="31" w:lineRule="exact"/>
        <w:rPr>
          <w:sz w:val="20"/>
          <w:szCs w:val="20"/>
          <w:color w:val="auto"/>
        </w:rPr>
      </w:pPr>
    </w:p>
    <w:p>
      <w:pPr>
        <w:ind w:left="560" w:right="380" w:hanging="188"/>
        <w:spacing w:after="0" w:line="281" w:lineRule="auto"/>
        <w:rPr>
          <w:sz w:val="20"/>
          <w:szCs w:val="20"/>
          <w:color w:val="auto"/>
        </w:rPr>
      </w:pPr>
      <w:r>
        <w:rPr>
          <w:rFonts w:ascii="Times New Roman" w:cs="Times New Roman" w:eastAsia="Times New Roman" w:hAnsi="Times New Roman"/>
          <w:sz w:val="18"/>
          <w:szCs w:val="18"/>
          <w:color w:val="auto"/>
        </w:rPr>
        <w:t>Net change in unrealized gains (losses) on investments, net of tax</w:t>
      </w:r>
    </w:p>
    <w:p>
      <w:pPr>
        <w:spacing w:after="0" w:line="1" w:lineRule="exact"/>
        <w:rPr>
          <w:sz w:val="20"/>
          <w:szCs w:val="20"/>
          <w:color w:val="auto"/>
        </w:rPr>
      </w:pPr>
    </w:p>
    <w:p>
      <w:pPr>
        <w:ind w:left="560" w:right="440" w:hanging="188"/>
        <w:spacing w:after="0" w:line="282" w:lineRule="auto"/>
        <w:rPr>
          <w:sz w:val="20"/>
          <w:szCs w:val="20"/>
          <w:color w:val="auto"/>
        </w:rPr>
      </w:pPr>
      <w:r>
        <w:rPr>
          <w:rFonts w:ascii="Times New Roman" w:cs="Times New Roman" w:eastAsia="Times New Roman" w:hAnsi="Times New Roman"/>
          <w:sz w:val="18"/>
          <w:szCs w:val="18"/>
          <w:color w:val="auto"/>
        </w:rPr>
        <w:t>Reclassification adjustment for losses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11,005</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(1,451)</w:t>
            </w: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23,260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(3,624)</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(406)</w:t>
            </w:r>
          </w:p>
        </w:tc>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(3,806)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-762000</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-307975</wp:posOffset>
            </wp:positionV>
            <wp:extent cx="71151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5200" w:space="720"/>
            <w:col w:w="5300"/>
          </w:cols>
          <w:pgMar w:left="320" w:top="135" w:right="3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4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19,454</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40,445,391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39,177,457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40,322,051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39,142,825</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41,871,496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41,168,082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41,771,215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41,110,384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40,402,879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39,995,027</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101,105</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40,486,656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40,096,132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721,186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711,309</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724,159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713,542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r>
      <w:tr>
        <w:trPr>
          <w:trHeight w:val="223"/>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178,017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46,046</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723,620</w:t>
            </w:r>
          </w:p>
        </w:tc>
      </w:tr>
      <w:tr>
        <w:trPr>
          <w:trHeight w:val="20"/>
        </w:trPr>
        <w:tc>
          <w:tcPr>
            <w:tcW w:w="7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40,127,908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39,863,756</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232,376</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40,486,656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40,096,132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746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718,598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724,159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713,542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Stock notes receivable: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r>
      <w:tr>
        <w:trPr>
          <w:trHeight w:val="223"/>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67,754</w:t>
            </w:r>
          </w:p>
        </w:tc>
      </w:tr>
      <w:tr>
        <w:trPr>
          <w:trHeight w:val="223"/>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June 30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178,017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46,046</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723,620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47,466</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115,220</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fixed maturity securities, available-for-sale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(266,800)</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equity method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 and goodwill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direct and indirect loans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sales of fixed maturity securities, available-for-sale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calls, transfers and paydowns of fixed maturity securities, available-for-sale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calls and paydowns of fixed maturity securities held-to-maturity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sales of equity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of and distributions from equity method and other long-term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short-term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receivable/payable for securities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provided by deposit accounting</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investment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(97,824)</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stock notes receivable</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 term borrowings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 term borrowings and trust preferred</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period</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173,164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federal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r>
      <w:tr>
        <w:trPr>
          <w:trHeight w:val="25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2024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2024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Updates to Significant Accounting Policies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accounting policy has been updated to align with reporting of peer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limited to the amount by which fair value is below amortized cost. Prior to June 30, 2025, changes in the allowance for credit losses were recognized in net investment income on the consolidated statements of operations. As of June 30, 2025, changes in the allowance for credit losses are recognized in net investment gains (losses). Prior periods have been updated to conform to the current period presentation. Credit losses that are limited by the fair value of the security are recognized in stockholders’ equity, net of taxes, as a component of accumulated other comprehensive (loss) income. Unrealized losses that are not credit-related continue to be recognized in stockholders’ equity, net of taxes, as a component of accumulated other comprehensive (loss)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to maturity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multi-year cumulative loss rates for asset backed securities. The historical loss rate is adjusted for current conditions and reasonable and supportable forecasts. Prior to June 30, 2025, changes in the allowance for credit losses were recognized in net investment income on the consolidated statements of operations. As of June 30, 2025, changes in the allowance for credit losses are recognized in net investment gains (losses). Prior periods have been updated to conform to the current period presentation.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46,265</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549,498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100,154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82,789</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384,071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2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June 30,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358,402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354,861</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250,982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252,563</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49,507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557,340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549,476</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381,093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384,071</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1,638,973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June 30, 2025 consisted entirely of asset backed securities that were not due at a single maturity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June 30, 2025, the Company had U.S. government agencies mortgage-backed fixed maturity securities, with a carrying value of approximately $65.7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spacing w:after="0" w:line="7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At June 30, 2025, the Company had assets with fair values of approximately $51.5 million pledged as collateral for the performance obligations under reinsurance agreements. In accordance with the terms of the trust agreements, the Company retains all rights regarding these securities, of which $43.7 million are residential mortgage-backed securities, $5.6 million of cash and cash equivalents and other assets and $2.2 million of short-term investments.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27,845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90,601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289,514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210,897</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500,411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(24,732)</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480,693</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had 613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June 30, 2025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spacing w:after="0" w:line="77"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government securities and municipal securities</w:t>
      </w:r>
      <w:r>
        <w:rPr>
          <w:rFonts w:ascii="Times New Roman" w:cs="Times New Roman" w:eastAsia="Times New Roman" w:hAnsi="Times New Roman"/>
          <w:sz w:val="18"/>
          <w:szCs w:val="18"/>
          <w:color w:val="auto"/>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4"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securities and miscellaneous</w:t>
      </w:r>
      <w:r>
        <w:rPr>
          <w:rFonts w:ascii="Times New Roman" w:cs="Times New Roman" w:eastAsia="Times New Roman" w:hAnsi="Times New Roman"/>
          <w:sz w:val="18"/>
          <w:szCs w:val="18"/>
          <w:color w:val="auto"/>
        </w:rPr>
        <w:t>: Corporations in various industries issued these securities. The decline in fair values was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Residential mortgage-backed securities, commercial mortgage-backed securities, and other asset-backed securities</w:t>
      </w:r>
      <w:r>
        <w:rPr>
          <w:rFonts w:ascii="Times New Roman" w:cs="Times New Roman" w:eastAsia="Times New Roman" w:hAnsi="Times New Roman"/>
          <w:sz w:val="18"/>
          <w:szCs w:val="18"/>
          <w:color w:val="auto"/>
        </w:rPr>
        <w:t>: The decline in fair values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changes in interest rates and not credit quality. The Company does not intend to sell these securities and it is likely that it will not do so before their anticipated recovery. Therefore, the Company does not consider these impaired securities.</w:t>
      </w:r>
    </w:p>
    <w:p>
      <w:pPr>
        <w:spacing w:after="0" w:line="6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the allowance for credit losses on available-for-sale securities and held-to-maturity securities during the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Fixed Maturity Securities, Available-</w:t>
            </w:r>
          </w:p>
        </w:tc>
        <w:tc>
          <w:tcPr>
            <w:tcW w:w="2700" w:type="dxa"/>
            <w:vAlign w:val="bottom"/>
            <w:tcBorders>
              <w:top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For-Sale</w:t>
            </w:r>
          </w:p>
        </w:tc>
        <w:tc>
          <w:tcPr>
            <w:tcW w:w="560" w:type="dxa"/>
            <w:vAlign w:val="bottom"/>
          </w:tcPr>
          <w:p>
            <w:pPr>
              <w:spacing w:after="0"/>
              <w:rPr>
                <w:sz w:val="20"/>
                <w:szCs w:val="20"/>
                <w:color w:val="auto"/>
              </w:rPr>
            </w:pPr>
          </w:p>
        </w:tc>
        <w:tc>
          <w:tcPr>
            <w:tcW w:w="21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2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6,150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Fixed Maturity Securities, Held-to-</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(losses) for the three and six months ended June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r>
      <w:tr>
        <w:trPr>
          <w:trHeight w:val="23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w:t>
            </w:r>
          </w:p>
        </w:tc>
      </w:tr>
      <w:tr>
        <w:trPr>
          <w:trHeight w:val="45"/>
        </w:trPr>
        <w:tc>
          <w:tcPr>
            <w:tcW w:w="8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35,741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Indirect loans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37,927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47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gains (losses) on the Company’s investment portfolio, net of deferred income taxes, included in other comprehensive loss for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9,403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24,687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(5,233)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48"/>
        </w:trPr>
        <w:tc>
          <w:tcPr>
            <w:tcW w:w="4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19,454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securities, available for sale and equity securities classified as Level 3</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range of the discount rate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June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RedBird Capital Partners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Included in other long-term investments is an investment in a limited partnership with RedBird Capital Partners, which invests in Bishop Street Underwriters, LLC (“Bishop Street”), a managing general agent (MGA). The investment had a fair value of $41.4 million at June 30, 2025, which was determined using the net asset value. The Company employs procedures to assess the reasonableness of the fair value of the investment including obtaining and reviewing the audited financial statements. The unfunded commitment related to the investment was $21.5 million at June 30, 2025.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46,265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46,265</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549,498</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100,154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100,154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82,789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384,071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46,265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1,488,331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94,868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37,098</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23,248</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56,841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58,001</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214,338</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1,489,491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1,949,069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425,628</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292,191</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1,187,812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40,839</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274,929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rPr>
              <w:t>Fixed Maturity Securities,</w:t>
            </w:r>
          </w:p>
        </w:tc>
        <w:tc>
          <w:tcPr>
            <w:tcW w:w="5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vMerge w:val="restart"/>
          </w:tcPr>
          <w:p>
            <w:pPr>
              <w:jc w:val="right"/>
              <w:ind w:right="510"/>
              <w:spacing w:after="0"/>
              <w:rPr>
                <w:sz w:val="20"/>
                <w:szCs w:val="20"/>
                <w:color w:val="auto"/>
              </w:rPr>
            </w:pPr>
            <w:r>
              <w:rPr>
                <w:rFonts w:ascii="Times New Roman" w:cs="Times New Roman" w:eastAsia="Times New Roman" w:hAnsi="Times New Roman"/>
                <w:sz w:val="16"/>
                <w:szCs w:val="16"/>
                <w:color w:val="auto"/>
              </w:rPr>
              <w:t>Mortgage Loans</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5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77,920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26,490</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83,457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(losses) attributable to the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or losses relating to assets held as of period end</w:t>
            </w:r>
          </w:p>
        </w:tc>
        <w:tc>
          <w:tcPr>
            <w:tcW w:w="200" w:type="dxa"/>
            <w:vAlign w:val="bottom"/>
            <w:vMerge w:val="continue"/>
            <w:shd w:val="clear" w:color="auto" w:fill="CCEEFF"/>
          </w:tcPr>
          <w:p>
            <w:pPr>
              <w:spacing w:after="0"/>
              <w:rPr>
                <w:sz w:val="20"/>
                <w:szCs w:val="20"/>
                <w:color w:val="auto"/>
              </w:rPr>
            </w:pPr>
          </w:p>
        </w:tc>
        <w:tc>
          <w:tcPr>
            <w:tcW w:w="2160" w:type="dxa"/>
            <w:vAlign w:val="bottom"/>
            <w:gridSpan w:val="2"/>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(losses) gains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Sales/Disposals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5"/>
        </w:trPr>
        <w:tc>
          <w:tcPr>
            <w:tcW w:w="6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unrealized gains for the period recognized in accumulated comprehensive income</w:t>
            </w:r>
          </w:p>
        </w:tc>
        <w:tc>
          <w:tcPr>
            <w:tcW w:w="20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 attributable to the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20" w:type="dxa"/>
            <w:vAlign w:val="bottom"/>
            <w:vMerge w:val="continue"/>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0"/>
                <w:szCs w:val="1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or losses relating to assets held as of period end</w:t>
            </w:r>
          </w:p>
        </w:tc>
        <w:tc>
          <w:tcPr>
            <w:tcW w:w="200" w:type="dxa"/>
            <w:vAlign w:val="bottom"/>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44,309</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gridSpan w:val="4"/>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 attributable to the change in unrealized gains or losses</w:t>
            </w: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980" w:type="dxa"/>
            <w:vAlign w:val="bottom"/>
            <w:gridSpan w:val="4"/>
            <w:vMerge w:val="continue"/>
          </w:tcPr>
          <w:p>
            <w:pPr>
              <w:spacing w:after="0"/>
              <w:rPr>
                <w:sz w:val="10"/>
                <w:szCs w:val="10"/>
                <w:color w:val="auto"/>
              </w:rPr>
            </w:pPr>
          </w:p>
        </w:tc>
        <w:tc>
          <w:tcPr>
            <w:tcW w:w="7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losses for the period recognized in net investment gains (losses) attributable to the change in unrealized gains or losses</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transfers into Level 3 during the three and six months ended June 30, 2025 were the result of securities that began receiving valuations from asset managers that utilized unobservable inputs at the end of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June 30, 2025, the Company determined the fair value of these instruments using the income approach utilizing inputs that are unobservable (Level 3).</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the Unsecured Subordinated Notes, due May 24, 2039 and have a fixed interest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fair value of these instruments using the income approach utilizing inputs that are observable (Level 2).</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June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500" w:type="dxa"/>
            <w:vAlign w:val="bottom"/>
          </w:tcPr>
          <w:p>
            <w:pPr>
              <w:spacing w:after="0"/>
              <w:rPr>
                <w:sz w:val="14"/>
                <w:szCs w:val="14"/>
                <w:color w:val="auto"/>
              </w:rPr>
            </w:pPr>
          </w:p>
        </w:tc>
        <w:tc>
          <w:tcPr>
            <w:tcW w:w="9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Pr>
          <w:p>
            <w:pPr>
              <w:spacing w:after="0"/>
              <w:rPr>
                <w:sz w:val="14"/>
                <w:szCs w:val="14"/>
                <w:color w:val="auto"/>
              </w:rPr>
            </w:pPr>
          </w:p>
        </w:tc>
        <w:tc>
          <w:tcPr>
            <w:tcW w:w="116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5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Loan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57,000</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56,200</w:t>
            </w: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19,553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As of June 30, 2025 and December 31, 2024, the Company held direct investments in mortgage loans from various creditors through SMA1 and SMA2.</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mortgage loans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23"/>
        </w:trPr>
        <w:tc>
          <w:tcPr>
            <w:tcW w:w="80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4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1"/>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six months ended June 30, 2025 and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as of December 31, 2024, no mortgage loans were in the process of foreclosure and there were no mortgage loans that were not producing income for the previous 12 months.</w:t>
      </w:r>
    </w:p>
    <w:p>
      <w:pPr>
        <w:spacing w:after="0" w:line="5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and ownership percentage of the Company’s equity method investments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Ownership %</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16,055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3"/>
        </w:trPr>
        <w:tc>
          <w:tcPr>
            <w:tcW w:w="4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56,318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(loss) income from equity method investments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3"/>
        </w:trPr>
        <w:tc>
          <w:tcPr>
            <w:tcW w:w="4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 Bird Capital Partners LP units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48"/>
        </w:trPr>
        <w:tc>
          <w:tcPr>
            <w:tcW w:w="7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June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June 30, 2025 and December 31, 2024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48"/>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through which it offers a broad array of commercial property and casualty products and solutions on a non-admitted (or E&amp;S) and admitted basis, predominantly in the United States. The segment is made up of nine distinct underwriting divisions, or “continuing business,” and has dedicated underwriting leadership supported by high-quality technical staff with deep experience in their respective niches.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Note 1 “Summary of Significant Accounting Policies” of the Company’s Annual Report on Form 10-K for the year ended December 31, 2024. The CODM assesses performance for the segment and decides how to allocate resources based on gross written premiums by net underwriting division, underwriting income, and income before income taxes that also is reported on the condensed consolidated statements of operations as consolidated income before income taxes. The measure of segment assets is reported on the balance sheet as total consolidated assets.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written premiums by underwriting division, net underwriting income, and consolidated net income are used to monitor budget versus actual results. The chief operating decision maker also uses net underwriting income, annualized return on equity and growth in book value per share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three and six months ended June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159,420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79,913</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130,507</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152,436</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145,543</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80,345</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71,484</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97,841</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continuing business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584,928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1,120,247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954,880</w:t>
            </w:r>
          </w:p>
        </w:tc>
      </w:tr>
      <w:tr>
        <w:trPr>
          <w:trHeight w:val="22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Exited business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written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584,914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1,120,240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954,863</w:t>
            </w: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net underwriting income, significant segment expenses and a reconciliation of net underwriting income to net income for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189"/>
        </w:trPr>
        <w:tc>
          <w:tcPr>
            <w:tcW w:w="20" w:type="dxa"/>
            <w:vAlign w:val="bottom"/>
            <w:shd w:val="clear" w:color="auto" w:fill="CCEEFF"/>
          </w:tcPr>
          <w:p>
            <w:pPr>
              <w:spacing w:after="0"/>
              <w:rPr>
                <w:sz w:val="16"/>
                <w:szCs w:val="16"/>
                <w:color w:val="auto"/>
              </w:rPr>
            </w:pPr>
          </w:p>
        </w:tc>
        <w:tc>
          <w:tcPr>
            <w:tcW w:w="50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Underwriting income</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2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595,908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493,925</w:t>
            </w: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underwriting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498,004</w:t>
            </w:r>
          </w:p>
        </w:tc>
      </w:tr>
      <w:tr>
        <w:trPr>
          <w:trHeight w:val="209"/>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LAE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302,968</w:t>
            </w: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67,908</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78,545</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underwriting expenses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underwriting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Reconciliation of net underwriting income to net income:</w:t>
            </w:r>
          </w:p>
        </w:tc>
        <w:tc>
          <w:tcPr>
            <w:tcW w:w="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Add:</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40,331</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30"/>
        </w:trPr>
        <w:tc>
          <w:tcPr>
            <w:tcW w:w="20" w:type="dxa"/>
            <w:vAlign w:val="bottom"/>
          </w:tcPr>
          <w:p>
            <w:pPr>
              <w:spacing w:after="0"/>
              <w:rPr>
                <w:sz w:val="19"/>
                <w:szCs w:val="19"/>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annualized return on equity for the three and six months ended June 30, 2025 and 2024 and book value per share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tcBorders>
          </w:tcPr>
          <w:p>
            <w:pPr>
              <w:spacing w:after="0"/>
              <w:rPr>
                <w:sz w:val="21"/>
                <w:szCs w:val="21"/>
                <w:color w:val="auto"/>
              </w:rPr>
            </w:pPr>
          </w:p>
        </w:tc>
        <w:tc>
          <w:tcPr>
            <w:tcW w:w="3720" w:type="dxa"/>
            <w:vAlign w:val="bottom"/>
            <w:tcBorders>
              <w:top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top w:val="single" w:sz="8" w:color="auto"/>
            </w:tcBorders>
          </w:tcPr>
          <w:p>
            <w:pPr>
              <w:spacing w:after="0"/>
              <w:rPr>
                <w:sz w:val="21"/>
                <w:szCs w:val="21"/>
                <w:color w:val="auto"/>
              </w:rPr>
            </w:pPr>
          </w:p>
        </w:tc>
        <w:tc>
          <w:tcPr>
            <w:tcW w:w="382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4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391"/>
        </w:trPr>
        <w:tc>
          <w:tcPr>
            <w:tcW w:w="3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1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54"/>
        </w:trPr>
        <w:tc>
          <w:tcPr>
            <w:tcW w:w="34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884"/>
        </w:trPr>
        <w:tc>
          <w:tcPr>
            <w:tcW w:w="3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3"/>
        </w:trPr>
        <w:tc>
          <w:tcPr>
            <w:tcW w:w="34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8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income tax expense and effective tax rates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12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19,578</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45"/>
        </w:trPr>
        <w:tc>
          <w:tcPr>
            <w:tcW w:w="4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non-deductible expenses and discrete items. The effective tax rate for the three and six months ended June 30, 2025 decreased 1.3% and 2.3%, respectively, when compared to the same 2024 periods. The effective tax rate for the six months ended June 30, 2025 was impacted by certain discrete tax items, primarily tax benefits from stock-based compensation, which reduced the effective tax rate by 1.7%.</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paid federal income taxes of $20.3 million during the three and six months ended June 30, 2025 and $14.0 million during the three and six months ended June 30,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its impact on the consolidated financial statements.</w:t>
      </w:r>
    </w:p>
    <w:p>
      <w:pPr>
        <w:spacing w:after="0" w:line="6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7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1,782,383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(670,846)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859,017</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303,450</w:t>
            </w: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27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368,571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303,450</w:t>
            </w: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w:t>
            </w:r>
          </w:p>
        </w:tc>
      </w:tr>
      <w:tr>
        <w:trPr>
          <w:trHeight w:val="230"/>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230,232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158,857</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272,385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198,059</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1,207,723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964,408</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2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711,030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505,698</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2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1,918,753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1,470,106</w:t>
            </w:r>
          </w:p>
        </w:tc>
      </w:tr>
      <w:tr>
        <w:trPr>
          <w:trHeight w:val="20"/>
        </w:trPr>
        <w:tc>
          <w:tcPr>
            <w:tcW w:w="5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84"/>
        </w:trPr>
        <w:tc>
          <w:tcPr>
            <w:tcW w:w="5260" w:type="dxa"/>
            <w:vAlign w:val="bottom"/>
          </w:tcPr>
          <w:p>
            <w:pPr>
              <w:spacing w:after="0"/>
              <w:rPr>
                <w:sz w:val="24"/>
                <w:szCs w:val="24"/>
                <w:color w:val="auto"/>
              </w:rPr>
            </w:pPr>
          </w:p>
        </w:tc>
        <w:tc>
          <w:tcPr>
            <w:tcW w:w="278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5260" w:type="dxa"/>
            <w:vAlign w:val="bottom"/>
            <w:tcBorders>
              <w:bottom w:val="single" w:sz="8" w:color="9A9A9A"/>
            </w:tcBorders>
          </w:tcPr>
          <w:p>
            <w:pPr>
              <w:spacing w:after="0"/>
              <w:rPr>
                <w:sz w:val="19"/>
                <w:szCs w:val="19"/>
                <w:color w:val="auto"/>
              </w:rPr>
            </w:pPr>
          </w:p>
        </w:tc>
        <w:tc>
          <w:tcPr>
            <w:tcW w:w="27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1"/>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June 30, 2025 and December 31, 2024 were $2.7 million and $1.4 million, respectively.</w:t>
      </w:r>
    </w:p>
    <w:p>
      <w:pPr>
        <w:spacing w:after="0" w:line="50"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67,908</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146,453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effects of reinsurance on written and earned premiums and losses and loss adjustment expenses for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461,081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392,777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335,398</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123,833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70,786</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(245,701)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(148,601)</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339,213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295,542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257,583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9"/>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0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r>
      <w:tr>
        <w:trPr>
          <w:trHeight w:val="223"/>
        </w:trPr>
        <w:tc>
          <w:tcPr>
            <w:tcW w:w="5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6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w:t>
            </w:r>
          </w:p>
        </w:tc>
        <w:tc>
          <w:tcPr>
            <w:tcW w:w="280" w:type="dxa"/>
            <w:vAlign w:val="bottom"/>
          </w:tcPr>
          <w:p>
            <w:pPr>
              <w:spacing w:after="0"/>
              <w:rPr>
                <w:sz w:val="19"/>
                <w:szCs w:val="19"/>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869,391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778,215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771,239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662,570</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6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250,849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165,147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183,624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132,972</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(437,756)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(347,454)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(370,634)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(301,617)</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682,484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595,908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584,229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493,925</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273,905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192,573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711,030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670,846</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857,876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294,124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203,901</w:t>
            </w: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June 30, 2025, the market value of these accounts was approximately $225.7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June 30, 2025 and December 31, 2024 was $10.7 million and $25.9 million, respectively, and was included in other assets on the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96"/>
        </w:trPr>
        <w:tc>
          <w:tcPr>
            <w:tcW w:w="47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30,970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80,897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67,754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40,445,391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39,177,457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40,322,051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39,142,825</w:t>
            </w:r>
          </w:p>
        </w:tc>
      </w:tr>
      <w:tr>
        <w:trPr>
          <w:trHeight w:val="27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2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717,217</w:t>
            </w:r>
          </w:p>
        </w:tc>
      </w:tr>
      <w:tr>
        <w:trPr>
          <w:trHeight w:val="229"/>
        </w:trPr>
        <w:tc>
          <w:tcPr>
            <w:tcW w:w="4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940,951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900,565</w:t>
            </w:r>
          </w:p>
        </w:tc>
      </w:tr>
      <w:tr>
        <w:trPr>
          <w:trHeight w:val="23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508,213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349,777</w:t>
            </w:r>
          </w:p>
        </w:tc>
      </w:tr>
      <w:tr>
        <w:trPr>
          <w:trHeight w:val="223"/>
        </w:trPr>
        <w:tc>
          <w:tcPr>
            <w:tcW w:w="4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41,871,496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41,168,082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41,771,215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41,110,384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45"/>
        </w:trPr>
        <w:tc>
          <w:tcPr>
            <w:tcW w:w="4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tcBorders>
              <w:top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109,359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135,027</w:t>
            </w: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45"/>
        </w:trPr>
        <w:tc>
          <w:tcPr>
            <w:tcW w:w="4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three and six months ended June 30,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866,428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866,428</w:t>
            </w:r>
          </w:p>
        </w:tc>
      </w:tr>
      <w:tr>
        <w:trPr>
          <w:trHeight w:val="196"/>
        </w:trPr>
        <w:tc>
          <w:tcPr>
            <w:tcW w:w="47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866,428</w:t>
            </w:r>
          </w:p>
        </w:tc>
        <w:tc>
          <w:tcPr>
            <w:tcW w:w="100" w:type="dxa"/>
            <w:vAlign w:val="bottom"/>
          </w:tcPr>
          <w:p>
            <w:pPr>
              <w:spacing w:after="0"/>
              <w:rPr>
                <w:sz w:val="17"/>
                <w:szCs w:val="17"/>
                <w:color w:val="auto"/>
              </w:rPr>
            </w:pPr>
          </w:p>
        </w:tc>
        <w:tc>
          <w:tcPr>
            <w:tcW w:w="1540" w:type="dxa"/>
            <w:vAlign w:val="bottom"/>
            <w:tcBorders>
              <w:bottom w:val="single" w:sz="8" w:color="auto"/>
            </w:tcBorders>
          </w:tcPr>
          <w:p>
            <w:pPr>
              <w:ind w:left="1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866,428</w:t>
            </w: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and six months ended June 30, 2025 and 2024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w:t>
            </w: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r>
      <w:tr>
        <w:trPr>
          <w:trHeight w:val="45"/>
        </w:trPr>
        <w:tc>
          <w:tcPr>
            <w:tcW w:w="4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as of June 30, 2025 and December 31, 2024 were $16.4 million and $12.6 million, respectively.</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and six months ended June 30, 2025 were $0.1 million and $0.3 million, compared to $0.1 million and $0.2 million for the three and six months ended June 30, 2024.</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for investments involving affiliated companies and additional related party transactions.</w:t>
      </w:r>
    </w:p>
    <w:p>
      <w:pPr>
        <w:spacing w:after="0" w:line="113" w:lineRule="exact"/>
        <w:rPr>
          <w:sz w:val="20"/>
          <w:szCs w:val="20"/>
          <w:color w:val="auto"/>
        </w:rPr>
      </w:pPr>
    </w:p>
    <w:p>
      <w:pPr>
        <w:ind w:right="8280" w:firstLine="8"/>
        <w:spacing w:after="0" w:line="377" w:lineRule="auto"/>
        <w:tabs>
          <w:tab w:leader="none" w:pos="4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spacing w:after="0" w:line="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“second quarter” as used below refers to the three and six months ended June 30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2024 Form 10-K for the year ended December 31, 2024 (the “2024 Form 10-K”).</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2024 Form 10-K.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and six months ended June 30,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2024 Form 10-K.</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the Company updated its underwriting divisions to align with how management currently oversees the business, allocates resources and evaluates operating performance. The Company added a ninth division, Agriculture and Credit (Re)insurance, which includes the Global Agriculture unit, previously reported with Global Property, and the Mortgage and Credit units, and focuses on specialty classes for which reinsurance provides a more attractive market entry. The Industry Solutions division is now the Construction &amp; Energy Solutions division and the Inland Marine unit is now included in the Transactional E&amp;S division. Programs is now Specialty Programs. Prior reporting periods have been conformed to reflect the new presentation.</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stable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and six months ended June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584,914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1,120,240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954,863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(245,701)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(199,114)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(437,756)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(370,634)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339,213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682,484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584,229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295,542</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257,583</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595,908</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493,925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0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159,054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368,571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302,968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172,147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146,453</w:t>
            </w:r>
          </w:p>
        </w:tc>
        <w:tc>
          <w:tcPr>
            <w:tcW w:w="0" w:type="dxa"/>
            <w:vAlign w:val="bottom"/>
          </w:tcPr>
          <w:p>
            <w:pPr>
              <w:spacing w:after="0"/>
              <w:rPr>
                <w:sz w:val="1"/>
                <w:szCs w:val="1"/>
                <w:color w:val="auto"/>
              </w:rPr>
            </w:pPr>
          </w:p>
        </w:tc>
      </w:tr>
      <w:tr>
        <w:trPr>
          <w:trHeight w:val="223"/>
        </w:trPr>
        <w:tc>
          <w:tcPr>
            <w:tcW w:w="460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31,244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59,726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48,583</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40,331</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49,795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101,230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87,332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80,897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67,754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63,943</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21"/>
        </w:trPr>
        <w:tc>
          <w:tcPr>
            <w:tcW w:w="4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89.4 %</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90.7 %</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90.0 %</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90.1 %</w:t>
            </w:r>
          </w:p>
        </w:tc>
      </w:tr>
      <w:tr>
        <w:trPr>
          <w:trHeight w:val="21"/>
        </w:trPr>
        <w:tc>
          <w:tcPr>
            <w:tcW w:w="4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8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r>
    </w:tbl>
    <w:p>
      <w:pPr>
        <w:ind w:left="180" w:hanging="141"/>
        <w:spacing w:after="0" w:line="210" w:lineRule="auto"/>
        <w:tabs>
          <w:tab w:leader="none" w:pos="180" w:val="left"/>
        </w:tabs>
        <w:numPr>
          <w:ilvl w:val="0"/>
          <w:numId w:val="3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After-tax</w:t>
            </w: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Pre-tax</w:t>
            </w: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Pre-tax</w:t>
            </w: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After-tax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24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expense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30"/>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w:t>
            </w:r>
          </w:p>
        </w:tc>
      </w:tr>
      <w:tr>
        <w:trPr>
          <w:trHeight w:val="229"/>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3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48,583</w:t>
            </w: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June 30,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899,915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723,620</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87,868</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635,752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148,464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149,014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128,050</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875,318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707,946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846,957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692,326</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54"/>
        </w:trPr>
        <w:tc>
          <w:tcPr>
            <w:tcW w:w="4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Annualized return on tangible equity for the three and six months ended June 30, 2025 and 2024 reconciles to annualized return on equity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155,356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161,794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135,508</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787,376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619,944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758,886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604,174</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and six months ended June 30, 2025 and 2024 reconciles to annualized return on equity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148,464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149,014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128,050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787,376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619,944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758,886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604,174</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gross written premiums by underwriting division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tcBorders>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&amp; Health</w:t>
            </w: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Captives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Property</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Lines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Programs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Surety</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Transactional E&amp;S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584,928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496,225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gridSpan w:val="2"/>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88,703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58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123,658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Agriculture and Credit (Re)insurance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&amp; Energy Solutions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(3,252)</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(14,865)</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Programs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78,535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1,120,247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954,880</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165,367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9"/>
                <w:szCs w:val="9"/>
                <w:i w:val="1"/>
                <w:iCs w:val="1"/>
                <w:color w:val="auto"/>
              </w:rPr>
              <w:t xml:space="preserve">(1) </w:t>
            </w:r>
            <w:r>
              <w:rPr>
                <w:rFonts w:ascii="Times New Roman" w:cs="Times New Roman" w:eastAsia="Times New Roman" w:hAnsi="Times New Roman"/>
                <w:sz w:val="14"/>
                <w:szCs w:val="14"/>
                <w:i w:val="1"/>
                <w:iCs w:val="1"/>
                <w:color w:val="auto"/>
              </w:rPr>
              <w:t>Excludes exited business</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increases in gross written premiums for the second quarter and first half of 2025, when compared to the same 2024 periods, were driven by double-digit premium growth primarily from the agriculture and credit (re)insurance, accident &amp; health, specialty programs and captives divisions, partially offset by decreases in gross written premiums in the global property and construction &amp; energy solutions divisions.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written premiums for the second quarter of 2025 were $339.2 million compared to $297.1 million for the same 2024 period, an increase of $42.1 million or 14.2%. Net written premiums for the first half of 2025 were $682.5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$584.2 million for the same 2024 period, an increase of $98.3 million or 16.8%. The increases in net written premiums was primarily driven by the same reasons that drove the increases in gross written premiums discussed above.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earned premiums for the second quarter of 2025 were $295.5 million compared to $257.6 million for the same 2024 period, an increase of $37.9 million or 14.7%. Net earned premiums for the first half of 2025 were $595.9 million compared to $493.9 million for the same 2024 period, an increase of $102.0 million or 20.6%. The increases in net earned premiums was primarily driven by the same reasons that drove the increases in gross written premiums discussed above.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loss and LAE ratios and adjusted loss and LAE ratios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8"/>
                <w:szCs w:val="18"/>
                <w:color w:val="auto"/>
                <w:w w:val="97"/>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1"/>
                <w:szCs w:val="21"/>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Premiums</w:t>
            </w:r>
          </w:p>
        </w:tc>
        <w:tc>
          <w:tcPr>
            <w:tcW w:w="280" w:type="dxa"/>
            <w:vAlign w:val="bottom"/>
          </w:tcPr>
          <w:p>
            <w:pPr>
              <w:spacing w:after="0"/>
              <w:rPr>
                <w:sz w:val="21"/>
                <w:szCs w:val="21"/>
                <w:color w:val="auto"/>
              </w:rPr>
            </w:pPr>
          </w:p>
        </w:tc>
        <w:tc>
          <w:tcPr>
            <w:tcW w:w="16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and LAE</w:t>
            </w: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23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177,262</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59.9 %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1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w:t>
            </w:r>
          </w:p>
        </w:tc>
        <w:tc>
          <w:tcPr>
            <w:tcW w:w="1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88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losses and LAE</w:t>
            </w: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181,262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61.3 %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Current accident year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8"/>
                <w:szCs w:val="18"/>
                <w:color w:val="auto"/>
                <w:w w:val="97"/>
              </w:rPr>
              <w:t>Losses</w:t>
            </w:r>
          </w:p>
        </w:tc>
        <w:tc>
          <w:tcPr>
            <w:tcW w:w="13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8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38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20"/>
                <w:szCs w:val="20"/>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and LAE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Premiums</w:t>
            </w:r>
          </w:p>
        </w:tc>
        <w:tc>
          <w:tcPr>
            <w:tcW w:w="280" w:type="dxa"/>
            <w:vAlign w:val="bottom"/>
          </w:tcPr>
          <w:p>
            <w:pPr>
              <w:spacing w:after="0"/>
              <w:rPr>
                <w:sz w:val="20"/>
                <w:szCs w:val="20"/>
                <w:color w:val="auto"/>
              </w:rPr>
            </w:pPr>
          </w:p>
        </w:tc>
        <w:tc>
          <w:tcPr>
            <w:tcW w:w="16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and LAE</w:t>
            </w: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Premiums</w:t>
            </w:r>
          </w:p>
        </w:tc>
        <w:tc>
          <w:tcPr>
            <w:tcW w:w="0" w:type="dxa"/>
            <w:vAlign w:val="bottom"/>
          </w:tcPr>
          <w:p>
            <w:pPr>
              <w:spacing w:after="0"/>
              <w:rPr>
                <w:sz w:val="1"/>
                <w:szCs w:val="1"/>
                <w:color w:val="auto"/>
              </w:rPr>
            </w:pPr>
          </w:p>
        </w:tc>
      </w:tr>
      <w:tr>
        <w:trPr>
          <w:trHeight w:val="23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Non-cat loss and LAE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358,071</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60.1 %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31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w:t>
            </w:r>
          </w:p>
        </w:tc>
        <w:tc>
          <w:tcPr>
            <w:tcW w:w="1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88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 - LPT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losses and LAE</w:t>
            </w: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368,571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61.9 %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302,968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Current accident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ratio for the second quarter improved 0.4 points and it increased 0.6 points for the first half of 2025, when compared to the same 2024 periods, respectively. Catastrophe losses in the second quarter increased marginally when compared to the same 2024 period, driven by convective storms in the South and Midwest. The first half of 2025 was also impacted by convective storms in the Midwest and the California wildfires.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non-cat loss and LAE ratios for the second quarter and first half of 2025 improved 0.7 points and 0.5 points, respectively, when compared to the same 2024 periods, primarily driven by the business mix shift.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components of the expense ratios for the three and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4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Earned Premiums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83,021</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172,147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146,453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second quarter and first half of 2025 improved 0.9 points and 0.7 points, respectively, when compared to the same 2024 periods due to earnings leverage partially offset by higher acquisition costs due to the business mix shift.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all periods presented exclude the impact of IPO related stock compensation and secondary offering expenses, which are reported in other expenses in our condensed consolidated statements of operations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020" w:type="dxa"/>
            <w:vAlign w:val="bottom"/>
            <w:tcBorders>
              <w:top w:val="single" w:sz="8" w:color="auto"/>
              <w:bottom w:val="single" w:sz="8" w:color="CCEEFF"/>
            </w:tcBorders>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18,589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37,927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 still held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(3,181)</w:t>
            </w:r>
          </w:p>
        </w:tc>
        <w:tc>
          <w:tcPr>
            <w:tcW w:w="8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2,310</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for the second quarter and first half of 2025 decreased $3.4 million and $2.4 million, respectively when compared to the same 2024 periods. The decreases in net investment income were primarily driven by losses from our alternative &amp; strategic investments portfolio due to the decline in the fair value of limited partnership investments. Partially offsetting the decreases in net investment income were increases in income from our fixed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portfolio for the second quarter and first half of 2025, when compared to the same 2024 periods, due to (i) a larger asset base, and (ii) a higher book yield of 5.3% at June 30, 2025 compared to 4.4% at June 30, 2024.</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June 30, 2025 and determined that for two available-for-sale securities in the “corporate securities and miscellaneous” category, and recognized a provision for credit losses of $6.2 million. This determination was made based on new recovery analysis that showed deteriorating conditions raising credit concerns. Other than the securities discussed previously, we determined that no other credit impairment existed. See Note 2, “Investments” to our condensed consolidated financial statements included in Item 1 of this Form 10-Q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June 30, 2025 and December 31,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9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2,217,124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1,992,423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292,191</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1,318,708</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66"/>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3"/>
        </w:trPr>
        <w:tc>
          <w:tcPr>
            <w:tcW w:w="5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 at June 30, 2025 and “AA-” at December 31, 2024. The following table sets forth the credit quality of our available-for-sale fixed income portfolio at June 30, 2025 and December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483,099</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512,399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1,629,464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1,292,218</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4.35 years and 4.34 years, respectively, as of June 30, 2025 and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100.0% of which are publicly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Strategic investments consists of equity interests in private entities within the insurance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and six months ended June 30, 2025 was $11.0 million and $20.3 million, respectively, compared to $9.4 million and $19.6 million, respectively, for the same 2024 periods. Our effective tax rates for the three and six months ended June 30, 2025 were 22.0% and 20.1%, respectively, compared to 23.3% and 22.4% for the same 2024 periods, respectively. The effective tax rate for the six months ended June 30, 2025 was impacted by certain discrete tax items, primarily tax benefits from stock-based compensation, which reduced the effective tax rate by 1.7%. For additional information, see Note 7 of our condensed consolidated financial statements included in Item 1 of this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six months ended June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184,940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115,220</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(97,824)</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2025 when compared to 2024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2025 and 2024 were primarily driven by purchases of fixed maturity securities. Net cash used in financing activities in 2024 was driven by net payments on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Loan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we entered into a loan (the “FHLB Loan”) with the Federal Home Loan Bank of Dallas (the “FHLB”) pursuant to its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the redemption of the March 15, 2024 draw on the Revolving Credit Facility and redeemed $7.0 million of the March 29, 2023 draw on the Revolving Credit Facility (see “Revolving Credit Facility” below for additional information regarding the redemption).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provides us with up to a $150.0 million revolving credit facility and a letter of credit sub-facility of up to $30.0 million.</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30, 2024, we fully redeemed the March 15, 2024 draw on the Revolving Credit Facility and redeemed $7.0 million of the March 29, 2023 draw on the Revolving Credit Facility. As of June 30, 2025, we had $43.0 million outstanding under the Revolving Credit Facility with another $107.0 million of undrawn capacity.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At June 30, 2025, the six-month SOFR on the Revolving Credit Facility was 4.22%, plus a margin of 1.60%.</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June 30, 2025,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2025 the ratio of total debt outstanding, including the FHLB Loan, the Revolving Credit Facility and the Notes, to total capitalization (defined as total debt plus stockholders’ equity) was 11.7% and at December 31, 2024, the ratio of total debt outstanding, including the Term Loan, the Revolver, the Trust Preferred and the Notes, to total capitalization was 13.1%.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2024, the Board of Directors approved a share repurchase program authorizing the repurchase of up to $50.0 million of our common stock.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As of June 30, 2025, no shares had been repurchased under this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April.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our net retention on a written basis (calculated as net written premiums as a percentage of gross written premiums) was 58.0% and 60.9%, respectively, compared to 59.9% and 61.2%, respectively, for the same 2024 period.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June 30,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Ocean Marine</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$5.21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million per occurrence</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million per occurrence</w:t>
            </w:r>
          </w:p>
        </w:tc>
      </w:tr>
      <w:tr>
        <w:trPr>
          <w:trHeight w:val="28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 million per occurrence</w:t>
            </w:r>
          </w:p>
        </w:tc>
      </w:tr>
    </w:tbl>
    <w:p>
      <w:pPr>
        <w:ind w:left="180" w:hanging="154"/>
        <w:spacing w:after="0" w:line="19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$36.0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2024, A.M. Best upgraded Skyward Specialty’s financial strength rating to A (Excellent) from A- (Excellent) and revised the outlook to stable from positive.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within Item 9A. Controls and Procedures of our 2024 Form 10-K, management concluded that a material weakness existed related to the ineffective implementation of information technology general controls (“ITGCs”) in the area of user access for systems that support the Company’s financial reporting processes as well as the related process-level IT dependent manual and automated controls that rely upon the affected ITGCs, or information coming from IT systems with affected ITGCs. As part of our efforts to remediate the material weakness, new controls and procedures have been designed and are in process of being implemented as previously disclosed within Item 9A. Controls and Procedures of our 2024 Form 10-K. Therefore, our CEO and CFO concluded that, as of June 30, 2025, our disclosure controls and procedures were not effective. Despite the foregoing, our CEO and CFO have certified that, based on their knowledge, the financial statements, and other financial information included in this Form 10-Q, fairly present in all material respects our financial condition, results of operations and cash flows as of, and for, the periods presented in this Form 10-Q.</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the oversight of the Audit Committee, our management has implemented, and is in process of implementing, additional measures to improve our internal control over ITGCs to remediate the material weakness identified above, including (i) conducting a thorough review of existing ITGCs to identify areas of weakness, (ii) enhancing access controls, (iii) strengthening system access procedures and (iv) providing regular training and awareness programs for employees to ensure they understand ITGC policies and procedures and adhere to best practices for maintaining data integrity and security. We are committed to continuing to improve our ITGCs.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are continuing to implement, will be sufficient to remediate the identified material weakness, or to avoid potential future material weaknesses or significant deficiencies. While we believe our efforts have improved our internal control over ITGCs, remediation of the material weakness will require further validation and testing of the design and operating effectiveness of internal controls over a sustained period of financial reporting cycles. We have invested, and expect to continue to invest, significant resources to improve our ITGCs.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ongoing remediation efforts relating to the material weaknesses identified above, there has been no change in our internal control over financial reporting identified in connection with the evaluation required by Rule 13a-15(d) and 15d-15(d) of the Exchange Act that occurred during the year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risks and uncertainties described under the heading “Risk Factors” in Part I, Item 1A of our Annual Report on Form 10-K for the year ended December 31, 2024 (our “2024 Form 10-K”), as supplemented by the risk factor captioned “Security breaches, loss of data, cyberattacks, and other information technology failures could disrupt our operations, damage our reputation, and adversely affect our business, operations, and financial results” in our Quarterly Report on Form 10-Q for the period ended March 31, 2025 (our “Q1 10-Q”). There have been no other material changes in our risk factors in the six months ended June 30, 2025 from those disclosed in our 2024 Form 10-K and our Q1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May 9, 2025, Tom Schmitt entered into a new Rule 10b5-1 Trading Arrangement. The material terms of the trading plan are set forth in the table below. This plan was entered into during an open insider trading window and is intended to satisfy the affirmative defense of Rule 10b5-1(c) under the Exchange Act and our policies regarding transactions in our securities.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Disclosure</w:t>
            </w:r>
          </w:p>
        </w:tc>
        <w:tc>
          <w:tcPr>
            <w:tcW w:w="2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Nature of Trading</w:t>
            </w:r>
          </w:p>
        </w:tc>
        <w:tc>
          <w:tcPr>
            <w:tcW w:w="178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Duration of Trading</w:t>
            </w:r>
          </w:p>
        </w:tc>
        <w:tc>
          <w:tcPr>
            <w:tcW w:w="1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75"/>
        </w:trPr>
        <w:tc>
          <w:tcPr>
            <w:tcW w:w="1200" w:type="dxa"/>
            <w:vAlign w:val="bottom"/>
            <w:gridSpan w:val="2"/>
            <w:vMerge w:val="continue"/>
          </w:tcPr>
          <w:p>
            <w:pPr>
              <w:spacing w:after="0"/>
              <w:rPr>
                <w:sz w:val="15"/>
                <w:szCs w:val="15"/>
                <w:color w:val="auto"/>
              </w:rPr>
            </w:pPr>
          </w:p>
        </w:tc>
        <w:tc>
          <w:tcPr>
            <w:tcW w:w="22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(Title)</w:t>
            </w: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4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Events</w:t>
            </w:r>
          </w:p>
        </w:tc>
        <w:tc>
          <w:tcPr>
            <w:tcW w:w="2200" w:type="dxa"/>
            <w:vAlign w:val="bottom"/>
            <w:gridSpan w:val="2"/>
            <w:vMerge w:val="continue"/>
          </w:tcPr>
          <w:p>
            <w:pPr>
              <w:spacing w:after="0"/>
              <w:rPr>
                <w:sz w:val="21"/>
                <w:szCs w:val="21"/>
                <w:color w:val="auto"/>
              </w:rPr>
            </w:pP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Date of Adoption</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Arrangement</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Arrangement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Tom Schmitt </w:t>
            </w:r>
            <w:r>
              <w:rPr>
                <w:rFonts w:ascii="Times New Roman" w:cs="Times New Roman" w:eastAsia="Times New Roman" w:hAnsi="Times New Roman"/>
                <w:sz w:val="18"/>
                <w:szCs w:val="18"/>
                <w:i w:val="1"/>
                <w:iCs w:val="1"/>
                <w:color w:val="auto"/>
              </w:rPr>
              <w:t>(Chief People</w:t>
            </w: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Rule 10b5-1(c) Trading</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May 9, 2025</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11/10/2025 – 6/9/2026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Up to 8,485 shares</w:t>
            </w: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0"/>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6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1"/>
          </w:tcPr>
          <w:p>
            <w:pPr>
              <w:spacing w:after="0" w:line="129"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8-K filed with the Commission on January 18, 2023).</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3"/>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Commission on January 18, 2023).</w:t>
              </w:r>
            </w:hyperlink>
          </w:p>
        </w:tc>
        <w:tc>
          <w:tcPr>
            <w:tcW w:w="7140" w:type="dxa"/>
            <w:vAlign w:val="bottom"/>
            <w:tcBorders>
              <w:top w:val="single" w:sz="8" w:color="0000FF"/>
            </w:tcBorders>
            <w:gridSpan w:val="8"/>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5"/>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408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431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29"/>
        </w:trPr>
        <w:tc>
          <w:tcPr>
            <w:tcW w:w="3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29"/>
        </w:trPr>
        <w:tc>
          <w:tcPr>
            <w:tcW w:w="3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44</w:t>
            </w:r>
          </w:p>
        </w:tc>
      </w:tr>
    </w:tbl>
    <w:p>
      <w:pPr>
        <w:sectPr>
          <w:pgSz w:w="11900" w:h="16838" w:orient="portrait"/>
          <w:cols w:equalWidth="0" w:num="1">
            <w:col w:w="11240"/>
          </w:cols>
          <w:pgMar w:left="320" w:top="13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7, 2025</w:t>
            </w: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7, 2025</w:t>
            </w: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six months ended June 30, 2025,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7, 2025</w:t>
            </w: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7, 2025</w:t>
            </w: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2"/>
    </w:lvl>
    <w:lvl w:ilvl="1">
      <w:lvlJc w:val="left"/>
      <w:lvlText w:val="•"/>
      <w:numFmt w:val="bullet"/>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decimal"/>
      <w:start w:val="2"/>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decimal"/>
      <w:start w:val="3"/>
    </w:lvl>
  </w:abstractNum>
  <w:abstractNum w:abstractNumId="16">
    <w:nsid w:val="8138641"/>
    <w:multiLevelType w:val="hybridMultilevel"/>
    <w:lvl w:ilvl="0">
      <w:lvlJc w:val="left"/>
      <w:lvlText w:val="%1."/>
      <w:numFmt w:val="decimal"/>
      <w:start w:val="3"/>
    </w:lvl>
  </w:abstractNum>
  <w:abstractNum w:abstractNumId="17">
    <w:nsid w:val="1E7FF521"/>
    <w:multiLevelType w:val="hybridMultilevel"/>
    <w:lvl w:ilvl="0">
      <w:lvlJc w:val="left"/>
      <w:lvlText w:val="%1."/>
      <w:numFmt w:val="decimal"/>
      <w:start w:val="4"/>
    </w:lvl>
  </w:abstractNum>
  <w:abstractNum w:abstractNumId="18">
    <w:nsid w:val="7C3DBD3D"/>
    <w:multiLevelType w:val="hybridMultilevel"/>
    <w:lvl w:ilvl="0">
      <w:lvlJc w:val="left"/>
      <w:lvlText w:val="%1."/>
      <w:numFmt w:val="decimal"/>
      <w:start w:val="4"/>
    </w:lvl>
  </w:abstractNum>
  <w:abstractNum w:abstractNumId="19">
    <w:nsid w:val="737B8DDC"/>
    <w:multiLevelType w:val="hybridMultilevel"/>
    <w:lvl w:ilvl="0">
      <w:lvlJc w:val="left"/>
      <w:lvlText w:val="%1."/>
      <w:numFmt w:val="decimal"/>
      <w:start w:val="5"/>
    </w:lvl>
  </w:abstractNum>
  <w:abstractNum w:abstractNumId="20">
    <w:nsid w:val="6CEAF087"/>
    <w:multiLevelType w:val="hybridMultilevel"/>
    <w:lvl w:ilvl="0">
      <w:lvlJc w:val="left"/>
      <w:lvlText w:val="%1."/>
      <w:numFmt w:val="decimal"/>
      <w:start w:val="5"/>
    </w:lvl>
  </w:abstractNum>
  <w:abstractNum w:abstractNumId="21">
    <w:nsid w:val="22221A70"/>
    <w:multiLevelType w:val="hybridMultilevel"/>
    <w:lvl w:ilvl="0">
      <w:lvlJc w:val="left"/>
      <w:lvlText w:val="%1."/>
      <w:numFmt w:val="decimal"/>
      <w:start w:val="5"/>
    </w:lvl>
  </w:abstractNum>
  <w:abstractNum w:abstractNumId="22">
    <w:nsid w:val="4516DDE9"/>
    <w:multiLevelType w:val="hybridMultilevel"/>
    <w:lvl w:ilvl="0">
      <w:lvlJc w:val="left"/>
      <w:lvlText w:val="%1."/>
      <w:numFmt w:val="decimal"/>
      <w:start w:val="6"/>
    </w:lvl>
  </w:abstractNum>
  <w:abstractNum w:abstractNumId="23">
    <w:nsid w:val="3006C83E"/>
    <w:multiLevelType w:val="hybridMultilevel"/>
    <w:lvl w:ilvl="0">
      <w:lvlJc w:val="left"/>
      <w:lvlText w:val="%1."/>
      <w:numFmt w:val="decimal"/>
      <w:start w:val="6"/>
    </w:lvl>
  </w:abstractNum>
  <w:abstractNum w:abstractNumId="24">
    <w:nsid w:val="614FD4A1"/>
    <w:multiLevelType w:val="hybridMultilevel"/>
    <w:lvl w:ilvl="0">
      <w:lvlJc w:val="left"/>
      <w:lvlText w:val="%1."/>
      <w:numFmt w:val="decimal"/>
      <w:start w:val="6"/>
    </w:lvl>
  </w:abstractNum>
  <w:abstractNum w:abstractNumId="25">
    <w:nsid w:val="419AC241"/>
    <w:multiLevelType w:val="hybridMultilevel"/>
    <w:lvl w:ilvl="0">
      <w:lvlJc w:val="left"/>
      <w:lvlText w:val="%1."/>
      <w:numFmt w:val="decimal"/>
      <w:start w:val="7"/>
    </w:lvl>
  </w:abstractNum>
  <w:abstractNum w:abstractNumId="26">
    <w:nsid w:val="5577F8E1"/>
    <w:multiLevelType w:val="hybridMultilevel"/>
    <w:lvl w:ilvl="0">
      <w:lvlJc w:val="left"/>
      <w:lvlText w:val="%1."/>
      <w:numFmt w:val="decimal"/>
      <w:start w:val="8"/>
    </w:lvl>
  </w:abstractNum>
  <w:abstractNum w:abstractNumId="27">
    <w:nsid w:val="440BADFC"/>
    <w:multiLevelType w:val="hybridMultilevel"/>
    <w:lvl w:ilvl="0">
      <w:lvlJc w:val="left"/>
      <w:lvlText w:val="%1."/>
      <w:numFmt w:val="decimal"/>
      <w:start w:val="9"/>
    </w:lvl>
  </w:abstractNum>
  <w:abstractNum w:abstractNumId="28">
    <w:nsid w:val="5072367"/>
    <w:multiLevelType w:val="hybridMultilevel"/>
    <w:lvl w:ilvl="0">
      <w:lvlJc w:val="left"/>
      <w:lvlText w:val="%1."/>
      <w:numFmt w:val="decimal"/>
      <w:start w:val="10"/>
    </w:lvl>
  </w:abstractNum>
  <w:abstractNum w:abstractNumId="29">
    <w:nsid w:val="3804823E"/>
    <w:multiLevelType w:val="hybridMultilevel"/>
    <w:lvl w:ilvl="0">
      <w:lvlJc w:val="left"/>
      <w:lvlText w:val="%1."/>
      <w:numFmt w:val="decimal"/>
      <w:start w:val="11"/>
    </w:lvl>
  </w:abstractNum>
  <w:abstractNum w:abstractNumId="30">
    <w:nsid w:val="77465F01"/>
    <w:multiLevelType w:val="hybridMultilevel"/>
    <w:lvl w:ilvl="0">
      <w:lvlJc w:val="left"/>
      <w:lvlText w:val="%1."/>
      <w:numFmt w:val="decimal"/>
      <w:start w:val="11"/>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3"/>
    </w:lvl>
  </w:abstractNum>
  <w:abstractNum w:abstractNumId="33">
    <w:nsid w:val="2463B9EA"/>
    <w:multiLevelType w:val="hybridMultilevel"/>
    <w:lvl w:ilvl="0">
      <w:lvlJc w:val="left"/>
      <w:lvlText w:val="%1."/>
      <w:numFmt w:val="decimal"/>
      <w:start w:val="13"/>
    </w:lvl>
  </w:abstractNum>
  <w:abstractNum w:abstractNumId="34">
    <w:nsid w:val="5E884ADC"/>
    <w:multiLevelType w:val="hybridMultilevel"/>
    <w:lvl w:ilvl="0">
      <w:lvlJc w:val="left"/>
      <w:lvlText w:val="%1."/>
      <w:numFmt w:val="decimal"/>
      <w:start w:val="14"/>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lvl w:ilvl="1">
      <w:lvlJc w:val="left"/>
      <w:lvlText w:val="%2"/>
      <w:numFmt w:val="decimal"/>
      <w:start w:val="104"/>
    </w:lvl>
  </w:abstractNum>
  <w:abstractNum w:abstractNumId="39">
    <w:nsid w:val="3855585C"/>
    <w:multiLevelType w:val="hybridMultilevel"/>
    <w:lvl w:ilvl="0">
      <w:lvlJc w:val="left"/>
      <w:lvlText w:val="(%1)"/>
      <w:numFmt w:val="lowerLetter"/>
      <w:start w:val="2"/>
    </w:lvl>
    <w:lvl w:ilvl="1">
      <w:lvlJc w:val="left"/>
      <w:lvlText w:val="%2"/>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8" Type="http://schemas.openxmlformats.org/officeDocument/2006/relationships/hyperlink" Target="https://www.sec.gov/Archives/edgar/data/1519449/000110465923004624/tm233575d1_ex3-1.htm" TargetMode="External"/><Relationship Id="rId79" Type="http://schemas.openxmlformats.org/officeDocument/2006/relationships/hyperlink" Target="https://www.sec.gov/Archives/edgar/data/1519449/000110465923004624/tm233575d1_ex3-2.htm" TargetMode="External"/><Relationship Id="rId80"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2025-08-07T14:54:20Z</dcterms:created>
  <dcterms:modified xsi:type="dcterms:W3CDTF">2025-08-07T14:54:20Z</dcterms:modified>
</cp:coreProperties>
</file>