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09"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11" w:lineRule="auto"/>
        <w:rPr>
          <w:sz w:val="20"/>
          <w:szCs w:val="20"/>
          <w:color w:val="auto"/>
        </w:rPr>
      </w:pPr>
      <w:r>
        <w:rPr>
          <w:rFonts w:ascii="Arial" w:cs="Arial" w:eastAsia="Arial" w:hAnsi="Arial"/>
          <w:sz w:val="25"/>
          <w:szCs w:val="25"/>
          <w:b w:val="1"/>
          <w:bCs w:val="1"/>
          <w:color w:val="auto"/>
        </w:rPr>
        <w:t>Washington, D.C. 20549</w:t>
      </w:r>
    </w:p>
    <w:p>
      <w:pPr>
        <w:spacing w:after="0" w:line="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 w:lineRule="exact"/>
        <w:rPr>
          <w:sz w:val="24"/>
          <w:szCs w:val="24"/>
          <w:color w:val="auto"/>
        </w:rPr>
      </w:pPr>
    </w:p>
    <w:p>
      <w:pPr>
        <w:ind w:left="3700"/>
        <w:spacing w:after="0"/>
        <w:rPr>
          <w:sz w:val="20"/>
          <w:szCs w:val="20"/>
          <w:color w:val="auto"/>
        </w:rPr>
      </w:pPr>
      <w:r>
        <w:rPr>
          <w:rFonts w:ascii="Arial" w:cs="Arial" w:eastAsia="Arial" w:hAnsi="Arial"/>
          <w:sz w:val="22"/>
          <w:szCs w:val="22"/>
          <w:color w:val="auto"/>
        </w:rPr>
        <w:t>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7" w:lineRule="exact"/>
        <w:rPr>
          <w:sz w:val="24"/>
          <w:szCs w:val="24"/>
          <w:color w:val="auto"/>
        </w:rPr>
      </w:pPr>
    </w:p>
    <w:p>
      <w:pPr>
        <w:ind w:left="620" w:hanging="398"/>
        <w:spacing w:after="0"/>
        <w:tabs>
          <w:tab w:leader="none" w:pos="6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5"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March 31, 2023</w:t>
      </w:r>
    </w:p>
    <w:p>
      <w:pPr>
        <w:jc w:val="center"/>
        <w:spacing w:after="0"/>
        <w:rPr>
          <w:sz w:val="20"/>
          <w:szCs w:val="20"/>
          <w:color w:val="auto"/>
        </w:rPr>
      </w:pPr>
      <w:r>
        <w:rPr>
          <w:rFonts w:ascii="Arial" w:cs="Arial" w:eastAsia="Arial" w:hAnsi="Arial"/>
          <w:sz w:val="14"/>
          <w:szCs w:val="14"/>
          <w:b w:val="1"/>
          <w:bCs w:val="1"/>
          <w:color w:val="auto"/>
        </w:rPr>
        <w:t>OR</w:t>
      </w:r>
    </w:p>
    <w:p>
      <w:pPr>
        <w:spacing w:after="0" w:line="84" w:lineRule="exact"/>
        <w:rPr>
          <w:sz w:val="24"/>
          <w:szCs w:val="24"/>
          <w:color w:val="auto"/>
        </w:rPr>
      </w:pPr>
    </w:p>
    <w:p>
      <w:pPr>
        <w:ind w:left="660" w:right="1460" w:hanging="438"/>
        <w:spacing w:after="0" w:line="207" w:lineRule="auto"/>
        <w:tabs>
          <w:tab w:leader="none" w:pos="660"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 to ____________</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001-41591</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SKYWARD SPECIALTY INSURANCE GROUP,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38735</wp:posOffset>
            </wp:positionV>
            <wp:extent cx="17316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26" w:lineRule="exact"/>
        <w:rPr>
          <w:sz w:val="24"/>
          <w:szCs w:val="24"/>
          <w:color w:val="auto"/>
        </w:rPr>
      </w:pPr>
    </w:p>
    <w:tbl>
      <w:tblPr>
        <w:tblLayout w:type="fixed"/>
        <w:tblInd w:w="10" w:type="dxa"/>
        <w:tblCellMar>
          <w:top w:w="0" w:type="dxa"/>
          <w:left w:w="0" w:type="dxa"/>
          <w:bottom w:w="0" w:type="dxa"/>
          <w:right w:w="0" w:type="dxa"/>
        </w:tblCellMar>
      </w:tblPr>
      <w:tr>
        <w:trPr>
          <w:trHeight w:val="261"/>
        </w:trPr>
        <w:tc>
          <w:tcPr>
            <w:tcW w:w="46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40" w:type="dxa"/>
            <w:vAlign w:val="bottom"/>
          </w:tcPr>
          <w:p>
            <w:pPr>
              <w:jc w:val="center"/>
              <w:ind w:right="1810"/>
              <w:spacing w:after="0"/>
              <w:rPr>
                <w:sz w:val="20"/>
                <w:szCs w:val="20"/>
                <w:color w:val="auto"/>
              </w:rPr>
            </w:pPr>
            <w:r>
              <w:rPr>
                <w:rFonts w:ascii="Arial" w:cs="Arial" w:eastAsia="Arial" w:hAnsi="Arial"/>
                <w:sz w:val="18"/>
                <w:szCs w:val="18"/>
                <w:b w:val="1"/>
                <w:bCs w:val="1"/>
                <w:color w:val="auto"/>
                <w:w w:val="91"/>
              </w:rPr>
              <w:t>14-1957288</w:t>
            </w:r>
          </w:p>
        </w:tc>
        <w:tc>
          <w:tcPr>
            <w:tcW w:w="0" w:type="dxa"/>
            <w:vAlign w:val="bottom"/>
          </w:tcPr>
          <w:p>
            <w:pPr>
              <w:spacing w:after="0"/>
              <w:rPr>
                <w:sz w:val="1"/>
                <w:szCs w:val="1"/>
                <w:color w:val="auto"/>
              </w:rPr>
            </w:pPr>
          </w:p>
        </w:tc>
      </w:tr>
      <w:tr>
        <w:trPr>
          <w:trHeight w:val="215"/>
        </w:trPr>
        <w:tc>
          <w:tcPr>
            <w:tcW w:w="4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40" w:type="dxa"/>
            <w:vAlign w:val="bottom"/>
          </w:tcPr>
          <w:p>
            <w:pPr>
              <w:jc w:val="center"/>
              <w:ind w:right="181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57"/>
        </w:trPr>
        <w:tc>
          <w:tcPr>
            <w:tcW w:w="7500" w:type="dxa"/>
            <w:vAlign w:val="bottom"/>
            <w:gridSpan w:val="6"/>
          </w:tcPr>
          <w:p>
            <w:pPr>
              <w:jc w:val="center"/>
              <w:ind w:right="18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right="179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24"/>
        </w:trPr>
        <w:tc>
          <w:tcPr>
            <w:tcW w:w="46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800 Gessner Road, Suite 600</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vMerge w:val="restart"/>
          </w:tcPr>
          <w:p>
            <w:pPr>
              <w:jc w:val="center"/>
              <w:ind w:right="1810"/>
              <w:spacing w:after="0"/>
              <w:rPr>
                <w:sz w:val="20"/>
                <w:szCs w:val="20"/>
                <w:color w:val="auto"/>
              </w:rPr>
            </w:pPr>
            <w:r>
              <w:rPr>
                <w:rFonts w:ascii="Arial" w:cs="Arial" w:eastAsia="Arial" w:hAnsi="Arial"/>
                <w:sz w:val="18"/>
                <w:szCs w:val="18"/>
                <w:b w:val="1"/>
                <w:bCs w:val="1"/>
                <w:color w:val="auto"/>
                <w:w w:val="91"/>
              </w:rPr>
              <w:t>77024-4284</w:t>
            </w:r>
          </w:p>
        </w:tc>
        <w:tc>
          <w:tcPr>
            <w:tcW w:w="0" w:type="dxa"/>
            <w:vAlign w:val="bottom"/>
          </w:tcPr>
          <w:p>
            <w:pPr>
              <w:spacing w:after="0"/>
              <w:rPr>
                <w:sz w:val="1"/>
                <w:szCs w:val="1"/>
                <w:color w:val="auto"/>
              </w:rPr>
            </w:pPr>
          </w:p>
        </w:tc>
      </w:tr>
      <w:tr>
        <w:trPr>
          <w:trHeight w:val="234"/>
        </w:trPr>
        <w:tc>
          <w:tcPr>
            <w:tcW w:w="4600" w:type="dxa"/>
            <w:vAlign w:val="bottom"/>
            <w:gridSpan w:val="3"/>
          </w:tcPr>
          <w:p>
            <w:pPr>
              <w:jc w:val="center"/>
              <w:ind w:left="930"/>
              <w:spacing w:after="0"/>
              <w:rPr>
                <w:sz w:val="20"/>
                <w:szCs w:val="20"/>
                <w:color w:val="auto"/>
              </w:rPr>
            </w:pPr>
            <w:r>
              <w:rPr>
                <w:rFonts w:ascii="Arial" w:cs="Arial" w:eastAsia="Arial" w:hAnsi="Arial"/>
                <w:sz w:val="18"/>
                <w:szCs w:val="18"/>
                <w:b w:val="1"/>
                <w:bCs w:val="1"/>
                <w:color w:val="auto"/>
                <w:w w:val="88"/>
              </w:rPr>
              <w:t>Houston, Texas</w:t>
            </w: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00" w:type="dxa"/>
            <w:vAlign w:val="bottom"/>
            <w:gridSpan w:val="3"/>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2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40" w:type="dxa"/>
            <w:vAlign w:val="bottom"/>
          </w:tcPr>
          <w:p>
            <w:pPr>
              <w:jc w:val="center"/>
              <w:ind w:right="18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256"/>
        </w:trPr>
        <w:tc>
          <w:tcPr>
            <w:tcW w:w="4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(713) 935-4800</w:t>
            </w: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500" w:type="dxa"/>
            <w:vAlign w:val="bottom"/>
            <w:gridSpan w:val="6"/>
          </w:tcPr>
          <w:p>
            <w:pPr>
              <w:jc w:val="center"/>
              <w:ind w:left="3650"/>
              <w:spacing w:after="0"/>
              <w:rPr>
                <w:sz w:val="20"/>
                <w:szCs w:val="20"/>
                <w:color w:val="auto"/>
              </w:rPr>
            </w:pPr>
            <w:r>
              <w:rPr>
                <w:rFonts w:ascii="Arial" w:cs="Arial" w:eastAsia="Arial" w:hAnsi="Arial"/>
                <w:sz w:val="18"/>
                <w:szCs w:val="18"/>
                <w:color w:val="auto"/>
                <w:w w:val="89"/>
              </w:rPr>
              <w:t>Registrant’s telephone number, including area code</w:t>
            </w: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4"/>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2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2420" w:type="dxa"/>
            <w:vAlign w:val="bottom"/>
            <w:tcBorders>
              <w:bottom w:val="single" w:sz="8" w:color="auto"/>
            </w:tcBorders>
            <w:gridSpan w:val="2"/>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60" w:type="dxa"/>
            <w:vAlign w:val="bottom"/>
            <w:tcBorders>
              <w:bottom w:val="single" w:sz="8" w:color="auto"/>
            </w:tcBorders>
            <w:gridSpan w:val="2"/>
          </w:tcPr>
          <w:p>
            <w:pPr>
              <w:spacing w:after="0"/>
              <w:rPr>
                <w:sz w:val="20"/>
                <w:szCs w:val="20"/>
                <w:color w:val="auto"/>
              </w:rPr>
            </w:pPr>
          </w:p>
        </w:tc>
        <w:tc>
          <w:tcPr>
            <w:tcW w:w="242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Trading Symbol(s)</w:t>
            </w:r>
          </w:p>
        </w:tc>
        <w:tc>
          <w:tcPr>
            <w:tcW w:w="480" w:type="dxa"/>
            <w:vAlign w:val="bottom"/>
            <w:tcBorders>
              <w:bottom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229"/>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420" w:type="dxa"/>
            <w:vAlign w:val="bottom"/>
            <w:tcBorders>
              <w:bottom w:val="single" w:sz="8" w:color="auto"/>
              <w:right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6"/>
              </w:rPr>
              <w:t>SKWD</w:t>
            </w:r>
          </w:p>
        </w:tc>
        <w:tc>
          <w:tcPr>
            <w:tcW w:w="480" w:type="dxa"/>
            <w:vAlign w:val="bottom"/>
            <w:tcBorders>
              <w:bottom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jc w:val="center"/>
              <w:ind w:right="410"/>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310" w:lineRule="exact"/>
        <w:rPr>
          <w:sz w:val="24"/>
          <w:szCs w:val="24"/>
          <w:color w:val="auto"/>
        </w:rPr>
      </w:pPr>
    </w:p>
    <w:p>
      <w:pPr>
        <w:ind w:right="260"/>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68" w:lineRule="exact"/>
        <w:rPr>
          <w:sz w:val="24"/>
          <w:szCs w:val="24"/>
          <w:color w:val="auto"/>
        </w:rPr>
      </w:pPr>
    </w:p>
    <w:p>
      <w:pPr>
        <w:jc w:val="both"/>
        <w:ind w:right="300"/>
        <w:spacing w:after="0" w:line="21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400"/>
        <w:spacing w:after="0"/>
        <w:tabs>
          <w:tab w:leader="none" w:pos="10880" w:val="left"/>
        </w:tabs>
        <w:rPr>
          <w:sz w:val="20"/>
          <w:szCs w:val="20"/>
          <w:color w:val="auto"/>
        </w:rPr>
      </w:pPr>
      <w:r>
        <w:rPr>
          <w:rFonts w:ascii="Arial" w:cs="Arial" w:eastAsia="Arial" w:hAnsi="Arial"/>
          <w:sz w:val="18"/>
          <w:szCs w:val="18"/>
          <w:color w:val="auto"/>
        </w:rPr>
        <w:t>Yes</w:t>
        <w:tab/>
        <w:t>No</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spacing w:after="0" w:line="21" w:lineRule="exact"/>
        <w:rPr>
          <w:sz w:val="24"/>
          <w:szCs w:val="24"/>
          <w:color w:val="auto"/>
        </w:rPr>
      </w:pPr>
    </w:p>
    <w:p>
      <w:pPr>
        <w:spacing w:after="0" w:line="226" w:lineRule="auto"/>
        <w:rPr>
          <w:sz w:val="20"/>
          <w:szCs w:val="20"/>
          <w:color w:val="auto"/>
        </w:rPr>
      </w:pPr>
      <w:r>
        <w:rPr>
          <w:rFonts w:ascii="Arial" w:cs="Arial" w:eastAsia="Arial" w:hAnsi="Arial"/>
          <w:sz w:val="18"/>
          <w:szCs w:val="18"/>
          <w:color w:val="auto"/>
        </w:rPr>
        <w:t>emerging growth company. See the definitions of “large accelerated filer,” “accelerated filer,” “smaller reporting company” and “emerging growth company” in Rule 12b-2 of the Exchange Act. (Check one):</w:t>
      </w:r>
    </w:p>
    <w:p>
      <w:pPr>
        <w:spacing w:after="0" w:line="130" w:lineRule="exact"/>
        <w:rPr>
          <w:sz w:val="24"/>
          <w:szCs w:val="24"/>
          <w:color w:val="auto"/>
        </w:rPr>
      </w:pPr>
    </w:p>
    <w:tbl>
      <w:tblPr>
        <w:tblLayout w:type="fixed"/>
        <w:tblInd w:w="20" w:type="dxa"/>
        <w:tblCellMar>
          <w:top w:w="0" w:type="dxa"/>
          <w:left w:w="0" w:type="dxa"/>
          <w:bottom w:w="0" w:type="dxa"/>
          <w:right w:w="0" w:type="dxa"/>
        </w:tblCellMar>
      </w:tblPr>
      <w:tr>
        <w:trPr>
          <w:trHeight w:val="329"/>
        </w:trPr>
        <w:tc>
          <w:tcPr>
            <w:tcW w:w="3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800" w:type="dxa"/>
            <w:vAlign w:val="bottom"/>
          </w:tcPr>
          <w:p>
            <w:pPr>
              <w:jc w:val="right"/>
              <w:ind w:right="267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9"/>
        </w:trPr>
        <w:tc>
          <w:tcPr>
            <w:tcW w:w="3220" w:type="dxa"/>
            <w:vAlign w:val="bottom"/>
          </w:tcPr>
          <w:p>
            <w:pPr>
              <w:spacing w:after="0"/>
              <w:rPr>
                <w:sz w:val="20"/>
                <w:szCs w:val="20"/>
                <w:color w:val="auto"/>
              </w:rPr>
            </w:pPr>
            <w:r>
              <w:rPr>
                <w:rFonts w:ascii="Arial" w:cs="Arial" w:eastAsia="Arial" w:hAnsi="Arial"/>
                <w:sz w:val="18"/>
                <w:szCs w:val="18"/>
                <w:color w:val="auto"/>
              </w:rPr>
              <w:t>Non-accelerated filer</w:t>
            </w:r>
          </w:p>
        </w:tc>
        <w:tc>
          <w:tcPr>
            <w:tcW w:w="5800" w:type="dxa"/>
            <w:vAlign w:val="bottom"/>
          </w:tcPr>
          <w:p>
            <w:pPr>
              <w:jc w:val="right"/>
              <w:ind w:right="189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3220" w:type="dxa"/>
            <w:vAlign w:val="bottom"/>
          </w:tcPr>
          <w:p>
            <w:pPr>
              <w:spacing w:after="0"/>
              <w:rPr>
                <w:sz w:val="24"/>
                <w:szCs w:val="24"/>
                <w:color w:val="auto"/>
              </w:rPr>
            </w:pPr>
          </w:p>
        </w:tc>
        <w:tc>
          <w:tcPr>
            <w:tcW w:w="5800" w:type="dxa"/>
            <w:vAlign w:val="bottom"/>
          </w:tcPr>
          <w:p>
            <w:pPr>
              <w:jc w:val="right"/>
              <w:ind w:right="1890"/>
              <w:spacing w:after="0"/>
              <w:rPr>
                <w:sz w:val="20"/>
                <w:szCs w:val="20"/>
                <w:color w:val="auto"/>
              </w:rPr>
            </w:pPr>
            <w:r>
              <w:rPr>
                <w:rFonts w:ascii="Arial" w:cs="Arial" w:eastAsia="Arial" w:hAnsi="Arial"/>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1" w:lineRule="exact"/>
        <w:rPr>
          <w:sz w:val="24"/>
          <w:szCs w:val="24"/>
          <w:color w:val="auto"/>
        </w:rPr>
      </w:pPr>
    </w:p>
    <w:p>
      <w:pPr>
        <w:ind w:right="16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 w:lineRule="exact"/>
        <w:rPr>
          <w:sz w:val="24"/>
          <w:szCs w:val="24"/>
          <w:color w:val="auto"/>
        </w:rPr>
      </w:pPr>
    </w:p>
    <w:p>
      <w:pPr>
        <w:spacing w:after="0" w:line="207" w:lineRule="exact"/>
        <w:tabs>
          <w:tab w:leader="none" w:pos="76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As of May 4, 2023, the registrant had 37,658,111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47" w:right="339" w:bottom="77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771"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20" w:type="dxa"/>
            <w:vAlign w:val="bottom"/>
            <w:gridSpan w:val="6"/>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7780" w:type="dxa"/>
            <w:vAlign w:val="bottom"/>
          </w:tcPr>
          <w:p>
            <w:pPr>
              <w:ind w:left="192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1"/>
              </w:rPr>
              <w:t>Form 10-Q</w:t>
            </w:r>
          </w:p>
        </w:tc>
        <w:tc>
          <w:tcPr>
            <w:tcW w:w="9680" w:type="dxa"/>
            <w:vAlign w:val="bottom"/>
            <w:gridSpan w:val="4"/>
          </w:tcPr>
          <w:p>
            <w:pPr>
              <w:ind w:left="380"/>
              <w:spacing w:after="0"/>
              <w:rPr>
                <w:sz w:val="20"/>
                <w:szCs w:val="20"/>
                <w:color w:val="auto"/>
              </w:rPr>
            </w:pPr>
            <w:r>
              <w:rPr>
                <w:rFonts w:ascii="Arial" w:cs="Arial" w:eastAsia="Arial" w:hAnsi="Arial"/>
                <w:sz w:val="18"/>
                <w:szCs w:val="18"/>
                <w:color w:val="auto"/>
              </w:rPr>
              <w:t>Item and Description</w:t>
            </w:r>
          </w:p>
        </w:tc>
        <w:tc>
          <w:tcPr>
            <w:tcW w:w="720" w:type="dxa"/>
            <w:vAlign w:val="bottom"/>
            <w:gridSpan w:val="2"/>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w:t>
            </w: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7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1. Financial Statements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6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 as of March 31, 2023 and December 31, 2022 (unaudited)</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80" w:type="dxa"/>
            <w:vAlign w:val="bottom"/>
            <w:gridSpan w:val="4"/>
          </w:tcPr>
          <w:p>
            <w:pPr>
              <w:ind w:left="380"/>
              <w:spacing w:after="0" w:line="189" w:lineRule="exact"/>
              <w:rPr>
                <w:sz w:val="20"/>
                <w:szCs w:val="20"/>
                <w:color w:val="auto"/>
              </w:rPr>
            </w:pPr>
            <w:r>
              <w:rPr>
                <w:rFonts w:ascii="Arial" w:cs="Arial" w:eastAsia="Arial" w:hAnsi="Arial"/>
                <w:sz w:val="18"/>
                <w:szCs w:val="18"/>
                <w:color w:val="auto"/>
                <w:w w:val="94"/>
              </w:rPr>
              <w:t>Condensed Consolidated Statements of Operations and Comprehensive (Loss) Income for the Three-Month Periods Ended</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80" w:type="dxa"/>
            <w:vAlign w:val="bottom"/>
            <w:gridSpan w:val="4"/>
          </w:tcPr>
          <w:p>
            <w:pPr>
              <w:ind w:left="380"/>
              <w:spacing w:after="0"/>
              <w:rPr>
                <w:sz w:val="20"/>
                <w:szCs w:val="20"/>
                <w:color w:val="auto"/>
              </w:rPr>
            </w:pPr>
            <w:r>
              <w:rPr>
                <w:rFonts w:ascii="Arial" w:cs="Arial" w:eastAsia="Arial" w:hAnsi="Arial"/>
                <w:sz w:val="18"/>
                <w:szCs w:val="18"/>
                <w:color w:val="auto"/>
              </w:rPr>
              <w:t>March 31, 2023 and 2022 (unaudited)</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80" w:type="dxa"/>
            <w:vAlign w:val="bottom"/>
            <w:gridSpan w:val="4"/>
            <w:shd w:val="clear" w:color="auto" w:fill="CCEEFF"/>
          </w:tcPr>
          <w:p>
            <w:pPr>
              <w:ind w:left="380"/>
              <w:spacing w:after="0" w:line="176" w:lineRule="exact"/>
              <w:rPr>
                <w:sz w:val="20"/>
                <w:szCs w:val="20"/>
                <w:color w:val="auto"/>
              </w:rPr>
            </w:pPr>
            <w:r>
              <w:rPr>
                <w:rFonts w:ascii="Arial" w:cs="Arial" w:eastAsia="Arial" w:hAnsi="Arial"/>
                <w:sz w:val="18"/>
                <w:szCs w:val="18"/>
                <w:color w:val="auto"/>
                <w:w w:val="97"/>
              </w:rPr>
              <w:t>Condensed Consolidated Statements of Changes in Stockholders’ Equity for the Three-Month Periods Ended March 31,</w:t>
            </w:r>
          </w:p>
        </w:tc>
        <w:tc>
          <w:tcPr>
            <w:tcW w:w="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2023 and 2022 (unaudited)</w:t>
            </w:r>
          </w:p>
        </w:tc>
        <w:tc>
          <w:tcPr>
            <w:tcW w:w="340" w:type="dxa"/>
            <w:vAlign w:val="bottom"/>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680" w:type="dxa"/>
            <w:vAlign w:val="bottom"/>
            <w:gridSpan w:val="4"/>
          </w:tcPr>
          <w:p>
            <w:pPr>
              <w:ind w:left="380"/>
              <w:spacing w:after="0" w:line="176" w:lineRule="exact"/>
              <w:rPr>
                <w:sz w:val="20"/>
                <w:szCs w:val="20"/>
                <w:color w:val="auto"/>
              </w:rPr>
            </w:pPr>
            <w:r>
              <w:rPr>
                <w:rFonts w:ascii="Arial" w:cs="Arial" w:eastAsia="Arial" w:hAnsi="Arial"/>
                <w:sz w:val="18"/>
                <w:szCs w:val="18"/>
                <w:color w:val="auto"/>
              </w:rPr>
              <w:t>Condensed Consolidated Statements of Cash Flows for the Three-Month Periods Ended March 31, 2023 and 2022</w:t>
            </w:r>
          </w:p>
        </w:tc>
        <w:tc>
          <w:tcPr>
            <w:tcW w:w="34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80" w:type="dxa"/>
            <w:vAlign w:val="bottom"/>
            <w:gridSpan w:val="4"/>
          </w:tcPr>
          <w:p>
            <w:pPr>
              <w:ind w:left="380"/>
              <w:spacing w:after="0"/>
              <w:rPr>
                <w:sz w:val="20"/>
                <w:szCs w:val="20"/>
                <w:color w:val="auto"/>
              </w:rPr>
            </w:pPr>
            <w:r>
              <w:rPr>
                <w:rFonts w:ascii="Arial" w:cs="Arial" w:eastAsia="Arial" w:hAnsi="Arial"/>
                <w:sz w:val="18"/>
                <w:szCs w:val="18"/>
                <w:color w:val="auto"/>
              </w:rPr>
              <w:t>(unaudited)</w:t>
            </w:r>
          </w:p>
        </w:tc>
        <w:tc>
          <w:tcPr>
            <w:tcW w:w="3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9680" w:type="dxa"/>
            <w:vAlign w:val="bottom"/>
            <w:gridSpan w:val="4"/>
            <w:shd w:val="clear" w:color="auto" w:fill="CCEEFF"/>
          </w:tcPr>
          <w:p>
            <w:pPr>
              <w:ind w:left="380"/>
              <w:spacing w:after="0"/>
              <w:rPr>
                <w:sz w:val="20"/>
                <w:szCs w:val="20"/>
                <w:color w:val="auto"/>
              </w:rPr>
            </w:pPr>
            <w:r>
              <w:rPr>
                <w:rFonts w:ascii="Arial" w:cs="Arial" w:eastAsia="Arial" w:hAnsi="Arial"/>
                <w:sz w:val="18"/>
                <w:szCs w:val="18"/>
                <w:color w:val="auto"/>
              </w:rPr>
              <w:t>Notes to Condensed Consolidated Financial Statements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4. Controls and Procedures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Part II</w:t>
            </w:r>
          </w:p>
        </w:tc>
        <w:tc>
          <w:tcPr>
            <w:tcW w:w="3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7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1. Legal Proceedings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1050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Item 1A. Risk Factors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050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Item 3. Defaults Upon Senior Securities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4. Mine Safety Disclosures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0500" w:type="dxa"/>
            <w:vAlign w:val="bottom"/>
            <w:gridSpan w:val="5"/>
            <w:shd w:val="clear" w:color="auto" w:fill="CCEEFF"/>
          </w:tcPr>
          <w:p>
            <w:pPr>
              <w:ind w:left="660"/>
              <w:spacing w:after="0"/>
              <w:rPr>
                <w:sz w:val="20"/>
                <w:szCs w:val="20"/>
                <w:color w:val="auto"/>
              </w:rPr>
            </w:pPr>
            <w:r>
              <w:rPr>
                <w:rFonts w:ascii="Arial" w:cs="Arial" w:eastAsia="Arial" w:hAnsi="Arial"/>
                <w:sz w:val="18"/>
                <w:szCs w:val="18"/>
                <w:color w:val="auto"/>
              </w:rPr>
              <w:t>Item 5. Other Information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500" w:type="dxa"/>
            <w:vAlign w:val="bottom"/>
            <w:gridSpan w:val="5"/>
          </w:tcPr>
          <w:p>
            <w:pPr>
              <w:ind w:left="660"/>
              <w:spacing w:after="0"/>
              <w:rPr>
                <w:sz w:val="20"/>
                <w:szCs w:val="20"/>
                <w:color w:val="auto"/>
              </w:rPr>
            </w:pPr>
            <w:r>
              <w:rPr>
                <w:rFonts w:ascii="Arial" w:cs="Arial" w:eastAsia="Arial" w:hAnsi="Arial"/>
                <w:sz w:val="18"/>
                <w:szCs w:val="18"/>
                <w:color w:val="auto"/>
              </w:rPr>
              <w:t>Item 6. Exhibits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2"/>
              </w:rPr>
              <w:t>Signatures</w:t>
            </w:r>
          </w:p>
        </w:tc>
        <w:tc>
          <w:tcPr>
            <w:tcW w:w="3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7780" w:type="dxa"/>
            <w:vAlign w:val="bottom"/>
            <w:shd w:val="clear" w:color="auto" w:fill="CCEEFF"/>
          </w:tcPr>
          <w:p>
            <w:pPr>
              <w:spacing w:after="0"/>
              <w:rPr>
                <w:sz w:val="21"/>
                <w:szCs w:val="21"/>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80" w:type="dxa"/>
            <w:vAlign w:val="bottom"/>
            <w:gridSpan w:val="4"/>
          </w:tcPr>
          <w:p>
            <w:pPr>
              <w:ind w:left="47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460" w:type="dxa"/>
            <w:vAlign w:val="bottom"/>
            <w:tcBorders>
              <w:bottom w:val="single" w:sz="8" w:color="9A9A9A"/>
            </w:tcBorders>
          </w:tcPr>
          <w:p>
            <w:pPr>
              <w:spacing w:after="0"/>
              <w:rPr>
                <w:sz w:val="11"/>
                <w:szCs w:val="11"/>
                <w:color w:val="auto"/>
              </w:rPr>
            </w:pPr>
          </w:p>
        </w:tc>
        <w:tc>
          <w:tcPr>
            <w:tcW w:w="77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w w:val="92"/>
              </w:rPr>
              <w:t>March 31, 2023</w:t>
            </w: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w w:val="91"/>
              </w:rPr>
              <w:t>December 31, 2022</w:t>
            </w:r>
          </w:p>
        </w:tc>
        <w:tc>
          <w:tcPr>
            <w:tcW w:w="0" w:type="dxa"/>
            <w:vAlign w:val="bottom"/>
          </w:tcPr>
          <w:p>
            <w:pPr>
              <w:spacing w:after="0"/>
              <w:rPr>
                <w:sz w:val="1"/>
                <w:szCs w:val="1"/>
                <w:color w:val="auto"/>
              </w:rPr>
            </w:pPr>
          </w:p>
        </w:tc>
      </w:tr>
      <w:tr>
        <w:trPr>
          <w:trHeight w:val="188"/>
        </w:trPr>
        <w:tc>
          <w:tcPr>
            <w:tcW w:w="8160" w:type="dxa"/>
            <w:vAlign w:val="bottom"/>
          </w:tcPr>
          <w:p>
            <w:pPr>
              <w:ind w:left="20"/>
              <w:spacing w:after="0"/>
              <w:rPr>
                <w:sz w:val="20"/>
                <w:szCs w:val="20"/>
                <w:color w:val="auto"/>
              </w:rPr>
            </w:pPr>
            <w:r>
              <w:rPr>
                <w:rFonts w:ascii="Arial" w:cs="Arial" w:eastAsia="Arial" w:hAnsi="Arial"/>
                <w:sz w:val="14"/>
                <w:szCs w:val="14"/>
                <w:i w:val="1"/>
                <w:iCs w:val="1"/>
                <w:color w:val="auto"/>
              </w:rPr>
              <w:t>($ in thousands, except share and per share amounts)</w:t>
            </w:r>
          </w:p>
        </w:tc>
        <w:tc>
          <w:tcPr>
            <w:tcW w:w="140" w:type="dxa"/>
            <w:vAlign w:val="bottom"/>
          </w:tcPr>
          <w:p>
            <w:pPr>
              <w:spacing w:after="0"/>
              <w:rPr>
                <w:sz w:val="16"/>
                <w:szCs w:val="16"/>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16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rPr>
              <w:t>Fixed maturity securities, available-for-sale, at fair value (amortized cost of $718,395 and $662,616,</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673,137</w:t>
            </w:r>
          </w:p>
        </w:tc>
        <w:tc>
          <w:tcPr>
            <w:tcW w:w="5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vMerge w:val="continue"/>
            <w:shd w:val="clear" w:color="auto" w:fill="CCEEFF"/>
          </w:tcPr>
          <w:p>
            <w:pPr>
              <w:spacing w:after="0"/>
              <w:rPr>
                <w:sz w:val="19"/>
                <w:szCs w:val="19"/>
                <w:color w:val="auto"/>
              </w:rPr>
            </w:pPr>
          </w:p>
        </w:tc>
        <w:tc>
          <w:tcPr>
            <w:tcW w:w="134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140"/>
              <w:spacing w:after="0" w:line="189" w:lineRule="exact"/>
              <w:rPr>
                <w:sz w:val="20"/>
                <w:szCs w:val="20"/>
                <w:color w:val="auto"/>
              </w:rPr>
            </w:pPr>
            <w:r>
              <w:rPr>
                <w:rFonts w:ascii="Arial" w:cs="Arial" w:eastAsia="Arial" w:hAnsi="Arial"/>
                <w:sz w:val="18"/>
                <w:szCs w:val="18"/>
                <w:color w:val="auto"/>
                <w:w w:val="93"/>
              </w:rPr>
              <w:t>Fixed maturity securities, held-to-maturity, at amortized cost (net of allowance for credit losses of $321 as of</w:t>
            </w:r>
          </w:p>
        </w:tc>
        <w:tc>
          <w:tcPr>
            <w:tcW w:w="1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48,216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March 31, 2023)</w:t>
            </w: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52,467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 at fair value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120,465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Arial" w:cs="Arial" w:eastAsia="Arial" w:hAnsi="Arial"/>
                <w:sz w:val="18"/>
                <w:szCs w:val="18"/>
                <w:color w:val="auto"/>
              </w:rPr>
              <w:t>Mortgage loans (at fair value as of March 31, 2023; at amortized cost as of December 31, 2022)</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42,335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51,859</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long-term investments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118,784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129,142</w:t>
            </w: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Short-term investments, at fair value</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287,351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121,158</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1,290,288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1,082,367</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41,200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45,438</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79,573</w:t>
            </w:r>
          </w:p>
        </w:tc>
        <w:tc>
          <w:tcPr>
            <w:tcW w:w="0" w:type="dxa"/>
            <w:vAlign w:val="bottom"/>
          </w:tcPr>
          <w:p>
            <w:pPr>
              <w:spacing w:after="0"/>
              <w:rPr>
                <w:sz w:val="1"/>
                <w:szCs w:val="1"/>
                <w:color w:val="auto"/>
              </w:rPr>
            </w:pPr>
          </w:p>
        </w:tc>
      </w:tr>
      <w:tr>
        <w:trPr>
          <w:trHeight w:val="239"/>
        </w:trPr>
        <w:tc>
          <w:tcPr>
            <w:tcW w:w="8160" w:type="dxa"/>
            <w:vAlign w:val="bottom"/>
          </w:tcPr>
          <w:p>
            <w:pPr>
              <w:ind w:left="20"/>
              <w:spacing w:after="0"/>
              <w:rPr>
                <w:sz w:val="20"/>
                <w:szCs w:val="20"/>
                <w:color w:val="auto"/>
              </w:rPr>
            </w:pPr>
            <w:r>
              <w:rPr>
                <w:rFonts w:ascii="Arial" w:cs="Arial" w:eastAsia="Arial" w:hAnsi="Arial"/>
                <w:sz w:val="18"/>
                <w:szCs w:val="18"/>
                <w:color w:val="auto"/>
              </w:rPr>
              <w:t>Premiums receivable, net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178,954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139,215</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recoverables, net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570,504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581,359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Ceded unearned premium</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197,044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157,645</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policy acquisition costs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80,103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68,938</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30,572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36,188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89,503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89,870</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79,110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82,846</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2,621,325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2,363,439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Reserves for losses and loss adjustment expenses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1,173,176</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1,141,757</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501,218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442,509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Arial" w:cs="Arial" w:eastAsia="Arial" w:hAnsi="Arial"/>
                <w:sz w:val="18"/>
                <w:szCs w:val="18"/>
                <w:color w:val="auto"/>
              </w:rPr>
              <w:t>Deferred ceding commission</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40,824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29,849</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Reinsurance and premium payables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185,748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113,696</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Funds held for others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44,256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36,858</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40,328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Subordinated debt, net of debt issuance costs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78,629</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78,609</w:t>
            </w:r>
          </w:p>
        </w:tc>
        <w:tc>
          <w:tcPr>
            <w:tcW w:w="0" w:type="dxa"/>
            <w:vAlign w:val="bottom"/>
          </w:tcPr>
          <w:p>
            <w:pPr>
              <w:spacing w:after="0"/>
              <w:rPr>
                <w:sz w:val="1"/>
                <w:szCs w:val="1"/>
                <w:color w:val="auto"/>
              </w:rPr>
            </w:pPr>
          </w:p>
        </w:tc>
      </w:tr>
      <w:tr>
        <w:trPr>
          <w:trHeight w:val="223"/>
        </w:trPr>
        <w:tc>
          <w:tcPr>
            <w:tcW w:w="81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2,114,179</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1,941,777</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160" w:type="dxa"/>
            <w:vAlign w:val="bottom"/>
          </w:tcPr>
          <w:p>
            <w:pPr>
              <w:ind w:left="140"/>
              <w:spacing w:after="0" w:line="189" w:lineRule="exact"/>
              <w:rPr>
                <w:sz w:val="20"/>
                <w:szCs w:val="20"/>
                <w:color w:val="auto"/>
              </w:rPr>
            </w:pPr>
            <w:r>
              <w:rPr>
                <w:rFonts w:ascii="Arial" w:cs="Arial" w:eastAsia="Arial" w:hAnsi="Arial"/>
                <w:sz w:val="18"/>
                <w:szCs w:val="18"/>
                <w:color w:val="auto"/>
                <w:w w:val="95"/>
              </w:rPr>
              <w:t>Series A preferred stock, $0.01 par value; 10,000,000 and 2,000,000 shares authorized, 0 and 1,969,660</w:t>
            </w:r>
          </w:p>
        </w:tc>
        <w:tc>
          <w:tcPr>
            <w:tcW w:w="14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0"/>
              </w:rPr>
              <w:t>Common stock, $0.01 par value, 500,000,000 and 168,000,000 shares authorized, 37,658,111 and 16,832,955</w:t>
            </w:r>
          </w:p>
        </w:tc>
        <w:tc>
          <w:tcPr>
            <w:tcW w:w="1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respectively</w:t>
            </w:r>
          </w:p>
        </w:tc>
        <w:tc>
          <w:tcPr>
            <w:tcW w:w="14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40"/>
              <w:spacing w:after="0"/>
              <w:rPr>
                <w:sz w:val="20"/>
                <w:szCs w:val="20"/>
                <w:color w:val="auto"/>
              </w:rPr>
            </w:pPr>
            <w:r>
              <w:rPr>
                <w:rFonts w:ascii="Arial" w:cs="Arial" w:eastAsia="Arial" w:hAnsi="Arial"/>
                <w:sz w:val="18"/>
                <w:szCs w:val="18"/>
                <w:color w:val="auto"/>
              </w:rPr>
              <w:t>Treasury stock, $0.01 par value, 0 and 233,289 shares, respectively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641,368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577,289</w:t>
            </w:r>
          </w:p>
        </w:tc>
        <w:tc>
          <w:tcPr>
            <w:tcW w:w="0" w:type="dxa"/>
            <w:vAlign w:val="bottom"/>
          </w:tcPr>
          <w:p>
            <w:pPr>
              <w:spacing w:after="0"/>
              <w:rPr>
                <w:sz w:val="1"/>
                <w:szCs w:val="1"/>
                <w:color w:val="auto"/>
              </w:rPr>
            </w:pPr>
          </w:p>
        </w:tc>
      </w:tr>
      <w:tr>
        <w:trPr>
          <w:trHeight w:val="239"/>
        </w:trPr>
        <w:tc>
          <w:tcPr>
            <w:tcW w:w="8160" w:type="dxa"/>
            <w:vAlign w:val="bottom"/>
          </w:tcPr>
          <w:p>
            <w:pPr>
              <w:ind w:left="140"/>
              <w:spacing w:after="0"/>
              <w:rPr>
                <w:sz w:val="20"/>
                <w:szCs w:val="20"/>
                <w:color w:val="auto"/>
              </w:rPr>
            </w:pPr>
            <w:r>
              <w:rPr>
                <w:rFonts w:ascii="Arial" w:cs="Arial" w:eastAsia="Arial" w:hAnsi="Arial"/>
                <w:sz w:val="18"/>
                <w:szCs w:val="18"/>
                <w:color w:val="auto"/>
              </w:rPr>
              <w:t>Stock notes receivable</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(6,718)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(6,911)</w:t>
            </w: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(35,744)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(43,485)</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(92,137)</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(105,417)</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507,146</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421,662</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2,621,325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2,363,439</w:t>
            </w: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115570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91440</wp:posOffset>
            </wp:positionV>
            <wp:extent cx="7115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33"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 except share and per share amounts)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120"/>
              <w:spacing w:after="0"/>
              <w:rPr>
                <w:sz w:val="20"/>
                <w:szCs w:val="20"/>
                <w:color w:val="auto"/>
              </w:rPr>
            </w:pPr>
            <w:r>
              <w:rPr>
                <w:rFonts w:ascii="Arial" w:cs="Arial" w:eastAsia="Arial" w:hAnsi="Arial"/>
                <w:sz w:val="18"/>
                <w:szCs w:val="18"/>
                <w:color w:val="auto"/>
              </w:rPr>
              <w:t>Net earned premiums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182,831</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141,726</w:t>
            </w: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Commission and fee income</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Net investment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15,149</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investment gains (losses)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37"/>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189,930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152,667</w:t>
            </w: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00" w:type="dxa"/>
            <w:vAlign w:val="bottom"/>
          </w:tcPr>
          <w:p>
            <w:pPr>
              <w:ind w:left="120"/>
              <w:spacing w:after="0"/>
              <w:rPr>
                <w:sz w:val="20"/>
                <w:szCs w:val="20"/>
                <w:color w:val="auto"/>
              </w:rPr>
            </w:pPr>
            <w:r>
              <w:rPr>
                <w:rFonts w:ascii="Arial" w:cs="Arial" w:eastAsia="Arial" w:hAnsi="Arial"/>
                <w:sz w:val="18"/>
                <w:szCs w:val="18"/>
                <w:color w:val="auto"/>
              </w:rPr>
              <w:t>Losses and loss adjustment expenses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114,900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89,989</w:t>
            </w: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Underwriting, acquisition and insurance expenses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51,655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40,534</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2,152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43"/>
        </w:trPr>
        <w:tc>
          <w:tcPr>
            <w:tcW w:w="8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8000" w:type="dxa"/>
            <w:vAlign w:val="bottom"/>
          </w:tcPr>
          <w:p>
            <w:pPr>
              <w:ind w:left="120"/>
              <w:spacing w:after="0"/>
              <w:rPr>
                <w:sz w:val="20"/>
                <w:szCs w:val="20"/>
                <w:color w:val="auto"/>
              </w:rPr>
            </w:pPr>
            <w:r>
              <w:rPr>
                <w:rFonts w:ascii="Arial" w:cs="Arial" w:eastAsia="Arial" w:hAnsi="Arial"/>
                <w:sz w:val="18"/>
                <w:szCs w:val="18"/>
                <w:color w:val="auto"/>
              </w:rPr>
              <w:t>Other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170,208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132,087</w:t>
            </w:r>
          </w:p>
        </w:tc>
        <w:tc>
          <w:tcPr>
            <w:tcW w:w="0" w:type="dxa"/>
            <w:vAlign w:val="bottom"/>
          </w:tcPr>
          <w:p>
            <w:pPr>
              <w:spacing w:after="0"/>
              <w:rPr>
                <w:sz w:val="1"/>
                <w:szCs w:val="1"/>
                <w:color w:val="auto"/>
              </w:rPr>
            </w:pPr>
          </w:p>
        </w:tc>
      </w:tr>
      <w:tr>
        <w:trPr>
          <w:trHeight w:val="232"/>
        </w:trPr>
        <w:tc>
          <w:tcPr>
            <w:tcW w:w="80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19,722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20,580</w:t>
            </w:r>
          </w:p>
        </w:tc>
        <w:tc>
          <w:tcPr>
            <w:tcW w:w="0" w:type="dxa"/>
            <w:vAlign w:val="bottom"/>
          </w:tcPr>
          <w:p>
            <w:pPr>
              <w:spacing w:after="0"/>
              <w:rPr>
                <w:sz w:val="1"/>
                <w:szCs w:val="1"/>
                <w:color w:val="auto"/>
              </w:rPr>
            </w:pPr>
          </w:p>
        </w:tc>
      </w:tr>
      <w:tr>
        <w:trPr>
          <w:trHeight w:val="234"/>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15,556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3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participating securities</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color w:val="auto"/>
              </w:rPr>
              <w:t>Net income attributable to common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8"/>
                <w:szCs w:val="18"/>
                <w:color w:val="auto"/>
              </w:rPr>
              <w:t>Unrealized gains and losses on investments: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change in unrealized gains (losses) on investments, net of tax</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(16,705)</w:t>
            </w:r>
          </w:p>
        </w:tc>
        <w:tc>
          <w:tcPr>
            <w:tcW w:w="0" w:type="dxa"/>
            <w:vAlign w:val="bottom"/>
          </w:tcPr>
          <w:p>
            <w:pPr>
              <w:spacing w:after="0"/>
              <w:rPr>
                <w:sz w:val="1"/>
                <w:szCs w:val="1"/>
                <w:color w:val="auto"/>
              </w:rPr>
            </w:pPr>
          </w:p>
        </w:tc>
      </w:tr>
      <w:tr>
        <w:trPr>
          <w:trHeight w:val="264"/>
        </w:trPr>
        <w:tc>
          <w:tcPr>
            <w:tcW w:w="80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Reclassification adjustment for (losses) gains on securities no longer held, net of tax</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other comprehensive income (loss)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0.43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0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32,848,243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16,376,720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0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36,952,073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32,412,307</w:t>
            </w:r>
          </w:p>
        </w:tc>
        <w:tc>
          <w:tcPr>
            <w:tcW w:w="0" w:type="dxa"/>
            <w:vAlign w:val="bottom"/>
          </w:tcPr>
          <w:p>
            <w:pPr>
              <w:spacing w:after="0"/>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7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ind w:right="55"/>
              <w:spacing w:after="0" w:line="157" w:lineRule="exact"/>
              <w:rPr>
                <w:sz w:val="20"/>
                <w:szCs w:val="20"/>
                <w:color w:val="auto"/>
              </w:rPr>
            </w:pPr>
            <w:r>
              <w:rPr>
                <w:rFonts w:ascii="Arial" w:cs="Arial" w:eastAsia="Arial" w:hAnsi="Arial"/>
                <w:sz w:val="14"/>
                <w:szCs w:val="14"/>
                <w:color w:val="auto"/>
                <w:w w:val="93"/>
              </w:rPr>
              <w:t>Accumulated</w:t>
            </w: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72"/>
              <w:spacing w:after="0"/>
              <w:rPr>
                <w:sz w:val="20"/>
                <w:szCs w:val="20"/>
                <w:color w:val="auto"/>
              </w:rPr>
            </w:pPr>
            <w:r>
              <w:rPr>
                <w:rFonts w:ascii="Arial" w:cs="Arial" w:eastAsia="Arial" w:hAnsi="Arial"/>
                <w:sz w:val="14"/>
                <w:szCs w:val="14"/>
                <w:color w:val="auto"/>
                <w:w w:val="97"/>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14"/>
              <w:spacing w:after="0"/>
              <w:rPr>
                <w:sz w:val="20"/>
                <w:szCs w:val="20"/>
                <w:color w:val="auto"/>
              </w:rPr>
            </w:pPr>
            <w:r>
              <w:rPr>
                <w:rFonts w:ascii="Arial" w:cs="Arial" w:eastAsia="Arial" w:hAnsi="Arial"/>
                <w:sz w:val="14"/>
                <w:szCs w:val="14"/>
                <w:color w:val="auto"/>
                <w:w w:val="92"/>
              </w:rPr>
              <w:t>Stock 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5"/>
              <w:spacing w:after="0" w:line="141"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4"/>
              <w:spacing w:after="0"/>
              <w:rPr>
                <w:sz w:val="20"/>
                <w:szCs w:val="20"/>
                <w:color w:val="auto"/>
              </w:rPr>
            </w:pPr>
            <w:r>
              <w:rPr>
                <w:rFonts w:ascii="Arial" w:cs="Arial" w:eastAsia="Arial" w:hAnsi="Arial"/>
                <w:sz w:val="14"/>
                <w:szCs w:val="14"/>
                <w:color w:val="auto"/>
                <w:w w:val="96"/>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7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980" w:type="dxa"/>
            <w:vAlign w:val="bottom"/>
            <w:gridSpan w:val="2"/>
          </w:tcPr>
          <w:p>
            <w:pPr>
              <w:ind w:left="40"/>
              <w:spacing w:after="0"/>
              <w:rPr>
                <w:sz w:val="20"/>
                <w:szCs w:val="20"/>
                <w:color w:val="auto"/>
              </w:rPr>
            </w:pPr>
            <w:r>
              <w:rPr>
                <w:rFonts w:ascii="Arial" w:cs="Arial" w:eastAsia="Arial" w:hAnsi="Arial"/>
                <w:sz w:val="14"/>
                <w:szCs w:val="14"/>
                <w:color w:val="auto"/>
                <w:w w:val="94"/>
              </w:rPr>
              <w:t>Preferred Stock</w:t>
            </w:r>
          </w:p>
        </w:tc>
        <w:tc>
          <w:tcPr>
            <w:tcW w:w="8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color w:val="auto"/>
                <w:w w:val="96"/>
              </w:rPr>
              <w:t>Common Stock</w:t>
            </w:r>
          </w:p>
        </w:tc>
        <w:tc>
          <w:tcPr>
            <w:tcW w:w="8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w w:val="95"/>
              </w:rPr>
              <w:t>Treasury Stock</w:t>
            </w: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color w:val="auto"/>
                <w:w w:val="96"/>
              </w:rPr>
              <w:t>Paid-in Capital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4"/>
              <w:spacing w:after="0"/>
              <w:rPr>
                <w:sz w:val="20"/>
                <w:szCs w:val="20"/>
                <w:color w:val="auto"/>
              </w:rPr>
            </w:pPr>
            <w:r>
              <w:rPr>
                <w:rFonts w:ascii="Arial" w:cs="Arial" w:eastAsia="Arial" w:hAnsi="Arial"/>
                <w:sz w:val="14"/>
                <w:szCs w:val="14"/>
                <w:color w:val="auto"/>
                <w:w w:val="92"/>
              </w:rPr>
              <w:t>Receivable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center"/>
              <w:ind w:right="55"/>
              <w:spacing w:after="0"/>
              <w:rPr>
                <w:sz w:val="20"/>
                <w:szCs w:val="20"/>
                <w:color w:val="auto"/>
              </w:rPr>
            </w:pPr>
            <w:r>
              <w:rPr>
                <w:rFonts w:ascii="Arial" w:cs="Arial" w:eastAsia="Arial" w:hAnsi="Arial"/>
                <w:sz w:val="14"/>
                <w:szCs w:val="14"/>
                <w:color w:val="auto"/>
                <w:w w:val="94"/>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4"/>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6"/>
        </w:trPr>
        <w:tc>
          <w:tcPr>
            <w:tcW w:w="2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89"/>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577,289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(43,485)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(105,417)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421,662</w:t>
            </w:r>
          </w:p>
        </w:tc>
        <w:tc>
          <w:tcPr>
            <w:tcW w:w="0" w:type="dxa"/>
            <w:vAlign w:val="bottom"/>
          </w:tcPr>
          <w:p>
            <w:pPr>
              <w:spacing w:after="0"/>
              <w:rPr>
                <w:sz w:val="1"/>
                <w:szCs w:val="1"/>
                <w:color w:val="auto"/>
              </w:rPr>
            </w:pPr>
          </w:p>
        </w:tc>
      </w:tr>
      <w:tr>
        <w:trPr>
          <w:trHeight w:val="176"/>
        </w:trPr>
        <w:tc>
          <w:tcPr>
            <w:tcW w:w="2780" w:type="dxa"/>
            <w:vAlign w:val="bottom"/>
          </w:tcPr>
          <w:p>
            <w:pPr>
              <w:ind w:left="140"/>
              <w:spacing w:after="0" w:line="176" w:lineRule="exact"/>
              <w:rPr>
                <w:sz w:val="20"/>
                <w:szCs w:val="20"/>
                <w:color w:val="auto"/>
              </w:rPr>
            </w:pPr>
            <w:r>
              <w:rPr>
                <w:rFonts w:ascii="Arial" w:cs="Arial" w:eastAsia="Arial" w:hAnsi="Arial"/>
                <w:sz w:val="18"/>
                <w:szCs w:val="18"/>
                <w:color w:val="auto"/>
              </w:rPr>
              <w:t>Cumulative effect on adoption of</w:t>
            </w:r>
          </w:p>
        </w:tc>
        <w:tc>
          <w:tcPr>
            <w:tcW w:w="380" w:type="dxa"/>
            <w:vAlign w:val="bottom"/>
          </w:tcPr>
          <w:p>
            <w:pPr>
              <w:spacing w:after="0"/>
              <w:rPr>
                <w:sz w:val="15"/>
                <w:szCs w:val="15"/>
                <w:color w:val="auto"/>
              </w:rPr>
            </w:pPr>
          </w:p>
        </w:tc>
        <w:tc>
          <w:tcPr>
            <w:tcW w:w="60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(2,276)</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rPr>
              <w:t>ASU No. 2016-13</w:t>
            </w:r>
          </w:p>
        </w:tc>
        <w:tc>
          <w:tcPr>
            <w:tcW w:w="3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equity transactions</w:t>
            </w:r>
          </w:p>
        </w:tc>
        <w:tc>
          <w:tcPr>
            <w:tcW w:w="380" w:type="dxa"/>
            <w:vAlign w:val="bottom"/>
            <w:shd w:val="clear" w:color="auto" w:fill="CCEEFF"/>
          </w:tcPr>
          <w:p>
            <w:pPr>
              <w:spacing w:after="0"/>
              <w:rPr>
                <w:sz w:val="24"/>
                <w:szCs w:val="24"/>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2,057</w:t>
            </w:r>
          </w:p>
        </w:tc>
        <w:tc>
          <w:tcPr>
            <w:tcW w:w="0" w:type="dxa"/>
            <w:vAlign w:val="bottom"/>
          </w:tcPr>
          <w:p>
            <w:pPr>
              <w:spacing w:after="0"/>
              <w:rPr>
                <w:sz w:val="1"/>
                <w:szCs w:val="1"/>
                <w:color w:val="auto"/>
              </w:rPr>
            </w:pPr>
          </w:p>
        </w:tc>
      </w:tr>
      <w:tr>
        <w:trPr>
          <w:trHeight w:val="229"/>
        </w:trPr>
        <w:tc>
          <w:tcPr>
            <w:tcW w:w="2780" w:type="dxa"/>
            <w:vAlign w:val="bottom"/>
          </w:tcPr>
          <w:p>
            <w:pPr>
              <w:ind w:left="160"/>
              <w:spacing w:after="0"/>
              <w:rPr>
                <w:sz w:val="20"/>
                <w:szCs w:val="20"/>
                <w:color w:val="auto"/>
              </w:rPr>
            </w:pPr>
            <w:r>
              <w:rPr>
                <w:rFonts w:ascii="Arial" w:cs="Arial" w:eastAsia="Arial" w:hAnsi="Arial"/>
                <w:sz w:val="18"/>
                <w:szCs w:val="18"/>
                <w:color w:val="auto"/>
              </w:rPr>
              <w:t>Preferred stock conversion to</w:t>
            </w:r>
          </w:p>
        </w:tc>
        <w:tc>
          <w:tcPr>
            <w:tcW w:w="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780" w:type="dxa"/>
            <w:vAlign w:val="bottom"/>
          </w:tcPr>
          <w:p>
            <w:pPr>
              <w:ind w:left="260"/>
              <w:spacing w:after="0"/>
              <w:rPr>
                <w:sz w:val="20"/>
                <w:szCs w:val="20"/>
                <w:color w:val="auto"/>
              </w:rPr>
            </w:pPr>
            <w:r>
              <w:rPr>
                <w:rFonts w:ascii="Arial" w:cs="Arial" w:eastAsia="Arial" w:hAnsi="Arial"/>
                <w:sz w:val="18"/>
                <w:szCs w:val="18"/>
                <w:color w:val="auto"/>
              </w:rPr>
              <w:t>common shares</w:t>
            </w:r>
          </w:p>
        </w:tc>
        <w:tc>
          <w:tcPr>
            <w:tcW w:w="380" w:type="dxa"/>
            <w:vAlign w:val="bottom"/>
          </w:tcPr>
          <w:p>
            <w:pPr>
              <w:spacing w:after="0"/>
              <w:rPr>
                <w:sz w:val="21"/>
                <w:szCs w:val="21"/>
                <w:color w:val="auto"/>
              </w:rPr>
            </w:pPr>
          </w:p>
        </w:tc>
        <w:tc>
          <w:tcPr>
            <w:tcW w:w="600" w:type="dxa"/>
            <w:vAlign w:val="bottom"/>
          </w:tcPr>
          <w:p>
            <w:pPr>
              <w:jc w:val="center"/>
              <w:ind w:left="130"/>
              <w:spacing w:after="0"/>
              <w:rPr>
                <w:sz w:val="20"/>
                <w:szCs w:val="20"/>
                <w:color w:val="auto"/>
              </w:rPr>
            </w:pPr>
            <w:r>
              <w:rPr>
                <w:rFonts w:ascii="Arial" w:cs="Arial" w:eastAsia="Arial" w:hAnsi="Arial"/>
                <w:sz w:val="18"/>
                <w:szCs w:val="18"/>
                <w:b w:val="1"/>
                <w:bCs w:val="1"/>
                <w:color w:val="auto"/>
                <w:w w:val="93"/>
              </w:rPr>
              <w:t>(20)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5"/>
        </w:trPr>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initial public</w:t>
            </w: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offering, net</w:t>
            </w: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62,358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62,406</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0" w:type="dxa"/>
            <w:vAlign w:val="bottom"/>
          </w:tcPr>
          <w:p>
            <w:pPr>
              <w:spacing w:after="0"/>
              <w:rPr>
                <w:sz w:val="1"/>
                <w:szCs w:val="1"/>
                <w:color w:val="auto"/>
              </w:rPr>
            </w:pPr>
          </w:p>
        </w:tc>
      </w:tr>
      <w:tr>
        <w:trPr>
          <w:trHeight w:val="176"/>
        </w:trPr>
        <w:tc>
          <w:tcPr>
            <w:tcW w:w="27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Other comprehensive income, net</w:t>
            </w:r>
          </w:p>
        </w:tc>
        <w:tc>
          <w:tcPr>
            <w:tcW w:w="3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7,741</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of tax</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380" w:type="dxa"/>
            <w:vAlign w:val="bottom"/>
          </w:tcPr>
          <w:p>
            <w:pPr>
              <w:jc w:val="right"/>
              <w:ind w:right="19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440" w:type="dxa"/>
            <w:vAlign w:val="bottom"/>
            <w:gridSpan w:val="2"/>
          </w:tcPr>
          <w:p>
            <w:pPr>
              <w:ind w:left="10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377</w:t>
            </w:r>
          </w:p>
        </w:tc>
        <w:tc>
          <w:tcPr>
            <w:tcW w:w="480" w:type="dxa"/>
            <w:vAlign w:val="bottom"/>
            <w:gridSpan w:val="2"/>
          </w:tcPr>
          <w:p>
            <w:pPr>
              <w:jc w:val="right"/>
              <w:ind w:right="217"/>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641,368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(6,718)</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(35,744)</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(92,137)</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507,146</w:t>
            </w: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55"/>
              <w:spacing w:after="0" w:line="137" w:lineRule="exact"/>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center"/>
              <w:ind w:right="52"/>
              <w:spacing w:after="0"/>
              <w:rPr>
                <w:sz w:val="20"/>
                <w:szCs w:val="20"/>
                <w:color w:val="auto"/>
              </w:rPr>
            </w:pPr>
            <w:r>
              <w:rPr>
                <w:rFonts w:ascii="Arial" w:cs="Arial" w:eastAsia="Arial" w:hAnsi="Arial"/>
                <w:sz w:val="14"/>
                <w:szCs w:val="14"/>
                <w:color w:val="auto"/>
              </w:rPr>
              <w:t>Additional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ind w:right="14"/>
              <w:spacing w:after="0"/>
              <w:rPr>
                <w:sz w:val="20"/>
                <w:szCs w:val="20"/>
                <w:color w:val="auto"/>
              </w:rPr>
            </w:pPr>
            <w:r>
              <w:rPr>
                <w:rFonts w:ascii="Arial" w:cs="Arial" w:eastAsia="Arial" w:hAnsi="Arial"/>
                <w:sz w:val="14"/>
                <w:szCs w:val="14"/>
                <w:color w:val="auto"/>
                <w:w w:val="92"/>
              </w:rPr>
              <w:t>Stock 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5"/>
              <w:spacing w:after="0" w:line="141" w:lineRule="exact"/>
              <w:rPr>
                <w:sz w:val="20"/>
                <w:szCs w:val="20"/>
                <w:color w:val="auto"/>
              </w:rPr>
            </w:pPr>
            <w:r>
              <w:rPr>
                <w:rFonts w:ascii="Arial" w:cs="Arial" w:eastAsia="Arial" w:hAnsi="Arial"/>
                <w:sz w:val="14"/>
                <w:szCs w:val="14"/>
                <w:color w:val="auto"/>
                <w:w w:val="91"/>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14"/>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3" w:lineRule="exact"/>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4"/>
              </w:rPr>
              <w:t>Preferred Stock</w:t>
            </w: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6"/>
              </w:rPr>
              <w:t>Common Stock</w:t>
            </w: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Treasury Stock</w:t>
            </w: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Paid-in 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color w:val="auto"/>
                <w:w w:val="92"/>
              </w:rPr>
              <w:t>Receivable</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color w:val="auto"/>
                <w:w w:val="94"/>
              </w:rPr>
              <w:t>Loss</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color w:val="auto"/>
              </w:rPr>
              <w:t>Deficit</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426,080</w:t>
            </w:r>
          </w:p>
        </w:tc>
        <w:tc>
          <w:tcPr>
            <w:tcW w:w="0" w:type="dxa"/>
            <w:vAlign w:val="bottom"/>
          </w:tcPr>
          <w:p>
            <w:pPr>
              <w:spacing w:after="0"/>
              <w:rPr>
                <w:sz w:val="1"/>
                <w:szCs w:val="1"/>
                <w:color w:val="auto"/>
              </w:rPr>
            </w:pPr>
          </w:p>
        </w:tc>
      </w:tr>
      <w:tr>
        <w:trPr>
          <w:trHeight w:val="229"/>
        </w:trPr>
        <w:tc>
          <w:tcPr>
            <w:tcW w:w="2780" w:type="dxa"/>
            <w:vAlign w:val="bottom"/>
          </w:tcPr>
          <w:p>
            <w:pPr>
              <w:ind w:left="140"/>
              <w:spacing w:after="0"/>
              <w:rPr>
                <w:sz w:val="20"/>
                <w:szCs w:val="20"/>
                <w:color w:val="auto"/>
              </w:rPr>
            </w:pPr>
            <w:r>
              <w:rPr>
                <w:rFonts w:ascii="Arial" w:cs="Arial" w:eastAsia="Arial" w:hAnsi="Arial"/>
                <w:sz w:val="18"/>
                <w:szCs w:val="18"/>
                <w:color w:val="auto"/>
              </w:rPr>
              <w:t>Employee equity transactions</w:t>
            </w:r>
          </w:p>
        </w:tc>
        <w:tc>
          <w:tcPr>
            <w:tcW w:w="380" w:type="dxa"/>
            <w:vAlign w:val="bottom"/>
          </w:tcPr>
          <w:p>
            <w:pPr>
              <w:spacing w:after="0"/>
              <w:rPr>
                <w:sz w:val="19"/>
                <w:szCs w:val="19"/>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29"/>
        </w:trPr>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stock notes</w:t>
            </w:r>
          </w:p>
        </w:tc>
        <w:tc>
          <w:tcPr>
            <w:tcW w:w="3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receivable to other assets</w:t>
            </w:r>
          </w:p>
        </w:tc>
        <w:tc>
          <w:tcPr>
            <w:tcW w:w="380" w:type="dxa"/>
            <w:vAlign w:val="bottom"/>
            <w:shd w:val="clear" w:color="auto" w:fill="CCEEFF"/>
          </w:tcPr>
          <w:p>
            <w:pPr>
              <w:spacing w:after="0"/>
              <w:rPr>
                <w:sz w:val="22"/>
                <w:szCs w:val="22"/>
                <w:color w:val="auto"/>
              </w:rPr>
            </w:pPr>
          </w:p>
        </w:tc>
        <w:tc>
          <w:tcPr>
            <w:tcW w:w="60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7"/>
        </w:trPr>
        <w:tc>
          <w:tcPr>
            <w:tcW w:w="27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20"/>
                <w:szCs w:val="20"/>
                <w:color w:val="auto"/>
              </w:rPr>
            </w:pPr>
          </w:p>
        </w:tc>
        <w:tc>
          <w:tcPr>
            <w:tcW w:w="600" w:type="dxa"/>
            <w:vAlign w:val="bottom"/>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16,311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140"/>
              <w:spacing w:after="0" w:line="182" w:lineRule="exact"/>
              <w:rPr>
                <w:sz w:val="20"/>
                <w:szCs w:val="20"/>
                <w:color w:val="auto"/>
              </w:rPr>
            </w:pPr>
            <w:r>
              <w:rPr>
                <w:rFonts w:ascii="Arial" w:cs="Arial" w:eastAsia="Arial" w:hAnsi="Arial"/>
                <w:sz w:val="18"/>
                <w:szCs w:val="18"/>
                <w:color w:val="auto"/>
                <w:w w:val="99"/>
              </w:rPr>
              <w:t>Other comprehensive loss, net of</w:t>
            </w:r>
          </w:p>
        </w:tc>
        <w:tc>
          <w:tcPr>
            <w:tcW w:w="3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w:t>
            </w:r>
          </w:p>
        </w:tc>
        <w:tc>
          <w:tcPr>
            <w:tcW w:w="3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80" w:type="dxa"/>
            <w:vAlign w:val="bottom"/>
          </w:tcPr>
          <w:p>
            <w:pPr>
              <w:ind w:left="20"/>
              <w:spacing w:after="0"/>
              <w:rPr>
                <w:sz w:val="20"/>
                <w:szCs w:val="20"/>
                <w:color w:val="auto"/>
              </w:rPr>
            </w:pPr>
            <w:r>
              <w:rPr>
                <w:rFonts w:ascii="Arial" w:cs="Arial" w:eastAsia="Arial" w:hAnsi="Arial"/>
                <w:sz w:val="18"/>
                <w:szCs w:val="18"/>
                <w:color w:val="auto"/>
              </w:rPr>
              <w:t>Balance at March 31, 2022</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color w:val="auto"/>
                <w:w w:val="89"/>
              </w:rPr>
              <w:t>20</w:t>
            </w:r>
          </w:p>
        </w:tc>
        <w:tc>
          <w:tcPr>
            <w:tcW w:w="8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575,661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(11,764)</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(128,502)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428,619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Three months ended 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9"/>
        </w:trPr>
        <w:tc>
          <w:tcPr>
            <w:tcW w:w="80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16,311</w:t>
            </w:r>
          </w:p>
        </w:tc>
      </w:tr>
      <w:tr>
        <w:trPr>
          <w:trHeight w:val="234"/>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91,651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29,571</w:t>
            </w: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107,207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45,882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9"/>
        </w:trPr>
        <w:tc>
          <w:tcPr>
            <w:tcW w:w="8040" w:type="dxa"/>
            <w:vAlign w:val="bottom"/>
          </w:tcPr>
          <w:p>
            <w:pPr>
              <w:ind w:left="140"/>
              <w:spacing w:after="0"/>
              <w:rPr>
                <w:sz w:val="20"/>
                <w:szCs w:val="20"/>
                <w:color w:val="auto"/>
              </w:rPr>
            </w:pPr>
            <w:r>
              <w:rPr>
                <w:rFonts w:ascii="Arial" w:cs="Arial" w:eastAsia="Arial" w:hAnsi="Arial"/>
                <w:sz w:val="18"/>
                <w:szCs w:val="18"/>
                <w:color w:val="auto"/>
              </w:rPr>
              <w:t>Purchase of fixed maturity securities, available-for-sale</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(72,466)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(23,370)</w:t>
            </w:r>
          </w:p>
        </w:tc>
      </w:tr>
      <w:tr>
        <w:trPr>
          <w:trHeight w:val="23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illiquid investments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Purchase of equity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(12,889)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(25,221)</w:t>
            </w:r>
          </w:p>
        </w:tc>
      </w:tr>
      <w:tr>
        <w:trPr>
          <w:trHeight w:val="24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(investment in) direct and indirect loans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(8,019)</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maturities of investment securities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33,935</w:t>
            </w:r>
          </w:p>
        </w:tc>
      </w:tr>
      <w:tr>
        <w:trPr>
          <w:trHeight w:val="239"/>
        </w:trPr>
        <w:tc>
          <w:tcPr>
            <w:tcW w:w="8040" w:type="dxa"/>
            <w:vAlign w:val="bottom"/>
          </w:tcPr>
          <w:p>
            <w:pPr>
              <w:ind w:left="140"/>
              <w:spacing w:after="0"/>
              <w:rPr>
                <w:sz w:val="20"/>
                <w:szCs w:val="20"/>
                <w:color w:val="auto"/>
              </w:rPr>
            </w:pPr>
            <w:r>
              <w:rPr>
                <w:rFonts w:ascii="Arial" w:cs="Arial" w:eastAsia="Arial" w:hAnsi="Arial"/>
                <w:sz w:val="18"/>
                <w:szCs w:val="18"/>
                <w:color w:val="auto"/>
              </w:rPr>
              <w:t>Distributions from equity method investments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1,326</w:t>
            </w:r>
          </w:p>
        </w:tc>
      </w:tr>
      <w:tr>
        <w:trPr>
          <w:trHeight w:val="23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short-term investments</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(166,193)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(38,631)</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Receivable for securities sold</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3,984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5,671</w:t>
            </w:r>
          </w:p>
        </w:tc>
      </w:tr>
      <w:tr>
        <w:trPr>
          <w:trHeight w:val="24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provided by deposit accounting</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investment activities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(193,426)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(55,596)</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stock notes receivable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9"/>
        </w:trPr>
        <w:tc>
          <w:tcPr>
            <w:tcW w:w="8040" w:type="dxa"/>
            <w:vAlign w:val="bottom"/>
          </w:tcPr>
          <w:p>
            <w:pPr>
              <w:ind w:left="140"/>
              <w:spacing w:after="0"/>
              <w:rPr>
                <w:sz w:val="20"/>
                <w:szCs w:val="20"/>
                <w:color w:val="auto"/>
              </w:rPr>
            </w:pPr>
            <w:r>
              <w:rPr>
                <w:rFonts w:ascii="Arial" w:cs="Arial" w:eastAsia="Arial" w:hAnsi="Arial"/>
                <w:sz w:val="18"/>
                <w:szCs w:val="18"/>
                <w:color w:val="auto"/>
              </w:rPr>
              <w:t>Draw on revolving line of credit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 of term loan</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Proceeds from initial public offering</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66,262</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66,455</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(19,764)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(9,528)</w:t>
            </w:r>
          </w:p>
        </w:tc>
      </w:tr>
      <w:tr>
        <w:trPr>
          <w:trHeight w:val="22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125,011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107,274</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105,247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97,746</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8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34"/>
        </w:trPr>
        <w:tc>
          <w:tcPr>
            <w:tcW w:w="804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3,145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1,124</w:t>
            </w:r>
          </w:p>
        </w:tc>
      </w:tr>
      <w:tr>
        <w:trPr>
          <w:trHeight w:val="49"/>
        </w:trPr>
        <w:tc>
          <w:tcPr>
            <w:tcW w:w="8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7540" w:firstLine="8"/>
        <w:spacing w:after="0" w:line="377" w:lineRule="auto"/>
        <w:tabs>
          <w:tab w:leader="none" w:pos="3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 Basis of Presentation</w:t>
      </w:r>
    </w:p>
    <w:p>
      <w:pPr>
        <w:spacing w:after="0" w:line="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unaudited condensed consolidated financial statements of Skyward Specialty Insurance Group, Inc. (the “Company”) have been prepared in accordance with generally accepted accounting principles (“GAAP”) in the United States of America for interim financial reporting and with the instructions to Form 10-Q and Regulation S-X. Accordingly, they do not include all the disclosures required by GAAP for complete consolidated financial statements. Readers are urged to review the Company’s Annual Report on Form 10-K for the year ended December 31, 2022 for a more complete description of the Company’s business and accounting policies. In the opinion of management, all adjustments necessary for a fair statement of the condensed consolidated financial statements have been included. Such adjustments consist only of normal recurring items. Interim results are not necessarily indicative of results of operations for the full year. The consolidated balance sheet as of December 31, 2022 was derived from the Company’s audited annual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Actual results could differ materially from these estimates.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Standards Adopted</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June 2016, the FASB issued ASU 2016-13, Measurement of Credit Losses on Financial Instruments. ASU 2016-13 requires organizations to estimate credit losses on certain types of financial instruments, including receivables and fixed maturity securities, by introducing an approach based on expected losses. The expected loss approach required entities to incorporate considerations of historical information, current information, and reasonable and supportable forecasts. The Company adopted ASU 2016-13 effective January 1, 2023 using the modified retrospective approach, by which a cumulative-effect adjustment was made to retained earnings as of the date of adoption. In connection with the adoption of ASU 2016-13, the Company elected the fair value option in accounting for mortgage loans effective January 1, 2023 as targeted transition relief. The adoption of ASU 2016-13 resulted in a $2.3 million increase in accumulated deficit, net of tax.</w:t>
      </w:r>
    </w:p>
    <w:p>
      <w:pPr>
        <w:spacing w:after="0" w:line="6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Updates to Significant Accounting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accounting policies have been updated to reflect the Company's adoption of ASU 2016-13 Financial Instruments - Credit Losses (ASC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326): Measurement of Credit Losses on Financial Instruments as described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Investments in fixed maturities that are classified as available-for-sale and are carried at fair value. For available-for-sale fixed maturities in an unrealized loss position, the Company first determines whether there is an intent to sell the security or if it is more likely than not that the Company will be required to sell the security before maturity or recovery of its cost basis. If either of these criteria were met, the amortized cost of the security is written down to fair value with the losses recognized in net investment gains (losses) on the consolidated statements of operations. If neither of the these criteria were met, the Company determines whether unrealized losses are due to credit-related factors. If the unrealized losses are due to credit-related factors, an allowance for credit losses is determined using a present value of cash flows compared to the amortized cost of the security. The allowance for credit losses is limited to the amount by which fair value is below amortized cost. Changes in the allowance for credit losses are recognized in net investment gains (losses) on the consolidated statements of operations. Credit losses that are limited by the fair value of the security are recognized in stockholders’ equity, net of taxes, as a component of accumulated other comprehensive income (loss). Unrealized losses that are not credit-related continue to be recognized in stockholders’ equity, net of taxes, as a component of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Summary of Significant Accounting Policies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Investments in fixed maturity securities, held-to-maturity are carried at amortized cost net of an allowance for credit losses. The allowance for credit losses represents the current estimate of expected credit losses. The Company develops a historical loss rate from Moody’s table of estimated multi-year cumulative loss rates for asset backed securities. This historical loss rate is adjusted for current conditions and reasonable and supportable forecasts. Changes in the allowance for credit losses are recognized in net investment gains (losses) on the consolidated statements of operations.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elected the fair value option in accounting for mortgage loans effective January 1, 2023 as targeted transition relief. Under the fair value option, mortgage loans are measured at fair value, and changes in unrealized gains and losses on mortgage loans are reported in net investment gains (losses) on the condensed consolidated statements of operations. Interest income and amortization continue to be recognized in net investment income on the consolidated statements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Reinsurance Recoverables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Reinsurance recoverables are carried net of an allowance for credit losses. The allowance for credit losses represents the current estimate of expected credit losses. The Company develops a historical loss rate using the A.M. Best impairment rate and rating transition study which provides historical loss data of similarly rated reinsurance companies based on the expected duration of the receivables. This historical loss rate is adjusted for current conditions and reasonable and supportable forecasts and consideration of current economic conditions. Changes in the allowance for credit losses are recognized in underwriting, acquisition and insurance expenses on the consolidated statements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Premiums</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Premium receivables are carried net of an allowance for credit losses. The allowance for credit losses represents the current estimate of expected credit losses. The Company develops a historical loss rate using historical write-offs and aging of receivables. This historical loss rate is adjusted for current conditions, reasonable and supportable forecasts and our ability to cancel coverage on a policy after premium is considered past due. Changes in the allowance for credit losses are recognized in underwriting, acquisition and insurance expenses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set forth the amortized cost and the fair value by investment category at March 31,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2"/>
          </w:tcPr>
          <w:p>
            <w:pPr>
              <w:jc w:val="center"/>
              <w:ind w:right="190"/>
              <w:spacing w:after="0" w:line="189" w:lineRule="exact"/>
              <w:rPr>
                <w:sz w:val="20"/>
                <w:szCs w:val="20"/>
                <w:color w:val="auto"/>
              </w:rPr>
            </w:pPr>
            <w:r>
              <w:rPr>
                <w:rFonts w:ascii="Arial" w:cs="Arial" w:eastAsia="Arial" w:hAnsi="Arial"/>
                <w:sz w:val="18"/>
                <w:szCs w:val="18"/>
                <w:color w:val="auto"/>
                <w:w w:val="87"/>
              </w:rPr>
              <w:t>Gross</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gridSpan w:val="3"/>
          </w:tcPr>
          <w:p>
            <w:pPr>
              <w:jc w:val="right"/>
              <w:ind w:right="310"/>
              <w:spacing w:after="0" w:line="189" w:lineRule="exact"/>
              <w:rPr>
                <w:sz w:val="20"/>
                <w:szCs w:val="20"/>
                <w:color w:val="auto"/>
              </w:rPr>
            </w:pPr>
            <w:r>
              <w:rPr>
                <w:rFonts w:ascii="Arial" w:cs="Arial" w:eastAsia="Arial" w:hAnsi="Arial"/>
                <w:sz w:val="18"/>
                <w:szCs w:val="18"/>
                <w:color w:val="auto"/>
                <w:w w:val="83"/>
              </w:rPr>
              <w:t>Gross</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4"/>
          </w:tcPr>
          <w:p>
            <w:pPr>
              <w:jc w:val="center"/>
              <w:ind w:right="110"/>
              <w:spacing w:after="0" w:line="189"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5"/>
            <w:vMerge w:val="restart"/>
          </w:tcPr>
          <w:p>
            <w:pPr>
              <w:jc w:val="right"/>
              <w:ind w:right="10"/>
              <w:spacing w:after="0"/>
              <w:rPr>
                <w:sz w:val="20"/>
                <w:szCs w:val="20"/>
                <w:color w:val="auto"/>
              </w:rPr>
            </w:pPr>
            <w:r>
              <w:rPr>
                <w:rFonts w:ascii="Arial" w:cs="Arial" w:eastAsia="Arial" w:hAnsi="Arial"/>
                <w:sz w:val="18"/>
                <w:szCs w:val="18"/>
                <w:color w:val="auto"/>
              </w:rPr>
              <w:t>Allowance for</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16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6"/>
              </w:rPr>
              <w:t>Amortized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4"/>
          </w:tcPr>
          <w:p>
            <w:pPr>
              <w:jc w:val="right"/>
              <w:ind w:right="130"/>
              <w:spacing w:after="0" w:line="189" w:lineRule="exact"/>
              <w:rPr>
                <w:sz w:val="20"/>
                <w:szCs w:val="20"/>
                <w:color w:val="auto"/>
              </w:rPr>
            </w:pPr>
            <w:r>
              <w:rPr>
                <w:rFonts w:ascii="Arial" w:cs="Arial" w:eastAsia="Arial" w:hAnsi="Arial"/>
                <w:sz w:val="18"/>
                <w:szCs w:val="18"/>
                <w:color w:val="auto"/>
              </w:rPr>
              <w:t>Unrealized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4"/>
          </w:tcPr>
          <w:p>
            <w:pPr>
              <w:jc w:val="center"/>
              <w:ind w:right="110"/>
              <w:spacing w:after="0" w:line="189" w:lineRule="exact"/>
              <w:rPr>
                <w:sz w:val="20"/>
                <w:szCs w:val="20"/>
                <w:color w:val="auto"/>
              </w:rPr>
            </w:pPr>
            <w:r>
              <w:rPr>
                <w:rFonts w:ascii="Arial" w:cs="Arial" w:eastAsia="Arial" w:hAnsi="Arial"/>
                <w:sz w:val="18"/>
                <w:szCs w:val="18"/>
                <w:color w:val="auto"/>
                <w:w w:val="90"/>
              </w:rPr>
              <w:t>Unrealized</w:t>
            </w:r>
          </w:p>
        </w:tc>
        <w:tc>
          <w:tcPr>
            <w:tcW w:w="100" w:type="dxa"/>
            <w:vAlign w:val="bottom"/>
          </w:tcPr>
          <w:p>
            <w:pPr>
              <w:spacing w:after="0"/>
              <w:rPr>
                <w:sz w:val="16"/>
                <w:szCs w:val="16"/>
                <w:color w:val="auto"/>
              </w:rPr>
            </w:pPr>
          </w:p>
        </w:tc>
        <w:tc>
          <w:tcPr>
            <w:tcW w:w="12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91"/>
              </w:rPr>
              <w:t>Cost</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w w:val="84"/>
              </w:rPr>
              <w:t>Gains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87"/>
              </w:rPr>
              <w:t>Losses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color w:val="auto"/>
                <w:w w:val="89"/>
              </w:rPr>
              <w:t>Credit Losses</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46,347</w:t>
            </w:r>
          </w:p>
        </w:tc>
        <w:tc>
          <w:tcPr>
            <w:tcW w:w="5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19"/>
                <w:szCs w:val="19"/>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44,918</w:t>
            </w:r>
          </w:p>
        </w:tc>
        <w:tc>
          <w:tcPr>
            <w:tcW w:w="0" w:type="dxa"/>
            <w:vAlign w:val="bottom"/>
          </w:tcPr>
          <w:p>
            <w:pPr>
              <w:spacing w:after="0"/>
              <w:rPr>
                <w:sz w:val="1"/>
                <w:szCs w:val="1"/>
                <w:color w:val="auto"/>
              </w:rPr>
            </w:pPr>
          </w:p>
        </w:tc>
      </w:tr>
      <w:tr>
        <w:trPr>
          <w:trHeight w:val="239"/>
        </w:trPr>
        <w:tc>
          <w:tcPr>
            <w:tcW w:w="470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278,980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(18,117)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262,434</w:t>
            </w:r>
          </w:p>
        </w:tc>
        <w:tc>
          <w:tcPr>
            <w:tcW w:w="0" w:type="dxa"/>
            <w:vAlign w:val="bottom"/>
          </w:tcPr>
          <w:p>
            <w:pPr>
              <w:spacing w:after="0"/>
              <w:rPr>
                <w:sz w:val="1"/>
                <w:szCs w:val="1"/>
                <w:color w:val="auto"/>
              </w:rPr>
            </w:pPr>
          </w:p>
        </w:tc>
      </w:tr>
      <w:tr>
        <w:trPr>
          <w:trHeight w:val="234"/>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73,232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(6,045)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67,339</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146,830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rPr>
              <w:t>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color w:val="auto"/>
              </w:rPr>
              <w:t>(13,398)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gridSpan w:val="3"/>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133,890</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55,183</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(3,229)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52,182</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117,823</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(5,662)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112,374</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718,395</w:t>
            </w:r>
          </w:p>
        </w:tc>
        <w:tc>
          <w:tcPr>
            <w:tcW w:w="58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2,657</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(47,915)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673,137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48,537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(3,724)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44,492</w:t>
            </w:r>
          </w:p>
        </w:tc>
        <w:tc>
          <w:tcPr>
            <w:tcW w:w="0" w:type="dxa"/>
            <w:vAlign w:val="bottom"/>
          </w:tcPr>
          <w:p>
            <w:pPr>
              <w:spacing w:after="0"/>
              <w:rPr>
                <w:sz w:val="1"/>
                <w:szCs w:val="1"/>
                <w:color w:val="auto"/>
              </w:rPr>
            </w:pPr>
          </w:p>
        </w:tc>
      </w:tr>
      <w:tr>
        <w:trPr>
          <w:trHeight w:val="223"/>
        </w:trPr>
        <w:tc>
          <w:tcPr>
            <w:tcW w:w="4700" w:type="dxa"/>
            <w:vAlign w:val="bottom"/>
          </w:tcPr>
          <w:p>
            <w:pPr>
              <w:ind w:left="240"/>
              <w:spacing w:after="0"/>
              <w:rPr>
                <w:sz w:val="20"/>
                <w:szCs w:val="20"/>
                <w:color w:val="auto"/>
              </w:rPr>
            </w:pPr>
            <w:r>
              <w:rPr>
                <w:rFonts w:ascii="Arial" w:cs="Arial" w:eastAsia="Arial" w:hAnsi="Arial"/>
                <w:sz w:val="18"/>
                <w:szCs w:val="18"/>
                <w:color w:val="auto"/>
              </w:rPr>
              <w:t>Total fixed maturity securities, held-to-maturity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48,537</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1"/>
              </w:rPr>
              <w:t>(3,724)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44,492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3"/>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47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center"/>
              <w:spacing w:after="0" w:line="169" w:lineRule="exact"/>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left="450"/>
              <w:spacing w:after="0" w:line="169" w:lineRule="exact"/>
              <w:rPr>
                <w:sz w:val="20"/>
                <w:szCs w:val="20"/>
                <w:color w:val="auto"/>
              </w:rPr>
            </w:pPr>
            <w:r>
              <w:rPr>
                <w:rFonts w:ascii="Arial" w:cs="Arial" w:eastAsia="Arial" w:hAnsi="Arial"/>
                <w:sz w:val="18"/>
                <w:szCs w:val="18"/>
                <w:color w:val="auto"/>
                <w:w w:val="87"/>
              </w:rPr>
              <w:t>Gross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90"/>
              <w:spacing w:after="0" w:line="169" w:lineRule="exact"/>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6"/>
              </w:rPr>
              <w:t>Amortized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0"/>
              </w:rPr>
              <w:t>Unrealized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4"/>
          </w:tcPr>
          <w:p>
            <w:pPr>
              <w:jc w:val="center"/>
              <w:spacing w:after="0" w:line="189" w:lineRule="exact"/>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1"/>
              </w:rPr>
              <w:t>Cost</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89"/>
              </w:rPr>
              <w:t>Gains</w:t>
            </w: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89"/>
              </w:rPr>
              <w:t>Loss</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87"/>
              </w:rPr>
              <w:t>Fair Value</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21"/>
                <w:szCs w:val="21"/>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50,416</w:t>
            </w:r>
          </w:p>
        </w:tc>
        <w:tc>
          <w:tcPr>
            <w:tcW w:w="82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48,541</w:t>
            </w: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255,116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235,129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65,836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57,727</w:t>
            </w:r>
          </w:p>
        </w:tc>
        <w:tc>
          <w:tcPr>
            <w:tcW w:w="0" w:type="dxa"/>
            <w:vAlign w:val="bottom"/>
          </w:tcPr>
          <w:p>
            <w:pPr>
              <w:spacing w:after="0"/>
              <w:rPr>
                <w:sz w:val="1"/>
                <w:szCs w:val="1"/>
                <w:color w:val="auto"/>
              </w:rPr>
            </w:pPr>
          </w:p>
        </w:tc>
      </w:tr>
      <w:tr>
        <w:trPr>
          <w:trHeight w:val="237"/>
        </w:trPr>
        <w:tc>
          <w:tcPr>
            <w:tcW w:w="470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4"/>
          </w:tcPr>
          <w:p>
            <w:pPr>
              <w:jc w:val="right"/>
              <w:spacing w:after="0"/>
              <w:rPr>
                <w:sz w:val="20"/>
                <w:szCs w:val="20"/>
                <w:color w:val="auto"/>
              </w:rPr>
            </w:pPr>
            <w:r>
              <w:rPr>
                <w:rFonts w:ascii="Arial" w:cs="Arial" w:eastAsia="Arial" w:hAnsi="Arial"/>
                <w:sz w:val="18"/>
                <w:szCs w:val="18"/>
                <w:color w:val="auto"/>
              </w:rPr>
              <w:t>134,844</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119,856</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40,129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116,275</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109,824</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662,616</w:t>
            </w:r>
          </w:p>
        </w:tc>
        <w:tc>
          <w:tcPr>
            <w:tcW w:w="82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1,151</w:t>
            </w:r>
          </w:p>
        </w:tc>
        <w:tc>
          <w:tcPr>
            <w:tcW w:w="56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52,467</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37"/>
        </w:trPr>
        <w:tc>
          <w:tcPr>
            <w:tcW w:w="4700" w:type="dxa"/>
            <w:vAlign w:val="bottom"/>
          </w:tcPr>
          <w:p>
            <w:pPr>
              <w:ind w:left="360"/>
              <w:spacing w:after="0"/>
              <w:rPr>
                <w:sz w:val="20"/>
                <w:szCs w:val="20"/>
                <w:color w:val="auto"/>
              </w:rPr>
            </w:pPr>
            <w:r>
              <w:rPr>
                <w:rFonts w:ascii="Arial" w:cs="Arial" w:eastAsia="Arial" w:hAnsi="Arial"/>
                <w:sz w:val="18"/>
                <w:szCs w:val="18"/>
                <w:color w:val="auto"/>
              </w:rPr>
              <w:t>Total fixed maturity securities, held-to-maturity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52,467</w:t>
            </w:r>
          </w:p>
        </w:tc>
        <w:tc>
          <w:tcPr>
            <w:tcW w:w="820" w:type="dxa"/>
            <w:vAlign w:val="bottom"/>
            <w:gridSpan w:val="3"/>
          </w:tcPr>
          <w:p>
            <w:pPr>
              <w:jc w:val="right"/>
              <w:ind w:right="4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(5,696)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amortized cost and fair value of available-for-sale fixed maturity securities by contractual maturity at March 31,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70"/>
              <w:spacing w:after="0" w:line="189" w:lineRule="exact"/>
              <w:rPr>
                <w:sz w:val="20"/>
                <w:szCs w:val="20"/>
                <w:color w:val="auto"/>
              </w:rPr>
            </w:pPr>
            <w:r>
              <w:rPr>
                <w:rFonts w:ascii="Arial" w:cs="Arial" w:eastAsia="Arial" w:hAnsi="Arial"/>
                <w:sz w:val="18"/>
                <w:szCs w:val="18"/>
                <w:color w:val="auto"/>
              </w:rPr>
              <w:t>Amortized</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less than one year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27,656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26,956</w:t>
            </w: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Arial" w:cs="Arial" w:eastAsia="Arial" w:hAnsi="Arial"/>
                <w:sz w:val="18"/>
                <w:szCs w:val="18"/>
                <w:color w:val="auto"/>
              </w:rPr>
              <w:t>Due after one year through five years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214,722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205,835</w:t>
            </w:r>
          </w:p>
        </w:tc>
        <w:tc>
          <w:tcPr>
            <w:tcW w:w="0" w:type="dxa"/>
            <w:vAlign w:val="bottom"/>
          </w:tcPr>
          <w:p>
            <w:pPr>
              <w:spacing w:after="0"/>
              <w:rPr>
                <w:sz w:val="1"/>
                <w:szCs w:val="1"/>
                <w:color w:val="auto"/>
              </w:rPr>
            </w:pPr>
          </w:p>
        </w:tc>
      </w:tr>
      <w:tr>
        <w:trPr>
          <w:trHeight w:val="23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after five years through ten years</w:t>
            </w: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108,566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99,254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Due after ten years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47,615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42,646</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Mortgage-backed securities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202,013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186,072</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117,823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112,374</w:t>
            </w: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718,395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673,137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have the right to call or prepay obligations with or without call or prepayment penalties. Also, changing interest rates, tax considerations or other factors may result in portfolio sales prior to maturity.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fixed maturity securities, held-to-maturity, at March 31, 2023 consisted entirely of asset backed securities that were not due at a single maturity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set forth the gross unrealized losses and the corresponding fair values of investments, aggregated by length of time that individual securities had been in a continuous unrealized loss position as of March 31,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6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4"/>
          </w:tcPr>
          <w:p>
            <w:pPr>
              <w:jc w:val="right"/>
              <w:ind w:right="572"/>
              <w:spacing w:after="0"/>
              <w:rPr>
                <w:sz w:val="20"/>
                <w:szCs w:val="20"/>
                <w:color w:val="auto"/>
              </w:rPr>
            </w:pPr>
            <w:r>
              <w:rPr>
                <w:rFonts w:ascii="Arial" w:cs="Arial" w:eastAsia="Arial" w:hAnsi="Arial"/>
                <w:sz w:val="14"/>
                <w:szCs w:val="14"/>
                <w:color w:val="auto"/>
              </w:rPr>
              <w:t>Less than 12 Months</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2300" w:type="dxa"/>
            <w:vAlign w:val="bottom"/>
            <w:tcBorders>
              <w:top w:val="single" w:sz="8" w:color="auto"/>
              <w:bottom w:val="single" w:sz="8" w:color="auto"/>
            </w:tcBorders>
            <w:gridSpan w:val="4"/>
          </w:tcPr>
          <w:p>
            <w:pPr>
              <w:jc w:val="right"/>
              <w:ind w:right="592"/>
              <w:spacing w:after="0"/>
              <w:rPr>
                <w:sz w:val="20"/>
                <w:szCs w:val="20"/>
                <w:color w:val="auto"/>
              </w:rPr>
            </w:pPr>
            <w:r>
              <w:rPr>
                <w:rFonts w:ascii="Arial" w:cs="Arial" w:eastAsia="Arial" w:hAnsi="Arial"/>
                <w:sz w:val="14"/>
                <w:szCs w:val="14"/>
                <w:color w:val="auto"/>
              </w:rPr>
              <w:t>12 Months or More</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bottom w:val="single" w:sz="8" w:color="auto"/>
            </w:tcBorders>
          </w:tcPr>
          <w:p>
            <w:pPr>
              <w:spacing w:after="0"/>
              <w:rPr>
                <w:sz w:val="17"/>
                <w:szCs w:val="17"/>
                <w:color w:val="auto"/>
              </w:rPr>
            </w:pPr>
          </w:p>
        </w:tc>
      </w:tr>
      <w:tr>
        <w:trPr>
          <w:trHeight w:val="140"/>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
              <w:spacing w:after="0" w:line="140" w:lineRule="exact"/>
              <w:rPr>
                <w:sz w:val="20"/>
                <w:szCs w:val="20"/>
                <w:color w:val="auto"/>
              </w:rPr>
            </w:pPr>
            <w:r>
              <w:rPr>
                <w:rFonts w:ascii="Arial" w:cs="Arial" w:eastAsia="Arial" w:hAnsi="Arial"/>
                <w:sz w:val="14"/>
                <w:szCs w:val="14"/>
                <w:color w:val="auto"/>
                <w:w w:val="99"/>
              </w:rPr>
              <w:t>Gross Unrealized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12"/>
              <w:spacing w:after="0" w:line="140" w:lineRule="exact"/>
              <w:rPr>
                <w:sz w:val="20"/>
                <w:szCs w:val="20"/>
                <w:color w:val="auto"/>
              </w:rPr>
            </w:pPr>
            <w:r>
              <w:rPr>
                <w:rFonts w:ascii="Arial" w:cs="Arial" w:eastAsia="Arial" w:hAnsi="Arial"/>
                <w:sz w:val="14"/>
                <w:szCs w:val="14"/>
                <w:color w:val="auto"/>
                <w:w w:val="99"/>
              </w:rPr>
              <w:t>Gross Unrealized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3"/>
              <w:spacing w:after="0" w:line="140" w:lineRule="exact"/>
              <w:rPr>
                <w:sz w:val="20"/>
                <w:szCs w:val="20"/>
                <w:color w:val="auto"/>
              </w:rPr>
            </w:pPr>
            <w:r>
              <w:rPr>
                <w:rFonts w:ascii="Arial" w:cs="Arial" w:eastAsia="Arial" w:hAnsi="Arial"/>
                <w:sz w:val="14"/>
                <w:szCs w:val="14"/>
                <w:color w:val="auto"/>
                <w:w w:val="90"/>
              </w:rPr>
              <w:t>Gross Unrealized</w:t>
            </w:r>
          </w:p>
        </w:tc>
      </w:tr>
      <w:tr>
        <w:trPr>
          <w:trHeight w:val="182"/>
        </w:trPr>
        <w:tc>
          <w:tcPr>
            <w:tcW w:w="34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5"/>
                <w:szCs w:val="15"/>
                <w:color w:val="auto"/>
              </w:rPr>
            </w:pPr>
          </w:p>
        </w:tc>
        <w:tc>
          <w:tcPr>
            <w:tcW w:w="1000" w:type="dxa"/>
            <w:vAlign w:val="bottom"/>
          </w:tcPr>
          <w:p>
            <w:pPr>
              <w:jc w:val="right"/>
              <w:ind w:right="233"/>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color w:val="auto"/>
              </w:rPr>
              <w:t>Fair Value</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Losses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color w:val="auto"/>
              </w:rPr>
              <w:t>Fair 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333"/>
              <w:spacing w:after="0"/>
              <w:rPr>
                <w:sz w:val="20"/>
                <w:szCs w:val="20"/>
                <w:color w:val="auto"/>
              </w:rPr>
            </w:pPr>
            <w:r>
              <w:rPr>
                <w:rFonts w:ascii="Arial" w:cs="Arial" w:eastAsia="Arial" w:hAnsi="Arial"/>
                <w:sz w:val="14"/>
                <w:szCs w:val="14"/>
                <w:color w:val="auto"/>
              </w:rPr>
              <w:t>Losses</w:t>
            </w:r>
          </w:p>
        </w:tc>
      </w:tr>
      <w:tr>
        <w:trPr>
          <w:trHeight w:val="25"/>
        </w:trPr>
        <w:tc>
          <w:tcPr>
            <w:tcW w:w="3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2023</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3460" w:type="dxa"/>
            <w:vAlign w:val="bottom"/>
          </w:tcPr>
          <w:p>
            <w:pPr>
              <w:ind w:left="20"/>
              <w:spacing w:after="0"/>
              <w:rPr>
                <w:sz w:val="20"/>
                <w:szCs w:val="20"/>
                <w:color w:val="auto"/>
              </w:rPr>
            </w:pPr>
            <w:r>
              <w:rPr>
                <w:rFonts w:ascii="Arial" w:cs="Arial" w:eastAsia="Arial" w:hAnsi="Arial"/>
                <w:sz w:val="18"/>
                <w:szCs w:val="18"/>
                <w:color w:val="auto"/>
                <w:w w:val="98"/>
              </w:rPr>
              <w:t>Fixed maturity securities, available-for-sale: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19,722</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18,777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(1,021)</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38,499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(1,464)</w:t>
            </w:r>
          </w:p>
        </w:tc>
      </w:tr>
      <w:tr>
        <w:trPr>
          <w:trHeight w:val="229"/>
        </w:trPr>
        <w:tc>
          <w:tcPr>
            <w:tcW w:w="346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107,567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98,368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(14,058)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205,935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(18,117)</w:t>
            </w: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(4,281)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57,999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(6,045)</w:t>
            </w: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(1,919)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65,869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(11,479)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107,376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(13,398)</w:t>
            </w:r>
          </w:p>
        </w:tc>
      </w:tr>
      <w:tr>
        <w:trPr>
          <w:trHeight w:val="230"/>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(3,229)</w:t>
            </w:r>
          </w:p>
        </w:tc>
      </w:tr>
      <w:tr>
        <w:trPr>
          <w:trHeight w:val="243"/>
        </w:trPr>
        <w:tc>
          <w:tcPr>
            <w:tcW w:w="34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62,813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35,681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98,494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(5,662)</w:t>
            </w:r>
          </w:p>
        </w:tc>
      </w:tr>
      <w:tr>
        <w:trPr>
          <w:trHeight w:val="209"/>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Total fixed maturity securities, available-</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for-sale</w:t>
            </w: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295,514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(11,690)</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252,840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(36,225)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548,354</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(47,915)</w:t>
            </w:r>
          </w:p>
        </w:tc>
      </w:tr>
      <w:tr>
        <w:trPr>
          <w:trHeight w:val="217"/>
        </w:trPr>
        <w:tc>
          <w:tcPr>
            <w:tcW w:w="3460" w:type="dxa"/>
            <w:vAlign w:val="bottom"/>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1,624</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42,868</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(3,705)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(3,724)</w:t>
            </w:r>
          </w:p>
        </w:tc>
      </w:tr>
      <w:tr>
        <w:trPr>
          <w:trHeight w:val="209"/>
        </w:trPr>
        <w:tc>
          <w:tcPr>
            <w:tcW w:w="3460" w:type="dxa"/>
            <w:vAlign w:val="bottom"/>
          </w:tcPr>
          <w:p>
            <w:pPr>
              <w:ind w:left="240"/>
              <w:spacing w:after="0"/>
              <w:rPr>
                <w:sz w:val="20"/>
                <w:szCs w:val="20"/>
                <w:color w:val="auto"/>
              </w:rPr>
            </w:pPr>
            <w:r>
              <w:rPr>
                <w:rFonts w:ascii="Arial" w:cs="Arial" w:eastAsia="Arial" w:hAnsi="Arial"/>
                <w:sz w:val="18"/>
                <w:szCs w:val="18"/>
                <w:color w:val="auto"/>
              </w:rPr>
              <w:t>Total fixed maturity securities, held-to-</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7"/>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42,868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44,492</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(3,724)</w:t>
            </w:r>
          </w:p>
        </w:tc>
      </w:tr>
      <w:tr>
        <w:trPr>
          <w:trHeight w:val="248"/>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295,708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(39,930)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592,846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(51,639)</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572"/>
              <w:spacing w:after="0"/>
              <w:rPr>
                <w:sz w:val="20"/>
                <w:szCs w:val="20"/>
                <w:color w:val="auto"/>
              </w:rPr>
            </w:pPr>
            <w:r>
              <w:rPr>
                <w:rFonts w:ascii="Arial" w:cs="Arial" w:eastAsia="Arial" w:hAnsi="Arial"/>
                <w:sz w:val="14"/>
                <w:szCs w:val="14"/>
                <w:color w:val="auto"/>
              </w:rPr>
              <w:t>Less than 12 Months</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jc w:val="right"/>
              <w:ind w:right="612"/>
              <w:spacing w:after="0"/>
              <w:rPr>
                <w:sz w:val="20"/>
                <w:szCs w:val="20"/>
                <w:color w:val="auto"/>
              </w:rPr>
            </w:pPr>
            <w:r>
              <w:rPr>
                <w:rFonts w:ascii="Arial" w:cs="Arial" w:eastAsia="Arial" w:hAnsi="Arial"/>
                <w:sz w:val="14"/>
                <w:szCs w:val="14"/>
                <w:color w:val="auto"/>
              </w:rPr>
              <w:t>12 Months or More</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2"/>
              <w:spacing w:after="0" w:line="129" w:lineRule="exact"/>
              <w:rPr>
                <w:sz w:val="20"/>
                <w:szCs w:val="20"/>
                <w:color w:val="auto"/>
              </w:rPr>
            </w:pPr>
            <w:r>
              <w:rPr>
                <w:rFonts w:ascii="Arial" w:cs="Arial" w:eastAsia="Arial" w:hAnsi="Arial"/>
                <w:sz w:val="14"/>
                <w:szCs w:val="14"/>
                <w:color w:val="auto"/>
                <w:w w:val="99"/>
              </w:rPr>
              <w:t>Gross Unrealized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right"/>
              <w:ind w:right="32"/>
              <w:spacing w:after="0" w:line="129" w:lineRule="exact"/>
              <w:rPr>
                <w:sz w:val="20"/>
                <w:szCs w:val="20"/>
                <w:color w:val="auto"/>
              </w:rPr>
            </w:pPr>
            <w:r>
              <w:rPr>
                <w:rFonts w:ascii="Arial" w:cs="Arial" w:eastAsia="Arial" w:hAnsi="Arial"/>
                <w:sz w:val="14"/>
                <w:szCs w:val="14"/>
                <w:color w:val="auto"/>
                <w:w w:val="99"/>
              </w:rPr>
              <w:t>Gross Unrealized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right"/>
              <w:ind w:right="13"/>
              <w:spacing w:after="0" w:line="129" w:lineRule="exact"/>
              <w:rPr>
                <w:sz w:val="20"/>
                <w:szCs w:val="20"/>
                <w:color w:val="auto"/>
              </w:rPr>
            </w:pPr>
            <w:r>
              <w:rPr>
                <w:rFonts w:ascii="Arial" w:cs="Arial" w:eastAsia="Arial" w:hAnsi="Arial"/>
                <w:sz w:val="14"/>
                <w:szCs w:val="14"/>
                <w:color w:val="auto"/>
                <w:w w:val="90"/>
              </w:rPr>
              <w:t>Gross Unrealized</w:t>
            </w:r>
          </w:p>
        </w:tc>
        <w:tc>
          <w:tcPr>
            <w:tcW w:w="0" w:type="dxa"/>
            <w:vAlign w:val="bottom"/>
          </w:tcPr>
          <w:p>
            <w:pPr>
              <w:spacing w:after="0"/>
              <w:rPr>
                <w:sz w:val="1"/>
                <w:szCs w:val="1"/>
                <w:color w:val="auto"/>
              </w:rPr>
            </w:pPr>
          </w:p>
        </w:tc>
      </w:tr>
      <w:tr>
        <w:trPr>
          <w:trHeight w:val="196"/>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Fair Value</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Fair Value</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Losses</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w w:val="98"/>
              </w:rPr>
              <w:t>Fixed maturity securities, available-for-sale:</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28,966</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3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37"/>
        </w:trPr>
        <w:tc>
          <w:tcPr>
            <w:tcW w:w="3460" w:type="dxa"/>
            <w:vAlign w:val="bottom"/>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171,506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34,283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205,789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(8,133)</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56,246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52,778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109,024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(15,206)</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w:t>
            </w:r>
          </w:p>
        </w:tc>
        <w:tc>
          <w:tcPr>
            <w:tcW w:w="0" w:type="dxa"/>
            <w:vAlign w:val="bottom"/>
          </w:tcPr>
          <w:p>
            <w:pPr>
              <w:spacing w:after="0"/>
              <w:rPr>
                <w:sz w:val="1"/>
                <w:szCs w:val="1"/>
                <w:color w:val="auto"/>
              </w:rPr>
            </w:pPr>
          </w:p>
        </w:tc>
      </w:tr>
      <w:tr>
        <w:trPr>
          <w:trHeight w:val="230"/>
        </w:trPr>
        <w:tc>
          <w:tcPr>
            <w:tcW w:w="3460" w:type="dxa"/>
            <w:vAlign w:val="bottom"/>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74,684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(3,191)</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100,504</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169"/>
        </w:trPr>
        <w:tc>
          <w:tcPr>
            <w:tcW w:w="3460" w:type="dxa"/>
            <w:vAlign w:val="bottom"/>
            <w:shd w:val="clear" w:color="auto" w:fill="CCEEFF"/>
          </w:tcPr>
          <w:p>
            <w:pPr>
              <w:ind w:left="240"/>
              <w:spacing w:after="0" w:line="169" w:lineRule="exact"/>
              <w:rPr>
                <w:sz w:val="20"/>
                <w:szCs w:val="20"/>
                <w:color w:val="auto"/>
              </w:rPr>
            </w:pPr>
            <w:r>
              <w:rPr>
                <w:rFonts w:ascii="Arial" w:cs="Arial" w:eastAsia="Arial" w:hAnsi="Arial"/>
                <w:sz w:val="18"/>
                <w:szCs w:val="18"/>
                <w:color w:val="auto"/>
                <w:w w:val="99"/>
              </w:rPr>
              <w:t>Total fixed maturity securities, available-</w:t>
            </w: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408,939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143,730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552,669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(56,195)</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for-sale</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460" w:type="dxa"/>
            <w:vAlign w:val="bottom"/>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168"/>
        </w:trPr>
        <w:tc>
          <w:tcPr>
            <w:tcW w:w="3460" w:type="dxa"/>
            <w:vAlign w:val="bottom"/>
          </w:tcPr>
          <w:p>
            <w:pPr>
              <w:ind w:left="240"/>
              <w:spacing w:after="0" w:line="168" w:lineRule="exact"/>
              <w:rPr>
                <w:sz w:val="20"/>
                <w:szCs w:val="20"/>
                <w:color w:val="auto"/>
              </w:rPr>
            </w:pPr>
            <w:r>
              <w:rPr>
                <w:rFonts w:ascii="Arial" w:cs="Arial" w:eastAsia="Arial" w:hAnsi="Arial"/>
                <w:sz w:val="18"/>
                <w:szCs w:val="18"/>
                <w:color w:val="auto"/>
              </w:rPr>
              <w:t>Total fixed maturity securities, held-to-</w:t>
            </w: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46,771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maturity:</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599,440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regularly monitors its available-for-sale fixed maturity securities that have fair values less than cost or amortized cost for signs of impairment, an assessment that requires significant management judgment regarding the evidence known. Such judgments could change in the future as more information becomes known, which could negatively impact the amounts reported. Among the factors that management considers for fixed maturity securities are the financial condition of the issuer including receipt of scheduled principal and interest cash flows, and intent to sell, including if it is more likely than not that the Company will be required to sell the investments before recovery.</w:t>
      </w:r>
    </w:p>
    <w:p>
      <w:pPr>
        <w:spacing w:after="0" w:line="6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March 31, 2023, the Company had 551 lots of fixed maturity securities in an unrealized loss position. The Company does not have an intent to sell these securities and it is not more likely than not that the Company will be required to sell these securities before maturity or recovery of its cost basis. The Company determined that no credit impairment existed in the gross unrealized holding losses because the credit ratings of these securities were consistent with the credit ratings when purchased and/or at origination, there were no adverse changes in financial condition of the issuer and no adverse credit quality events in underlying assets. The Company attributed the unrealized losses to the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net investment gains (losses) for the three months ended March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realized gains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r>
      <w:tr>
        <w:trPr>
          <w:trHeight w:val="24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Gross realized losses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(4,289)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(654)</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(4,527)</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unrealized gains (losses) on investments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3,745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(5,369)</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Mortgage loans</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Net investment gains (losses)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proceeds from sales of available-for-sale fixed maturity securities and equity securities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 sale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8,392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r>
      <w:tr>
        <w:trPr>
          <w:trHeight w:val="234"/>
        </w:trPr>
        <w:tc>
          <w:tcPr>
            <w:tcW w:w="804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13,325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11,966</w:t>
            </w:r>
          </w:p>
        </w:tc>
      </w:tr>
      <w:tr>
        <w:trPr>
          <w:trHeight w:val="49"/>
        </w:trPr>
        <w:tc>
          <w:tcPr>
            <w:tcW w:w="8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net investment income for the three months ended March 31, 2023 and 2022:</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1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9"/>
        </w:trPr>
        <w:tc>
          <w:tcPr>
            <w:tcW w:w="8040" w:type="dxa"/>
            <w:vAlign w:val="bottom"/>
          </w:tcPr>
          <w:p>
            <w:pPr>
              <w:ind w:left="140"/>
              <w:spacing w:after="0"/>
              <w:rPr>
                <w:sz w:val="20"/>
                <w:szCs w:val="20"/>
                <w:color w:val="auto"/>
              </w:rPr>
            </w:pPr>
            <w:r>
              <w:rPr>
                <w:rFonts w:ascii="Arial" w:cs="Arial" w:eastAsia="Arial" w:hAnsi="Arial"/>
                <w:sz w:val="18"/>
                <w:szCs w:val="18"/>
                <w:color w:val="auto"/>
              </w:rPr>
              <w:t>Fixed maturity securities, available-for sale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6,676</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3,224</w:t>
            </w:r>
          </w:p>
        </w:tc>
      </w:tr>
      <w:tr>
        <w:trPr>
          <w:trHeight w:val="234"/>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maturity securities, held-to-maturity</w:t>
            </w: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Equity securities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726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738</w:t>
            </w:r>
          </w:p>
        </w:tc>
      </w:tr>
      <w:tr>
        <w:trPr>
          <w:trHeight w:val="24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Mortgage loans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Indirect loans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39"/>
        </w:trPr>
        <w:tc>
          <w:tcPr>
            <w:tcW w:w="8040" w:type="dxa"/>
            <w:vAlign w:val="bottom"/>
          </w:tcPr>
          <w:p>
            <w:pPr>
              <w:ind w:left="140"/>
              <w:spacing w:after="0"/>
              <w:rPr>
                <w:sz w:val="20"/>
                <w:szCs w:val="20"/>
                <w:color w:val="auto"/>
              </w:rPr>
            </w:pPr>
            <w:r>
              <w:rPr>
                <w:rFonts w:ascii="Arial" w:cs="Arial" w:eastAsia="Arial" w:hAnsi="Arial"/>
                <w:sz w:val="18"/>
                <w:szCs w:val="18"/>
                <w:color w:val="auto"/>
              </w:rPr>
              <w:t>Short-term investments and cash</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4"/>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Total investment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5,664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17,618</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expenses</w:t>
            </w: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Net investment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4,646</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15,149</w:t>
            </w: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change in net unrealized gains (losses) on the Company’s investment portfolio, net of deferred income taxes, included in other comprehensive income (loss) for the three months ended March 31,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b w:val="1"/>
                <w:bCs w:val="1"/>
                <w:color w:val="auto"/>
                <w:w w:val="93"/>
              </w:rPr>
              <w:t>9,786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550"/>
              <w:spacing w:after="0"/>
              <w:rPr>
                <w:sz w:val="20"/>
                <w:szCs w:val="20"/>
                <w:color w:val="auto"/>
              </w:rPr>
            </w:pPr>
            <w:r>
              <w:rPr>
                <w:rFonts w:ascii="Arial" w:cs="Arial" w:eastAsia="Arial" w:hAnsi="Arial"/>
                <w:sz w:val="18"/>
                <w:szCs w:val="18"/>
                <w:b w:val="1"/>
                <w:bCs w:val="1"/>
                <w:color w:val="auto"/>
                <w:w w:val="91"/>
              </w:rPr>
              <w:t>(2,045)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4,360</w:t>
            </w:r>
          </w:p>
        </w:tc>
      </w:tr>
      <w:tr>
        <w:trPr>
          <w:trHeight w:val="257"/>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center"/>
              <w:ind w:left="570"/>
              <w:spacing w:after="0"/>
              <w:rPr>
                <w:sz w:val="20"/>
                <w:szCs w:val="20"/>
                <w:color w:val="auto"/>
              </w:rPr>
            </w:pPr>
            <w:r>
              <w:rPr>
                <w:rFonts w:ascii="Arial" w:cs="Arial" w:eastAsia="Arial" w:hAnsi="Arial"/>
                <w:sz w:val="18"/>
                <w:szCs w:val="18"/>
                <w:b w:val="1"/>
                <w:bCs w:val="1"/>
                <w:color w:val="auto"/>
                <w:w w:val="93"/>
              </w:rPr>
              <w:t>7,741</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include assets and liabilities carried at fair value, as well as assets and liabilities carried at cost or amortized cost but disclosed at fair value in its consolidated financial statements. In determining fair value, the market approach is generally applied, which uses prices and other relevant data based on market transactions involving identical or comparable assets and liabilities.</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uses data primarily provided by third-party investment managers or pricing vendors to determine the fair value of its investments. Periodic analyses are performed on prices received from third parties to determine whether the prices are reasonable estimates of fair value. The analyses include a review of month-to-month price fluctuations and, as needed, a comparison of pricing services’ valuations to other pricing services’ valuations for the identical security.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classifies its financial instruments into the following three-level hierarchy:</w:t>
      </w:r>
    </w:p>
    <w:p>
      <w:pPr>
        <w:spacing w:after="0" w:line="117" w:lineRule="exact"/>
        <w:rPr>
          <w:sz w:val="20"/>
          <w:szCs w:val="20"/>
          <w:color w:val="auto"/>
        </w:rPr>
      </w:pPr>
    </w:p>
    <w:p>
      <w:pPr>
        <w:ind w:left="1060" w:right="2600" w:hanging="728"/>
        <w:spacing w:after="0" w:line="277" w:lineRule="auto"/>
        <w:rPr>
          <w:sz w:val="20"/>
          <w:szCs w:val="20"/>
          <w:color w:val="auto"/>
        </w:rPr>
      </w:pPr>
      <w:r>
        <w:rPr>
          <w:rFonts w:ascii="Arial" w:cs="Arial" w:eastAsia="Arial" w:hAnsi="Arial"/>
          <w:sz w:val="18"/>
          <w:szCs w:val="18"/>
          <w:color w:val="auto"/>
        </w:rPr>
        <w:t>Level 1 - Inputs are unadjusted, quoted prices for identical assets or liabilities in active markets at the measurement date.</w:t>
      </w:r>
    </w:p>
    <w:p>
      <w:pPr>
        <w:spacing w:after="0" w:line="62" w:lineRule="exact"/>
        <w:rPr>
          <w:sz w:val="20"/>
          <w:szCs w:val="20"/>
          <w:color w:val="auto"/>
        </w:rPr>
      </w:pPr>
    </w:p>
    <w:p>
      <w:pPr>
        <w:ind w:left="1060" w:right="2560" w:hanging="728"/>
        <w:spacing w:after="0" w:line="277" w:lineRule="auto"/>
        <w:rPr>
          <w:sz w:val="20"/>
          <w:szCs w:val="20"/>
          <w:color w:val="auto"/>
        </w:rPr>
      </w:pPr>
      <w:r>
        <w:rPr>
          <w:rFonts w:ascii="Arial" w:cs="Arial" w:eastAsia="Arial" w:hAnsi="Arial"/>
          <w:sz w:val="18"/>
          <w:szCs w:val="18"/>
          <w:color w:val="auto"/>
        </w:rPr>
        <w:t>Level 2 - Inputs are other than quoted prices included in Level 1 that are observable for the asset or liability through corroboration with market data at the measurement date.</w:t>
      </w:r>
    </w:p>
    <w:p>
      <w:pPr>
        <w:spacing w:after="0" w:line="62" w:lineRule="exact"/>
        <w:rPr>
          <w:sz w:val="20"/>
          <w:szCs w:val="20"/>
          <w:color w:val="auto"/>
        </w:rPr>
      </w:pPr>
    </w:p>
    <w:p>
      <w:pPr>
        <w:ind w:left="1060" w:right="2860" w:hanging="728"/>
        <w:spacing w:after="0" w:line="277" w:lineRule="auto"/>
        <w:rPr>
          <w:sz w:val="20"/>
          <w:szCs w:val="20"/>
          <w:color w:val="auto"/>
        </w:rPr>
      </w:pPr>
      <w:r>
        <w:rPr>
          <w:rFonts w:ascii="Arial" w:cs="Arial" w:eastAsia="Arial" w:hAnsi="Arial"/>
          <w:sz w:val="18"/>
          <w:szCs w:val="18"/>
          <w:color w:val="auto"/>
        </w:rPr>
        <w:t>Level 3 - Unobservable inputs that reflect management’s best estimate of what market participants would use in pricing the asset or liability at the measurement date.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methods and assumptions were used in estimating the fair value disclosures for financial instruments in the accompanying consolidated financial statements and in these notes: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government securities, mutual funds and common stock</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uses unadjusted quoted prices for identical instruments in an active exchange to measure fair value which represent Level 1 inputs.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stocks, municipal securities, corporate securities and miscellaneous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a pricing model that utilizes market-based inputs such as trades in an illiquid market for a particular security or trades in active markets for securities with similar characteristics. The model considers other inputs such as benchmark yields, issuer spreads, security terms and conditions, and other market data. These represent Level 2 fair value inputs.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mortgage-backed securities, residential mortgage-backed securities and asset-backed securities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uses a pricing model that utilizes market-based inputs that may include dealer quotes, market spreads, and yield curves. It may evaluate individual tranches in a security by determining cash flows using the security’s terms and conditions, collateral performance, credit information benchmark yields and estimated prepayments. These represent Level 2 fair value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Mortgage loans have variable interest rates and are collateralized by real property. The Company determines fair value of mortgage loans using the income approach utilizing inputs that are observable and unobservable (Level 3). The unobservable input consists of the spread applied to a prime rate used to discount cash flows. The spread represents the incremental cost of capital based on the borrower’s ability to make future payments and the value of the collateral relative to the loan balance and is subject to judgement and uncertainty.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range and weighted average, weighted by relative fair value, of the spread as of 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380" w:type="dxa"/>
            <w:vAlign w:val="bottom"/>
            <w:tcBorders>
              <w:top w:val="single" w:sz="8" w:color="auto"/>
              <w:bottom w:val="single" w:sz="8" w:color="CCEEFF"/>
            </w:tcBorders>
          </w:tcPr>
          <w:p>
            <w:pPr>
              <w:spacing w:after="0"/>
              <w:rPr>
                <w:sz w:val="21"/>
                <w:szCs w:val="21"/>
                <w:color w:val="auto"/>
              </w:rPr>
            </w:pPr>
          </w:p>
        </w:tc>
        <w:tc>
          <w:tcPr>
            <w:tcW w:w="1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March 31, 2023</w:t>
            </w:r>
          </w:p>
        </w:tc>
      </w:tr>
      <w:tr>
        <w:trPr>
          <w:trHeight w:val="22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High</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9.50 %</w:t>
            </w:r>
          </w:p>
        </w:tc>
      </w:tr>
      <w:tr>
        <w:trPr>
          <w:trHeight w:val="229"/>
        </w:trPr>
        <w:tc>
          <w:tcPr>
            <w:tcW w:w="9380" w:type="dxa"/>
            <w:vAlign w:val="bottom"/>
          </w:tcPr>
          <w:p>
            <w:pPr>
              <w:ind w:left="20"/>
              <w:spacing w:after="0"/>
              <w:rPr>
                <w:sz w:val="20"/>
                <w:szCs w:val="20"/>
                <w:color w:val="auto"/>
              </w:rPr>
            </w:pPr>
            <w:r>
              <w:rPr>
                <w:rFonts w:ascii="Arial" w:cs="Arial" w:eastAsia="Arial" w:hAnsi="Arial"/>
                <w:sz w:val="18"/>
                <w:szCs w:val="18"/>
                <w:color w:val="auto"/>
              </w:rPr>
              <w:t>Low</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2.05 %</w:t>
            </w:r>
          </w:p>
        </w:tc>
      </w:tr>
      <w:tr>
        <w:trPr>
          <w:trHeight w:val="243"/>
        </w:trPr>
        <w:tc>
          <w:tcPr>
            <w:tcW w:w="9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5.85 %</w:t>
            </w:r>
          </w:p>
        </w:tc>
      </w:tr>
      <w:tr>
        <w:trPr>
          <w:trHeight w:val="40"/>
        </w:trPr>
        <w:tc>
          <w:tcPr>
            <w:tcW w:w="938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Company’s investments within the fair value hierarchy at March 31,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March 31, 2023</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31"/>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15"/>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9"/>
        </w:trPr>
        <w:tc>
          <w:tcPr>
            <w:tcW w:w="5040" w:type="dxa"/>
            <w:vAlign w:val="bottom"/>
          </w:tcPr>
          <w:p>
            <w:pPr>
              <w:ind w:left="140"/>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44,918</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44,918</w:t>
            </w:r>
          </w:p>
        </w:tc>
      </w:tr>
      <w:tr>
        <w:trPr>
          <w:trHeight w:val="234"/>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262,434</w:t>
            </w: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67,339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67,339</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133,890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133,890</w:t>
            </w: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52,182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52,182</w:t>
            </w:r>
          </w:p>
        </w:tc>
      </w:tr>
      <w:tr>
        <w:trPr>
          <w:trHeight w:val="230"/>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112,374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112,374</w:t>
            </w:r>
          </w:p>
        </w:tc>
      </w:tr>
      <w:tr>
        <w:trPr>
          <w:trHeight w:val="23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44,918</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628,219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673,137</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44,492</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held-to-maturity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44,492</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44,492</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discretionary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1,965</w:t>
            </w:r>
          </w:p>
        </w:tc>
      </w:tr>
      <w:tr>
        <w:trPr>
          <w:trHeight w:val="239"/>
        </w:trPr>
        <w:tc>
          <w:tcPr>
            <w:tcW w:w="5040" w:type="dxa"/>
            <w:vAlign w:val="bottom"/>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13,116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13,116</w:t>
            </w:r>
          </w:p>
        </w:tc>
      </w:tr>
      <w:tr>
        <w:trPr>
          <w:trHeight w:val="234"/>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2,947</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19,088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19,088</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11,244</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2,912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2,912</w:t>
            </w: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3,253</w:t>
            </w:r>
          </w:p>
        </w:tc>
      </w:tr>
      <w:tr>
        <w:trPr>
          <w:trHeight w:val="24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2,292</w:t>
            </w:r>
          </w:p>
        </w:tc>
      </w:tr>
      <w:tr>
        <w:trPr>
          <w:trHeight w:val="223"/>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56,817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56,817</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Preferred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r>
      <w:tr>
        <w:trPr>
          <w:trHeight w:val="239"/>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3,979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3,979</w:t>
            </w:r>
          </w:p>
        </w:tc>
      </w:tr>
      <w:tr>
        <w:trPr>
          <w:trHeight w:val="234"/>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w:t>
            </w:r>
          </w:p>
        </w:tc>
      </w:tr>
      <w:tr>
        <w:trPr>
          <w:trHeight w:val="23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preferred stocks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6,322</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6,322</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5,191</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51,615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51,615</w:t>
            </w:r>
          </w:p>
        </w:tc>
      </w:tr>
      <w:tr>
        <w:trPr>
          <w:trHeight w:val="230"/>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520</w:t>
            </w:r>
          </w:p>
        </w:tc>
      </w:tr>
      <w:tr>
        <w:trPr>
          <w:trHeight w:val="236"/>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mutual funds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57,326</w:t>
            </w:r>
          </w:p>
        </w:tc>
      </w:tr>
      <w:tr>
        <w:trPr>
          <w:trHeight w:val="223"/>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114,143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120,465</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42,335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42,335</w:t>
            </w:r>
          </w:p>
        </w:tc>
      </w:tr>
      <w:tr>
        <w:trPr>
          <w:trHeight w:val="23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287,351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287,351</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446,412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634,541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1,167,780</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December 31, 2022</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spacing w:after="0"/>
              <w:rPr>
                <w:sz w:val="21"/>
                <w:szCs w:val="2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Level 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available-for-sale: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U.S. government securities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48,541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48,541</w:t>
            </w:r>
          </w:p>
        </w:tc>
      </w:tr>
      <w:tr>
        <w:trPr>
          <w:trHeight w:val="23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securities and miscellaneous</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235,129</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Municipal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57,727</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119,856</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36,495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36,495</w:t>
            </w:r>
          </w:p>
        </w:tc>
      </w:tr>
      <w:tr>
        <w:trPr>
          <w:trHeight w:val="229"/>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109,824</w:t>
            </w:r>
          </w:p>
        </w:tc>
      </w:tr>
      <w:tr>
        <w:trPr>
          <w:trHeight w:val="23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fixed maturity securities, available-for-sale</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48,541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559,031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607,572</w:t>
            </w:r>
          </w:p>
        </w:tc>
      </w:tr>
      <w:tr>
        <w:trPr>
          <w:trHeight w:val="22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maturity securities, held-to-maturity: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Asset-backed securities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46,771</w:t>
            </w:r>
          </w:p>
        </w:tc>
      </w:tr>
      <w:tr>
        <w:trPr>
          <w:trHeight w:val="223"/>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fixed maturity securities, held-to-maturity: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46,771</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Common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discretionary</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w:t>
            </w: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12,036</w:t>
            </w:r>
          </w:p>
        </w:tc>
      </w:tr>
      <w:tr>
        <w:trPr>
          <w:trHeight w:val="23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22,636</w:t>
            </w: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r>
      <w:tr>
        <w:trPr>
          <w:trHeight w:val="229"/>
        </w:trPr>
        <w:tc>
          <w:tcPr>
            <w:tcW w:w="5040" w:type="dxa"/>
            <w:vAlign w:val="bottom"/>
          </w:tcPr>
          <w:p>
            <w:pPr>
              <w:ind w:left="140"/>
              <w:spacing w:after="0"/>
              <w:rPr>
                <w:sz w:val="20"/>
                <w:szCs w:val="20"/>
                <w:color w:val="auto"/>
              </w:rPr>
            </w:pPr>
            <w:r>
              <w:rPr>
                <w:rFonts w:ascii="Arial" w:cs="Arial" w:eastAsia="Arial" w:hAnsi="Arial"/>
                <w:sz w:val="18"/>
                <w:szCs w:val="18"/>
                <w:color w:val="auto"/>
              </w:rPr>
              <w:t>Information technology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2,284</w:t>
            </w: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r>
      <w:tr>
        <w:trPr>
          <w:trHeight w:val="243"/>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r>
      <w:tr>
        <w:trPr>
          <w:trHeight w:val="223"/>
        </w:trPr>
        <w:tc>
          <w:tcPr>
            <w:tcW w:w="50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common stocks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55,996</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Preferred stocks: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staples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5040" w:type="dxa"/>
            <w:vAlign w:val="bottom"/>
          </w:tcPr>
          <w:p>
            <w:pPr>
              <w:ind w:left="140"/>
              <w:spacing w:after="0"/>
              <w:rPr>
                <w:sz w:val="20"/>
                <w:szCs w:val="20"/>
                <w:color w:val="auto"/>
              </w:rPr>
            </w:pPr>
            <w:r>
              <w:rPr>
                <w:rFonts w:ascii="Arial" w:cs="Arial" w:eastAsia="Arial" w:hAnsi="Arial"/>
                <w:sz w:val="18"/>
                <w:szCs w:val="18"/>
                <w:color w:val="auto"/>
              </w:rPr>
              <w:t>Finance</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7,085</w:t>
            </w:r>
          </w:p>
        </w:tc>
      </w:tr>
      <w:tr>
        <w:trPr>
          <w:trHeight w:val="23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37"/>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preferred stocks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r>
      <w:tr>
        <w:trPr>
          <w:trHeight w:val="210"/>
        </w:trPr>
        <w:tc>
          <w:tcPr>
            <w:tcW w:w="504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3"/>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Fixed income</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5,068</w:t>
            </w: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Equity</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49,773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49,773</w:t>
            </w:r>
          </w:p>
        </w:tc>
      </w:tr>
      <w:tr>
        <w:trPr>
          <w:trHeight w:val="229"/>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7"/>
        </w:trPr>
        <w:tc>
          <w:tcPr>
            <w:tcW w:w="5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mutual funds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55,402</w:t>
            </w:r>
          </w:p>
        </w:tc>
      </w:tr>
      <w:tr>
        <w:trPr>
          <w:trHeight w:val="223"/>
        </w:trPr>
        <w:tc>
          <w:tcPr>
            <w:tcW w:w="50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equity securities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120,169</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52,842</w:t>
            </w:r>
          </w:p>
        </w:tc>
      </w:tr>
      <w:tr>
        <w:trPr>
          <w:trHeight w:val="23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121,158</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Total investments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281,097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567,802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948,512</w:t>
            </w: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changes in the fair value of instruments carried at fair value with a Level 3 measurement during the three months ended March 31,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Mortgage Loans</w:t>
            </w:r>
          </w:p>
        </w:tc>
        <w:tc>
          <w:tcPr>
            <w:tcW w:w="0" w:type="dxa"/>
            <w:vAlign w:val="bottom"/>
          </w:tcPr>
          <w:p>
            <w:pPr>
              <w:spacing w:after="0"/>
              <w:rPr>
                <w:sz w:val="1"/>
                <w:szCs w:val="1"/>
                <w:color w:val="auto"/>
              </w:rPr>
            </w:pPr>
          </w:p>
        </w:tc>
      </w:tr>
      <w:tr>
        <w:trPr>
          <w:trHeight w:val="237"/>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52,842</w:t>
            </w:r>
          </w:p>
        </w:tc>
        <w:tc>
          <w:tcPr>
            <w:tcW w:w="0" w:type="dxa"/>
            <w:vAlign w:val="bottom"/>
          </w:tcPr>
          <w:p>
            <w:pPr>
              <w:spacing w:after="0"/>
              <w:rPr>
                <w:sz w:val="1"/>
                <w:szCs w:val="1"/>
                <w:color w:val="auto"/>
              </w:rPr>
            </w:pPr>
          </w:p>
        </w:tc>
      </w:tr>
      <w:tr>
        <w:trPr>
          <w:trHeight w:val="229"/>
        </w:trPr>
        <w:tc>
          <w:tcPr>
            <w:tcW w:w="9460" w:type="dxa"/>
            <w:vAlign w:val="bottom"/>
          </w:tcPr>
          <w:p>
            <w:pPr>
              <w:ind w:left="20"/>
              <w:spacing w:after="0"/>
              <w:rPr>
                <w:sz w:val="20"/>
                <w:szCs w:val="20"/>
                <w:color w:val="auto"/>
              </w:rPr>
            </w:pPr>
            <w:r>
              <w:rPr>
                <w:rFonts w:ascii="Arial" w:cs="Arial" w:eastAsia="Arial" w:hAnsi="Arial"/>
                <w:sz w:val="18"/>
                <w:szCs w:val="18"/>
                <w:color w:val="auto"/>
              </w:rPr>
              <w:t>Total gains for the period recognized in net investment gains (losses)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0" w:type="dxa"/>
            <w:vAlign w:val="bottom"/>
          </w:tcPr>
          <w:p>
            <w:pPr>
              <w:spacing w:after="0"/>
              <w:rPr>
                <w:sz w:val="1"/>
                <w:szCs w:val="1"/>
                <w:color w:val="auto"/>
              </w:rPr>
            </w:pPr>
          </w:p>
        </w:tc>
      </w:tr>
      <w:tr>
        <w:trPr>
          <w:trHeight w:val="243"/>
        </w:trPr>
        <w:tc>
          <w:tcPr>
            <w:tcW w:w="9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2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(11,421)</w:t>
            </w:r>
          </w:p>
        </w:tc>
        <w:tc>
          <w:tcPr>
            <w:tcW w:w="0" w:type="dxa"/>
            <w:vAlign w:val="bottom"/>
          </w:tcPr>
          <w:p>
            <w:pPr>
              <w:spacing w:after="0"/>
              <w:rPr>
                <w:sz w:val="1"/>
                <w:szCs w:val="1"/>
                <w:color w:val="auto"/>
              </w:rPr>
            </w:pPr>
          </w:p>
        </w:tc>
      </w:tr>
      <w:tr>
        <w:trPr>
          <w:trHeight w:val="248"/>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42,335</w:t>
            </w:r>
          </w:p>
        </w:tc>
        <w:tc>
          <w:tcPr>
            <w:tcW w:w="0" w:type="dxa"/>
            <w:vAlign w:val="bottom"/>
          </w:tcPr>
          <w:p>
            <w:pPr>
              <w:spacing w:after="0"/>
              <w:rPr>
                <w:sz w:val="1"/>
                <w:szCs w:val="1"/>
                <w:color w:val="auto"/>
              </w:rPr>
            </w:pPr>
          </w:p>
        </w:tc>
      </w:tr>
      <w:tr>
        <w:trPr>
          <w:trHeight w:val="20"/>
        </w:trPr>
        <w:tc>
          <w:tcPr>
            <w:tcW w:w="94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4"/>
              </w:rPr>
              <w:t>Total losses for the period recognized in net investment gains (losses) attributable to the change in unrealized gains or losses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9460" w:type="dxa"/>
            <w:vAlign w:val="bottom"/>
            <w:vMerge w:val="continue"/>
          </w:tcPr>
          <w:p>
            <w:pPr>
              <w:spacing w:after="0"/>
              <w:rPr>
                <w:sz w:val="10"/>
                <w:szCs w:val="10"/>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21"/>
        </w:trPr>
        <w:tc>
          <w:tcPr>
            <w:tcW w:w="9460" w:type="dxa"/>
            <w:vAlign w:val="bottom"/>
          </w:tcPr>
          <w:p>
            <w:pPr>
              <w:ind w:left="20"/>
              <w:spacing w:after="0"/>
              <w:rPr>
                <w:sz w:val="20"/>
                <w:szCs w:val="20"/>
                <w:color w:val="auto"/>
              </w:rPr>
            </w:pPr>
            <w:r>
              <w:rPr>
                <w:rFonts w:ascii="Arial" w:cs="Arial" w:eastAsia="Arial" w:hAnsi="Arial"/>
                <w:sz w:val="18"/>
                <w:szCs w:val="18"/>
                <w:color w:val="auto"/>
              </w:rPr>
              <w:t>relating to assets held as of period end</w:t>
            </w:r>
          </w:p>
        </w:tc>
        <w:tc>
          <w:tcPr>
            <w:tcW w:w="20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measures certain assets, including investments in indirect loans and loan collateral, equity method investments and other invested assets, at fair value on a nonrecurring basis only when they are deemed to be impaired.</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to the preceding disclosures on assets and liabilities recorded at fair value in the consolidated balance sheets, the Company is also required to disclose the fair values of certain other financial instruments for which it is practicable to estimate fair value. Estimated fair value amounts, defined as the quoted market price of a financial instrument, have been determined using available market information and other appropriate valuation methodologies. However, considerable judgements are required in developing the estimates of fair value where quoted market prices are not available. Accordingly, these estimates are not necessarily indicative of the amounts that could be realized in a current market exchange. The use of different market assumptions or estimating methodologies may have an effect on the estimated fair value amounts.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in estimating the fair value disclosures of other financial instruments: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Fixed maturity securities, held-to-maturity: </w:t>
      </w:r>
      <w:r>
        <w:rPr>
          <w:rFonts w:ascii="Arial" w:cs="Arial" w:eastAsia="Arial" w:hAnsi="Arial"/>
          <w:sz w:val="16"/>
          <w:szCs w:val="16"/>
          <w:color w:val="auto"/>
        </w:rPr>
        <w:t>Fixed maturity securities, held-to-maturity consists of senior and junior notes with target rates of return. As</w:t>
      </w:r>
      <w:r>
        <w:rPr>
          <w:rFonts w:ascii="Arial" w:cs="Arial" w:eastAsia="Arial" w:hAnsi="Arial"/>
          <w:sz w:val="16"/>
          <w:szCs w:val="16"/>
          <w:i w:val="1"/>
          <w:iCs w:val="1"/>
          <w:color w:val="auto"/>
        </w:rPr>
        <w:t xml:space="preserve"> </w:t>
      </w:r>
      <w:r>
        <w:rPr>
          <w:rFonts w:ascii="Arial" w:cs="Arial" w:eastAsia="Arial" w:hAnsi="Arial"/>
          <w:sz w:val="16"/>
          <w:szCs w:val="16"/>
          <w:color w:val="auto"/>
        </w:rPr>
        <w:t>of March 31, 2023, the Company determined the fair value of these instruments using the income approach utilizing inputs that are unobservable (Level 3).</w:t>
      </w:r>
    </w:p>
    <w:p>
      <w:pPr>
        <w:spacing w:after="0" w:line="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Notes payable: </w:t>
      </w:r>
      <w:r>
        <w:rPr>
          <w:rFonts w:ascii="Arial" w:cs="Arial" w:eastAsia="Arial" w:hAnsi="Arial"/>
          <w:sz w:val="17"/>
          <w:szCs w:val="17"/>
          <w:color w:val="auto"/>
        </w:rPr>
        <w:t>The carrying value approximates the estimated fair value for notes payable as the notes payable accrue interest at current market rates</w:t>
      </w:r>
      <w:r>
        <w:rPr>
          <w:rFonts w:ascii="Arial" w:cs="Arial" w:eastAsia="Arial" w:hAnsi="Arial"/>
          <w:sz w:val="17"/>
          <w:szCs w:val="17"/>
          <w:i w:val="1"/>
          <w:iCs w:val="1"/>
          <w:color w:val="auto"/>
        </w:rPr>
        <w:t xml:space="preserve"> </w:t>
      </w:r>
      <w:r>
        <w:rPr>
          <w:rFonts w:ascii="Arial" w:cs="Arial" w:eastAsia="Arial" w:hAnsi="Arial"/>
          <w:sz w:val="17"/>
          <w:szCs w:val="17"/>
          <w:color w:val="auto"/>
        </w:rPr>
        <w:t>plus a spread. The Company determines fair value using the income approach utilizing inputs that are available (Level 2).</w:t>
      </w:r>
    </w:p>
    <w:p>
      <w:pPr>
        <w:spacing w:after="0" w:line="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Subordinated debt: </w:t>
      </w:r>
      <w:r>
        <w:rPr>
          <w:rFonts w:ascii="Arial" w:cs="Arial" w:eastAsia="Arial" w:hAnsi="Arial"/>
          <w:sz w:val="17"/>
          <w:szCs w:val="17"/>
          <w:color w:val="auto"/>
        </w:rPr>
        <w:t>Subordinated debt consists of two debt instruments, the Junior Subordinated Interest Debentures, due September 15, 2036, and</w:t>
      </w:r>
      <w:r>
        <w:rPr>
          <w:rFonts w:ascii="Arial" w:cs="Arial" w:eastAsia="Arial" w:hAnsi="Arial"/>
          <w:sz w:val="17"/>
          <w:szCs w:val="17"/>
          <w:i w:val="1"/>
          <w:iCs w:val="1"/>
          <w:color w:val="auto"/>
        </w:rPr>
        <w:t xml:space="preserve"> </w:t>
      </w:r>
      <w:r>
        <w:rPr>
          <w:rFonts w:ascii="Arial" w:cs="Arial" w:eastAsia="Arial" w:hAnsi="Arial"/>
          <w:sz w:val="17"/>
          <w:szCs w:val="17"/>
          <w:color w:val="auto"/>
        </w:rPr>
        <w:t>Unsecured Subordinated Notes, due May 24, 2039. The carrying value of the Junior Subordinated Interest Debentures approximates the estimated fair value as the instrument accrues interest at current market rates plus a spread. Unsecured Subordinated Notes have a fixed interest rate. The Company determines the fair value of these instruments using the income approach utilizing inputs that are observable (Level 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Measurements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Company’s carrying and fair values of notes payable and subordinated debt as of March 31,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2800" w:type="dxa"/>
            <w:vAlign w:val="bottom"/>
            <w:tcBorders>
              <w:top w:val="single" w:sz="8" w:color="auto"/>
              <w:bottom w:val="single" w:sz="8" w:color="auto"/>
            </w:tcBorders>
            <w:gridSpan w:val="4"/>
          </w:tcPr>
          <w:p>
            <w:pPr>
              <w:jc w:val="right"/>
              <w:ind w:right="830"/>
              <w:spacing w:after="0"/>
              <w:rPr>
                <w:sz w:val="20"/>
                <w:szCs w:val="20"/>
                <w:color w:val="auto"/>
              </w:rPr>
            </w:pPr>
            <w:r>
              <w:rPr>
                <w:rFonts w:ascii="Arial" w:cs="Arial" w:eastAsia="Arial" w:hAnsi="Arial"/>
                <w:sz w:val="18"/>
                <w:szCs w:val="18"/>
                <w:b w:val="1"/>
                <w:bCs w:val="1"/>
                <w:color w:val="auto"/>
              </w:rPr>
              <w:t>March 31, 2023</w:t>
            </w: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710"/>
              <w:spacing w:after="0"/>
              <w:rPr>
                <w:sz w:val="20"/>
                <w:szCs w:val="20"/>
                <w:color w:val="auto"/>
              </w:rPr>
            </w:pPr>
            <w:r>
              <w:rPr>
                <w:rFonts w:ascii="Arial" w:cs="Arial" w:eastAsia="Arial" w:hAnsi="Arial"/>
                <w:sz w:val="18"/>
                <w:szCs w:val="18"/>
                <w:color w:val="auto"/>
              </w:rPr>
              <w:t>December 31, 2022</w:t>
            </w:r>
          </w:p>
        </w:tc>
      </w:tr>
      <w:tr>
        <w:trPr>
          <w:trHeight w:val="178"/>
        </w:trPr>
        <w:tc>
          <w:tcPr>
            <w:tcW w:w="5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290"/>
              <w:spacing w:after="0" w:line="177"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90"/>
              <w:spacing w:after="0" w:line="177"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ind w:right="330"/>
              <w:spacing w:after="0" w:line="177" w:lineRule="exact"/>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490"/>
              <w:spacing w:after="0" w:line="177" w:lineRule="exact"/>
              <w:rPr>
                <w:sz w:val="20"/>
                <w:szCs w:val="20"/>
                <w:color w:val="auto"/>
              </w:rPr>
            </w:pPr>
            <w:r>
              <w:rPr>
                <w:rFonts w:ascii="Arial" w:cs="Arial" w:eastAsia="Arial" w:hAnsi="Arial"/>
                <w:sz w:val="18"/>
                <w:szCs w:val="18"/>
                <w:color w:val="auto"/>
              </w:rPr>
              <w:t>Fair</w:t>
            </w:r>
          </w:p>
        </w:tc>
      </w:tr>
      <w:tr>
        <w:trPr>
          <w:trHeight w:val="234"/>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Value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Term loan, due December 31, 2024</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5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80" w:type="dxa"/>
            <w:vAlign w:val="bottom"/>
          </w:tcPr>
          <w:p>
            <w:pPr>
              <w:ind w:left="240"/>
              <w:spacing w:after="0"/>
              <w:rPr>
                <w:sz w:val="20"/>
                <w:szCs w:val="20"/>
                <w:color w:val="auto"/>
              </w:rPr>
            </w:pPr>
            <w:r>
              <w:rPr>
                <w:rFonts w:ascii="Arial" w:cs="Arial" w:eastAsia="Arial" w:hAnsi="Arial"/>
                <w:sz w:val="18"/>
                <w:szCs w:val="18"/>
                <w:color w:val="auto"/>
              </w:rPr>
              <w:t>Notes payable</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50,000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Subordinated Debt</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Junior subordinated interest debentures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59,149</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59,794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59,137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59,794</w:t>
            </w:r>
          </w:p>
        </w:tc>
      </w:tr>
      <w:tr>
        <w:trPr>
          <w:trHeight w:val="243"/>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Unsecured subordinated notes</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19,480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18,622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18,934</w:t>
            </w: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Subordinated debt, net of debt issuance costs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78,629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78,609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78,728</w:t>
            </w:r>
          </w:p>
        </w:tc>
      </w:tr>
      <w:tr>
        <w:trPr>
          <w:trHeight w:val="21"/>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financial instruments qualify as insurance-related products and are specifically exempted from fair value disclosure requirements.</w:t>
      </w:r>
    </w:p>
    <w:p>
      <w:pPr>
        <w:spacing w:after="0" w:line="11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invested in Separately Managed Accounts (“SMA1” and “SMA2”), managed by Arena Investors, LP (“Arena”), which is affiliated with The Westaim Corporation (“Westaim”) who, directly and through Westaim HIIG LP (a limited partnership controlled by Westaim), is the Company’s largest shareholder. As of March 31, 2023 and December 31, 2022, the Company held direct investments in mortgage loans from various creditors through SMA1 and SMA2.</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Company’s mortgage loan portfolios are primarily senior loans on real estate across the U.S. The loans earn interest at a fixed rate above a prime rate, mature in approximately 1 to 2 years from loan origination and the principal amounts of the loans range between 40% to 80% property’s appraised value at the time the loans were made. Mortgage loan participations are carried at cost adjusted for unamortized premiums, discounts, and loan fees.</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mortgage loans as of March 31,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Borders>
              <w:top w:val="single" w:sz="8" w:color="auto"/>
              <w:bottom w:val="single" w:sz="8" w:color="CCEEFF"/>
            </w:tcBorders>
          </w:tcPr>
          <w:p>
            <w:pPr>
              <w:spacing w:after="0"/>
              <w:rPr>
                <w:sz w:val="21"/>
                <w:szCs w:val="21"/>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16,516</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6,329</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16,086</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15,309</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Multi-family</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2,596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r>
      <w:tr>
        <w:trPr>
          <w:trHeight w:val="24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Hospitality</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w:t>
            </w: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51,859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gross investment income for mortgage loans for the three months ended March 31, 2023 and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Commercial</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494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Multi-family</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Office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Hospitality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2"/>
        </w:trPr>
        <w:tc>
          <w:tcPr>
            <w:tcW w:w="80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1,473</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818</w:t>
            </w:r>
          </w:p>
        </w:tc>
      </w:tr>
      <w:tr>
        <w:trPr>
          <w:trHeight w:val="25"/>
        </w:trPr>
        <w:tc>
          <w:tcPr>
            <w:tcW w:w="804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2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uncollectible amounts on loans, on an individual loan basis, are determined based upon consultations and advice from the Company’s specialized investment manager and consideration of any adverse situations that could affect the borrower’s ability to repay, the estimated value of underlying collateral, and other relevant factors. The Company writes off the uncollectible amount in the period it was determined to be uncollectible. There was no write-off for uncollectible amounts during the three months ended March 31, 2023 and 2022.</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and December 31, 2022, approximately $0.0 million and $6.4 million of mortgage loans, respectively, were in the process of foreclosure. The carrying value of the mortgage loans in foreclosure is the lower of cost adjusted for unamortized premiums, discounts, and loan fees or the fair value of the collateral less costs to sell.</w:t>
      </w:r>
    </w:p>
    <w:p>
      <w:pPr>
        <w:spacing w:after="0" w:line="7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Long-Term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ownership interests in most of its equity method investments range from approximately 3% to less than 50% where the Company has significant influence but not control.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of the Company’s equity method investments as of March 31,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Borders>
              <w:top w:val="single" w:sz="8" w:color="auto"/>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SOP LP units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6,683</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Arena Special Opportunities Fund, LP units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42,701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44,504</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Brewer Lane Ventures Fund II LP units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Dowling Capital Partners LP units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2,231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1,965</w:t>
            </w: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Hudson Ventures Fund 2 LP units</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3,391</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JVM Funds LLC units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21,698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22,473</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RISCOM</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4,118</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Universa Black Swan LP units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81,982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Long-Term Investments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net investment (loss) income from equity method investments for the three months ended March 31,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Arena SOP LP units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6,117</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Arena Special Opportunities Fund, LP units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(1,730)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2,804</w:t>
            </w:r>
          </w:p>
        </w:tc>
      </w:tr>
      <w:tr>
        <w:trPr>
          <w:trHeight w:val="24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Dowling Capital Partners LP units</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Hudson Ventures Fund 2 LP units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JVM Funds LLC</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39"/>
        </w:trPr>
        <w:tc>
          <w:tcPr>
            <w:tcW w:w="8040" w:type="dxa"/>
            <w:vAlign w:val="bottom"/>
          </w:tcPr>
          <w:p>
            <w:pPr>
              <w:ind w:left="20"/>
              <w:spacing w:after="0"/>
              <w:rPr>
                <w:sz w:val="20"/>
                <w:szCs w:val="20"/>
                <w:color w:val="auto"/>
              </w:rPr>
            </w:pPr>
            <w:r>
              <w:rPr>
                <w:rFonts w:ascii="Arial" w:cs="Arial" w:eastAsia="Arial" w:hAnsi="Arial"/>
                <w:sz w:val="18"/>
                <w:szCs w:val="18"/>
                <w:color w:val="auto"/>
              </w:rPr>
              <w:t>RISCOM</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4"/>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Universa Black Swan LP units</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23"/>
        </w:trPr>
        <w:tc>
          <w:tcPr>
            <w:tcW w:w="80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(4,664)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9,210</w:t>
            </w:r>
          </w:p>
        </w:tc>
      </w:tr>
      <w:tr>
        <w:trPr>
          <w:trHeight w:val="21"/>
        </w:trPr>
        <w:tc>
          <w:tcPr>
            <w:tcW w:w="8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unfunded commitment of equity method investments as of March 31,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31, 2023</w:t>
            </w:r>
          </w:p>
        </w:tc>
        <w:tc>
          <w:tcPr>
            <w:tcW w:w="100" w:type="dxa"/>
            <w:vAlign w:val="bottom"/>
            <w:tcBorders>
              <w:top w:val="single" w:sz="8" w:color="auto"/>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Brewer Lane Ventures Fund II LP units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w:t>
            </w: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Dowling Capital Partners LP units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w:t>
            </w: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Hudson Ventures Fund 2 LP units</w:t>
            </w: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1,701</w:t>
            </w:r>
          </w:p>
        </w:tc>
        <w:tc>
          <w:tcPr>
            <w:tcW w:w="10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3"/>
        </w:trPr>
        <w:tc>
          <w:tcPr>
            <w:tcW w:w="80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6,697</w:t>
            </w: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6,982</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difference between the cost of an investment and its proportionate share of the underlying equity in net assets is allocated to the various assets and liabilities of the equity method investment. The Company amortizes the difference in net assets over the same useful life of a similar asset as the underlying equity method investment. For investment in RISCOM, a similar asset would be agent relationships. The Company amortizes this difference over a 15-year useful life.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Company’s recorded investment in RISCOM compared to its share of underlying equity as of March 31,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March 31, 2023</w:t>
            </w:r>
          </w:p>
        </w:tc>
        <w:tc>
          <w:tcPr>
            <w:tcW w:w="80" w:type="dxa"/>
            <w:vAlign w:val="bottom"/>
            <w:tcBorders>
              <w:top w:val="single" w:sz="8" w:color="auto"/>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December 31, 2022</w:t>
            </w: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RISCOM:</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Underlying equity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2,434</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Difference</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1,684</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r>
      <w:tr>
        <w:trPr>
          <w:trHeight w:val="237"/>
        </w:trPr>
        <w:tc>
          <w:tcPr>
            <w:tcW w:w="8040" w:type="dxa"/>
            <w:vAlign w:val="bottom"/>
          </w:tcPr>
          <w:p>
            <w:pPr>
              <w:ind w:left="240"/>
              <w:spacing w:after="0"/>
              <w:rPr>
                <w:sz w:val="20"/>
                <w:szCs w:val="20"/>
                <w:color w:val="auto"/>
              </w:rPr>
            </w:pPr>
            <w:r>
              <w:rPr>
                <w:rFonts w:ascii="Arial" w:cs="Arial" w:eastAsia="Arial" w:hAnsi="Arial"/>
                <w:sz w:val="18"/>
                <w:szCs w:val="18"/>
                <w:color w:val="auto"/>
              </w:rPr>
              <w:t>Recorded investment balance</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4,118</w:t>
            </w:r>
          </w:p>
        </w:tc>
        <w:tc>
          <w:tcPr>
            <w:tcW w:w="6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4,037</w:t>
            </w:r>
          </w:p>
        </w:tc>
      </w:tr>
      <w:tr>
        <w:trPr>
          <w:trHeight w:val="20"/>
        </w:trPr>
        <w:tc>
          <w:tcPr>
            <w:tcW w:w="8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recorded investment in JVM Funds LLC compared to its share of underlying equity as of March 31,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Borders>
              <w:top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JVM Funds LLC:</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Underlying equity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20,828</w:t>
            </w:r>
          </w:p>
        </w:tc>
        <w:tc>
          <w:tcPr>
            <w:tcW w:w="64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21,565</w:t>
            </w:r>
          </w:p>
        </w:tc>
      </w:tr>
      <w:tr>
        <w:trPr>
          <w:trHeight w:val="243"/>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Difference</w:t>
            </w: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w:t>
            </w:r>
          </w:p>
        </w:tc>
      </w:tr>
      <w:tr>
        <w:trPr>
          <w:trHeight w:val="223"/>
        </w:trPr>
        <w:tc>
          <w:tcPr>
            <w:tcW w:w="8040" w:type="dxa"/>
            <w:vAlign w:val="bottom"/>
          </w:tcPr>
          <w:p>
            <w:pPr>
              <w:ind w:left="240"/>
              <w:spacing w:after="0"/>
              <w:rPr>
                <w:sz w:val="20"/>
                <w:szCs w:val="20"/>
                <w:color w:val="auto"/>
              </w:rPr>
            </w:pPr>
            <w:r>
              <w:rPr>
                <w:rFonts w:ascii="Arial" w:cs="Arial" w:eastAsia="Arial" w:hAnsi="Arial"/>
                <w:sz w:val="18"/>
                <w:szCs w:val="18"/>
                <w:color w:val="auto"/>
              </w:rPr>
              <w:t>Recorded investment balance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21,698</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22,473</w:t>
            </w:r>
          </w:p>
        </w:tc>
      </w:tr>
      <w:tr>
        <w:trPr>
          <w:trHeight w:val="20"/>
        </w:trPr>
        <w:tc>
          <w:tcPr>
            <w:tcW w:w="8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Long-Term Investments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Bank Holding Company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carries its investment in Captex Bancshares at cost, less impairment or observable changes in price. The Company reviews these investments for impairment or observable changes in price during each reporting period. There were no impairments or observable changes in price during the three months ended March 31, 2023 and the year ended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Indirect Loans and Loan Collateral</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March 31, 2023 and December 31, 2022, the Company held indirect investments in collateralized loans and loan collateral through SMA1 and SMA2.</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 and unfunded commitment of the SMA1 and SMA2 as of March 31, 2023 and December 31, 2022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680" w:type="dxa"/>
            <w:vAlign w:val="bottom"/>
            <w:tcBorders>
              <w:top w:val="single" w:sz="8" w:color="auto"/>
              <w:bottom w:val="single" w:sz="8" w:color="auto"/>
            </w:tcBorders>
            <w:gridSpan w:val="3"/>
          </w:tcPr>
          <w:p>
            <w:pPr>
              <w:jc w:val="right"/>
              <w:ind w:right="590"/>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940" w:type="dxa"/>
            <w:vAlign w:val="bottom"/>
            <w:tcBorders>
              <w:top w:val="single" w:sz="8" w:color="auto"/>
              <w:bottom w:val="single" w:sz="8" w:color="auto"/>
            </w:tcBorders>
            <w:gridSpan w:val="4"/>
          </w:tcPr>
          <w:p>
            <w:pPr>
              <w:ind w:left="700"/>
              <w:spacing w:after="0"/>
              <w:rPr>
                <w:sz w:val="20"/>
                <w:szCs w:val="20"/>
                <w:color w:val="auto"/>
              </w:rPr>
            </w:pPr>
            <w:r>
              <w:rPr>
                <w:rFonts w:ascii="Arial" w:cs="Arial" w:eastAsia="Arial" w:hAnsi="Arial"/>
                <w:sz w:val="18"/>
                <w:szCs w:val="18"/>
                <w:color w:val="auto"/>
              </w:rPr>
              <w:t>December 31, 2022</w:t>
            </w:r>
          </w:p>
        </w:tc>
      </w:tr>
      <w:tr>
        <w:trPr>
          <w:trHeight w:val="182"/>
        </w:trPr>
        <w:tc>
          <w:tcPr>
            <w:tcW w:w="4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50"/>
              <w:spacing w:after="0" w:line="182" w:lineRule="exact"/>
              <w:rPr>
                <w:sz w:val="20"/>
                <w:szCs w:val="20"/>
                <w:color w:val="auto"/>
              </w:rPr>
            </w:pPr>
            <w:r>
              <w:rPr>
                <w:rFonts w:ascii="Arial" w:cs="Arial" w:eastAsia="Arial" w:hAnsi="Arial"/>
                <w:sz w:val="18"/>
                <w:szCs w:val="18"/>
                <w:color w:val="auto"/>
              </w:rPr>
              <w:t>Unfunded</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center"/>
              <w:ind w:right="110"/>
              <w:spacing w:after="0" w:line="182" w:lineRule="exact"/>
              <w:rPr>
                <w:sz w:val="20"/>
                <w:szCs w:val="20"/>
                <w:color w:val="auto"/>
              </w:rPr>
            </w:pPr>
            <w:r>
              <w:rPr>
                <w:rFonts w:ascii="Arial" w:cs="Arial" w:eastAsia="Arial" w:hAnsi="Arial"/>
                <w:sz w:val="18"/>
                <w:szCs w:val="18"/>
                <w:color w:val="auto"/>
                <w:w w:val="92"/>
              </w:rPr>
              <w:t>Unfunded</w:t>
            </w:r>
          </w:p>
        </w:tc>
      </w:tr>
      <w:tr>
        <w:trPr>
          <w:trHeight w:val="23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Carrying Value</w:t>
            </w:r>
          </w:p>
        </w:tc>
        <w:tc>
          <w:tcPr>
            <w:tcW w:w="1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Commitment</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Carrying Value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4"/>
              </w:rPr>
              <w:t>Commitment</w:t>
            </w: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SMA1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8"/>
              </w:rPr>
              <w:t>34,654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79"/>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SMA2</w:t>
            </w:r>
            <w:r>
              <w:rPr>
                <w:rFonts w:ascii="Arial" w:cs="Arial" w:eastAsia="Arial" w:hAnsi="Arial"/>
                <w:sz w:val="23"/>
                <w:szCs w:val="23"/>
                <w:color w:val="auto"/>
                <w:vertAlign w:val="superscript"/>
              </w:rPr>
              <w:t>(1)</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w w:val="91"/>
              </w:rPr>
              <w:t>(1,652)</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r>
      <w:tr>
        <w:trPr>
          <w:trHeight w:val="248"/>
        </w:trPr>
        <w:tc>
          <w:tcPr>
            <w:tcW w:w="4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Investment in indirect loans and loan collateral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8"/>
              </w:rPr>
              <w:t>33,002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The carrying value of SMA2 is negative as of March 31, 2023 due to distribution in-transit.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Trust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carries its investment in the common stock of the Delos Capital Trust n/k/a HIIG Capital Trust I (“Trust”) at cost. There were no impairments or observable changes in price during the three months ended March 31, 2023 and 2022.</w:t>
      </w:r>
    </w:p>
    <w:p>
      <w:pPr>
        <w:spacing w:after="0" w:line="5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 Receivable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changes in the allowance for expected credit losses for the three months ended 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4"/>
              </w:rPr>
              <w:t>Allowance for Credit</w:t>
            </w:r>
          </w:p>
        </w:tc>
      </w:tr>
      <w:tr>
        <w:trPr>
          <w:trHeight w:val="234"/>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Losses</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w:t>
            </w:r>
          </w:p>
        </w:tc>
      </w:tr>
      <w:tr>
        <w:trPr>
          <w:trHeight w:val="239"/>
        </w:trPr>
        <w:tc>
          <w:tcPr>
            <w:tcW w:w="9120" w:type="dxa"/>
            <w:vAlign w:val="bottom"/>
          </w:tcPr>
          <w:p>
            <w:pPr>
              <w:ind w:left="140"/>
              <w:spacing w:after="0"/>
              <w:rPr>
                <w:sz w:val="20"/>
                <w:szCs w:val="20"/>
                <w:color w:val="auto"/>
              </w:rPr>
            </w:pPr>
            <w:r>
              <w:rPr>
                <w:rFonts w:ascii="Arial" w:cs="Arial" w:eastAsia="Arial" w:hAnsi="Arial"/>
                <w:sz w:val="18"/>
                <w:szCs w:val="18"/>
                <w:color w:val="auto"/>
              </w:rPr>
              <w:t>Cumulative effect of adoption of ASU 2016-13 at January 1, 2023</w:t>
            </w:r>
          </w:p>
        </w:tc>
        <w:tc>
          <w:tcPr>
            <w:tcW w:w="1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4"/>
        </w:trPr>
        <w:tc>
          <w:tcPr>
            <w:tcW w:w="9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 change for estimated uncollectible premiums</w:t>
            </w:r>
          </w:p>
        </w:tc>
        <w:tc>
          <w:tcPr>
            <w:tcW w:w="18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r>
      <w:tr>
        <w:trPr>
          <w:trHeight w:val="230"/>
        </w:trPr>
        <w:tc>
          <w:tcPr>
            <w:tcW w:w="9120" w:type="dxa"/>
            <w:vAlign w:val="bottom"/>
          </w:tcPr>
          <w:p>
            <w:pPr>
              <w:ind w:left="140"/>
              <w:spacing w:after="0"/>
              <w:rPr>
                <w:sz w:val="20"/>
                <w:szCs w:val="20"/>
                <w:color w:val="auto"/>
              </w:rPr>
            </w:pPr>
            <w:r>
              <w:rPr>
                <w:rFonts w:ascii="Arial" w:cs="Arial" w:eastAsia="Arial" w:hAnsi="Arial"/>
                <w:sz w:val="18"/>
                <w:szCs w:val="18"/>
                <w:color w:val="auto"/>
              </w:rPr>
              <w:t>Write-offs of uncollectible premiums receivable</w:t>
            </w:r>
          </w:p>
        </w:tc>
        <w:tc>
          <w:tcPr>
            <w:tcW w:w="18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r>
      <w:tr>
        <w:trPr>
          <w:trHeight w:val="262"/>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982</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9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Reinsurance Recoverables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analyzes the credit risk associated with its reinsurance recoverables by monitoring the financial strength rating of its reinsurers from A.M. Best, a widely recognized rating agency with an exclusive insurance industry focus. The Company assesses the financial strength rating annually and updated throughout the year as A.M. Best provides updates on ratings and outlooks. The Company assesses the adequacy of various forms of credit enhancements such as reinsurance payables, letters of credit and funds held. A summary of the Company’s reinsurance recoverables net of credit enhancements by A.M. Best rating as of March 31, 2023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18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A.M. Best Rating</w:t>
            </w:r>
          </w:p>
        </w:tc>
        <w:tc>
          <w:tcPr>
            <w:tcW w:w="2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March 31, 2023</w:t>
            </w:r>
          </w:p>
        </w:tc>
      </w:tr>
      <w:tr>
        <w:trPr>
          <w:trHeight w:val="236"/>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 and above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98.5 %</w:t>
            </w:r>
          </w:p>
        </w:tc>
      </w:tr>
      <w:tr>
        <w:trPr>
          <w:trHeight w:val="230"/>
        </w:trPr>
        <w:tc>
          <w:tcPr>
            <w:tcW w:w="9180" w:type="dxa"/>
            <w:vAlign w:val="bottom"/>
          </w:tcPr>
          <w:p>
            <w:pPr>
              <w:ind w:left="20"/>
              <w:spacing w:after="0"/>
              <w:rPr>
                <w:sz w:val="20"/>
                <w:szCs w:val="20"/>
                <w:color w:val="auto"/>
              </w:rPr>
            </w:pPr>
            <w:r>
              <w:rPr>
                <w:rFonts w:ascii="Arial" w:cs="Arial" w:eastAsia="Arial" w:hAnsi="Arial"/>
                <w:sz w:val="18"/>
                <w:szCs w:val="18"/>
                <w:color w:val="auto"/>
              </w:rPr>
              <w:t>B++ to B+</w:t>
            </w:r>
          </w:p>
        </w:tc>
        <w:tc>
          <w:tcPr>
            <w:tcW w:w="2060" w:type="dxa"/>
            <w:vAlign w:val="bottom"/>
          </w:tcPr>
          <w:p>
            <w:pPr>
              <w:jc w:val="right"/>
              <w:ind w:right="150"/>
              <w:spacing w:after="0"/>
              <w:rPr>
                <w:sz w:val="20"/>
                <w:szCs w:val="20"/>
                <w:color w:val="auto"/>
              </w:rPr>
            </w:pPr>
            <w:r>
              <w:rPr>
                <w:rFonts w:ascii="Arial" w:cs="Arial" w:eastAsia="Arial" w:hAnsi="Arial"/>
                <w:sz w:val="18"/>
                <w:szCs w:val="18"/>
                <w:b w:val="1"/>
                <w:bCs w:val="1"/>
                <w:color w:val="auto"/>
              </w:rPr>
              <w:t>1.4</w:t>
            </w:r>
          </w:p>
        </w:tc>
      </w:tr>
      <w:tr>
        <w:trPr>
          <w:trHeight w:val="229"/>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rated</w:t>
            </w:r>
          </w:p>
        </w:tc>
        <w:tc>
          <w:tcPr>
            <w:tcW w:w="20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0.1</w:t>
            </w:r>
          </w:p>
        </w:tc>
      </w:tr>
      <w:tr>
        <w:trPr>
          <w:trHeight w:val="54"/>
        </w:trPr>
        <w:tc>
          <w:tcPr>
            <w:tcW w:w="9180" w:type="dxa"/>
            <w:vAlign w:val="bottom"/>
            <w:tcBorders>
              <w:bottom w:val="single" w:sz="8" w:color="auto"/>
            </w:tcBorders>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considers reinsurance balances to be past due when it is 90 days past due. The following table sets forth the changes in the allowance for estimated uncollectible reinsurance for the three months ended March 31, 2023:</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5"/>
              </w:rPr>
              <w:t>Allowance for Credit</w:t>
            </w:r>
          </w:p>
        </w:tc>
      </w:tr>
      <w:tr>
        <w:trPr>
          <w:trHeight w:val="234"/>
        </w:trPr>
        <w:tc>
          <w:tcPr>
            <w:tcW w:w="914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Losses</w:t>
            </w:r>
          </w:p>
        </w:tc>
      </w:tr>
      <w:tr>
        <w:trPr>
          <w:trHeight w:val="223"/>
        </w:trPr>
        <w:tc>
          <w:tcPr>
            <w:tcW w:w="9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9"/>
        </w:trPr>
        <w:tc>
          <w:tcPr>
            <w:tcW w:w="9140" w:type="dxa"/>
            <w:vAlign w:val="bottom"/>
          </w:tcPr>
          <w:p>
            <w:pPr>
              <w:ind w:left="140"/>
              <w:spacing w:after="0"/>
              <w:rPr>
                <w:sz w:val="20"/>
                <w:szCs w:val="20"/>
                <w:color w:val="auto"/>
              </w:rPr>
            </w:pPr>
            <w:r>
              <w:rPr>
                <w:rFonts w:ascii="Arial" w:cs="Arial" w:eastAsia="Arial" w:hAnsi="Arial"/>
                <w:sz w:val="18"/>
                <w:szCs w:val="18"/>
                <w:color w:val="auto"/>
              </w:rPr>
              <w:t>Cumulative effect of adoption of ASU 2016-13 at January 1, 2023</w:t>
            </w:r>
          </w:p>
        </w:tc>
        <w:tc>
          <w:tcPr>
            <w:tcW w:w="1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2,295</w:t>
            </w:r>
          </w:p>
        </w:tc>
      </w:tr>
      <w:tr>
        <w:trPr>
          <w:trHeight w:val="234"/>
        </w:trPr>
        <w:tc>
          <w:tcPr>
            <w:tcW w:w="9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 change for estimated uncollectible reinsurance</w:t>
            </w:r>
          </w:p>
        </w:tc>
        <w:tc>
          <w:tcPr>
            <w:tcW w:w="16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914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r>
      <w:tr>
        <w:trPr>
          <w:trHeight w:val="45"/>
        </w:trPr>
        <w:tc>
          <w:tcPr>
            <w:tcW w:w="9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20"/>
        </w:trPr>
        <w:tc>
          <w:tcPr>
            <w:tcW w:w="914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000000"/>
          </w:tcPr>
          <w:p>
            <w:pPr>
              <w:spacing w:after="0" w:line="20" w:lineRule="exact"/>
              <w:rPr>
                <w:sz w:val="1"/>
                <w:szCs w:val="1"/>
                <w:color w:val="auto"/>
              </w:rPr>
            </w:pPr>
          </w:p>
        </w:tc>
        <w:tc>
          <w:tcPr>
            <w:tcW w:w="1940" w:type="dxa"/>
            <w:vAlign w:val="bottom"/>
            <w:tcBorders>
              <w:top w:val="single" w:sz="8" w:color="CCEEFF"/>
            </w:tcBorders>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Notes Payable</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entered into an agreement to obtain a new unsecured revolving credit facility (the “Revolving Credit Facility”) with a syndicate of participating banks during the three months ended March 31, 2023. The Revolving Credit Facility provided the Company with up to a $150.0 million revolving credit facility, with an accordion that can increase the capacity by $50.0 million, and a letter of credit sub-facility of up to $30.0 million.</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2023, the Company drew $50.0 million on the Revolving Credit Facility and used the proceeds to pay off the principal on its existing term loan. The Company subsequently terminated the existing term loan and revolving line of credit.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interest rate on the Revolving Credit Facility was the Secured Overnight Financing Rate (“SOFR”) plus a margin of between 150 and 190 basis points based on the ratio of debt to total capital and a credit spread adjustment of 10 basis points.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subject to covenants on the Revolving Credit Facility based on minimum net worth, maximum debt to capital ratio, minimum 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Best Rating and minimum liquidity. As of March 31, 2023, the Company was in compliance with all covenants.</w:t>
      </w:r>
    </w:p>
    <w:p>
      <w:pPr>
        <w:spacing w:after="0" w:line="9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September 23, 2022, the Board of Directors approved a 4-for-1 reverse stock split of the Company’s common stock. The stock split became effective January 3, 2023. All share and per share information included in the accompanying consolidated financial statements and notes to the consolidated financial statements have been retroactively adjusted to reflect the stock split of common stock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Stockholders’ Equity</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January 4, 2023, the Company announced the launch of its initial public offering (“IPO”) of its common stock. On January 12, 2023, the Company priced its IPO of 8,952,383 shares of its common stock, with 4,750,000 shares offered by the Company and 4,202,383 shares sold by selling stockholders, at a public price of $15.00 per share. The shares began trading on January 13, 2023 on the Nasdaq Global Select Market under the ticker symbol “SKWD.”</w:t>
      </w:r>
    </w:p>
    <w:p>
      <w:pPr>
        <w:spacing w:after="0" w:line="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completed its IPO on January 18, 2023. The underwriters exercised in full their option to purchase 1,342,857 additional shares of common stock from the selling stockholders, at a price per share of $15.00. The Company’s net proceeds from the IPO were approximately $62.4 million, after deducting underwriting discounts and specific incremental expenses directly attributable to the IPO.</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closing of its IPO, the Company filed an amended and restated certificate of incorporation which, among other things, increased the number of authorized shares consisting of 500,000,000 shares of common stock, par value $0.01 per share, and 10,000,000 shares of preferred stock, par value $0.01 per share.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 Conversion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Preferred Shares had preference in liquidation over common stock in the amount of the face value of $50.00 per share and any declared but unpaid dividends to related common shares at the applicable conversion rate. The Preferred Shares provided the holder the option at any time to convert the Preferred Shares into common stock based on the Option Conversion Rate. At December 31, 2022, the Company had 1,969,660 Preferred Shares that could be converted to 16,305,113 common shares based on a conversion price equal to $6.04 per common share.</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Preferred Shares were subject to mandatory conversion upon the closing of an IPO at the Mandatory Conversion Rate. At December 31, 2022, the Mandatory Conversion Rate allowed the holder of the Preferred Shares the right to convert into common stock based on a conversion price equal to $6.04 per common share. On January 18, 2023, the 1,969,660 Preferred Shares converted to 16,305,113 shares of common stock upon the Company’s closing of its IPO.</w:t>
      </w:r>
    </w:p>
    <w:p>
      <w:pPr>
        <w:spacing w:after="0" w:line="7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 forth the Company’s income tax expense and effective tax rates for the three months ended March 31,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8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23"/>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4,166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4,269</w:t>
            </w:r>
          </w:p>
        </w:tc>
      </w:tr>
      <w:tr>
        <w:trPr>
          <w:trHeight w:val="234"/>
        </w:trPr>
        <w:tc>
          <w:tcPr>
            <w:tcW w:w="778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20.7 %</w:t>
            </w:r>
          </w:p>
        </w:tc>
      </w:tr>
      <w:tr>
        <w:trPr>
          <w:trHeight w:val="49"/>
        </w:trPr>
        <w:tc>
          <w:tcPr>
            <w:tcW w:w="77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 tax rate will differ from the statutory rate of 21 percent due to permanent differences for disallowed expenses for tax and beneficial adjustments for tax-exempt income and dividends-received deduction.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Losses and Loss Adjustment Expenses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reconciliation of unpaid losses and loss adjustment expenses as reported in the condensed consolidated balance sheets as of and for the three months ended March 31,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for losses and LAE, beginning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979,549</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Less: reinsurance recoverable on unpaid claims,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(435,986)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(381,338)</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 for losses and LAE, beginning of period, net of reinsurance</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705,771</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598,211</w:t>
            </w:r>
          </w:p>
        </w:tc>
      </w:tr>
      <w:tr>
        <w:trPr>
          <w:trHeight w:val="217"/>
        </w:trPr>
        <w:tc>
          <w:tcPr>
            <w:tcW w:w="8020" w:type="dxa"/>
            <w:vAlign w:val="bottom"/>
          </w:tcPr>
          <w:p>
            <w:pPr>
              <w:ind w:left="20"/>
              <w:spacing w:after="0"/>
              <w:rPr>
                <w:sz w:val="20"/>
                <w:szCs w:val="20"/>
                <w:color w:val="auto"/>
              </w:rPr>
            </w:pPr>
            <w:r>
              <w:rPr>
                <w:rFonts w:ascii="Arial" w:cs="Arial" w:eastAsia="Arial" w:hAnsi="Arial"/>
                <w:sz w:val="18"/>
                <w:szCs w:val="18"/>
                <w:color w:val="auto"/>
              </w:rPr>
              <w:t>Incurred, net of reinsurance,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6"/>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115,142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89,989</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incurred, net of reinsurance</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115,142</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89,989</w:t>
            </w: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color w:val="auto"/>
              </w:rPr>
              <w:t>Paid, net of reinsurance, related to:</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period</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10,605</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Prior years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68,745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62,959</w:t>
            </w: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paid</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77,489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73,564</w:t>
            </w:r>
          </w:p>
        </w:tc>
      </w:tr>
      <w:tr>
        <w:trPr>
          <w:trHeight w:val="232"/>
        </w:trPr>
        <w:tc>
          <w:tcPr>
            <w:tcW w:w="8020" w:type="dxa"/>
            <w:vAlign w:val="bottom"/>
          </w:tcPr>
          <w:p>
            <w:pPr>
              <w:ind w:left="20"/>
              <w:spacing w:after="0"/>
              <w:rPr>
                <w:sz w:val="20"/>
                <w:szCs w:val="20"/>
                <w:color w:val="auto"/>
              </w:rPr>
            </w:pPr>
            <w:r>
              <w:rPr>
                <w:rFonts w:ascii="Arial" w:cs="Arial" w:eastAsia="Arial" w:hAnsi="Arial"/>
                <w:sz w:val="18"/>
                <w:szCs w:val="18"/>
                <w:color w:val="auto"/>
              </w:rPr>
              <w:t>Net reserves for losses and LAE, end of period</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743,424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614,636</w:t>
            </w:r>
          </w:p>
        </w:tc>
      </w:tr>
      <w:tr>
        <w:trPr>
          <w:trHeight w:val="234"/>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Plus: reinsurance recoverable on unpaid claims, end of period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429,752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385,146</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Reserves for losses and LAE, end of period</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1,173,176</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999,782</w:t>
            </w:r>
          </w:p>
        </w:tc>
      </w:tr>
      <w:tr>
        <w:trPr>
          <w:trHeight w:val="20"/>
        </w:trPr>
        <w:tc>
          <w:tcPr>
            <w:tcW w:w="8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Commission and Fee Income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Skyward Underwriters Agency, Inc. (“SUA”), a subsidiary of the Company, is a managing general insurance agent and reinsurance broker for property and casualty and accident and health risks in specialty niche markets. Commission and fee income is primarily generated from SUA for the placement of insurance policies on either a third-party insurance or reinsurance company.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disaggregated revenues from contracts with customers for the three months ended March 31, 2023 and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4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SUA commission 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6"/>
              </w:rPr>
              <w:t>624</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SUA fee income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left="670"/>
              <w:spacing w:after="0"/>
              <w:rPr>
                <w:sz w:val="20"/>
                <w:szCs w:val="20"/>
                <w:color w:val="auto"/>
              </w:rPr>
            </w:pPr>
            <w:r>
              <w:rPr>
                <w:rFonts w:ascii="Arial" w:cs="Arial" w:eastAsia="Arial" w:hAnsi="Arial"/>
                <w:sz w:val="18"/>
                <w:szCs w:val="18"/>
                <w:color w:val="auto"/>
                <w:w w:val="95"/>
              </w:rPr>
              <w:t>(159)</w:t>
            </w: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5"/>
              </w:rPr>
              <w:t>(235)</w:t>
            </w:r>
          </w:p>
        </w:tc>
      </w:tr>
      <w:tr>
        <w:trPr>
          <w:trHeight w:val="236"/>
        </w:trPr>
        <w:tc>
          <w:tcPr>
            <w:tcW w:w="8040" w:type="dxa"/>
            <w:vAlign w:val="bottom"/>
          </w:tcPr>
          <w:p>
            <w:pPr>
              <w:ind w:left="240"/>
              <w:spacing w:after="0"/>
              <w:rPr>
                <w:sz w:val="20"/>
                <w:szCs w:val="20"/>
                <w:color w:val="auto"/>
              </w:rPr>
            </w:pPr>
            <w:r>
              <w:rPr>
                <w:rFonts w:ascii="Arial" w:cs="Arial" w:eastAsia="Arial" w:hAnsi="Arial"/>
                <w:sz w:val="18"/>
                <w:szCs w:val="18"/>
                <w:color w:val="auto"/>
              </w:rPr>
              <w:t>Total commission and fee income</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1,492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690"/>
              <w:spacing w:after="0"/>
              <w:rPr>
                <w:sz w:val="20"/>
                <w:szCs w:val="20"/>
                <w:color w:val="auto"/>
              </w:rPr>
            </w:pPr>
            <w:r>
              <w:rPr>
                <w:rFonts w:ascii="Arial" w:cs="Arial" w:eastAsia="Arial" w:hAnsi="Arial"/>
                <w:sz w:val="18"/>
                <w:szCs w:val="18"/>
                <w:color w:val="auto"/>
                <w:w w:val="86"/>
              </w:rPr>
              <w:t>230</w:t>
            </w:r>
          </w:p>
        </w:tc>
      </w:tr>
      <w:tr>
        <w:trPr>
          <w:trHeight w:val="21"/>
        </w:trPr>
        <w:tc>
          <w:tcPr>
            <w:tcW w:w="80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contract assets from commission and fee income as of March 31, 2023 and December 31, 2022 were $1.3 million and $1.3 million, respectively. Contract assets were $0.8 million and $1.2 million as of March 31, 2022 and December 31, 2021, respectively.</w:t>
      </w:r>
    </w:p>
    <w:p>
      <w:pPr>
        <w:spacing w:after="0" w:line="5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Underwriting, Acquisition and Insurance Expenses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underwriting, acquisition and insurance expenses for the three months ended March 31, 2023 and 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policy acquisition costs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30,420</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27,113</w:t>
            </w:r>
          </w:p>
        </w:tc>
      </w:tr>
      <w:tr>
        <w:trPr>
          <w:trHeight w:val="256"/>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underwriting, acquisition and insurance expenses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51,655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premiums and benefits are assumed from and ceded to other insurance companies under various reinsurance agreements. The reinsurance agreements provide the Company with increased capacity to write larger risks and maintain its exposure to loss within its capital resources. The Company remains obligated for amounts ceded in the event that the reinsurers do not meet their obligations.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effects of reinsurance on premiums written and earned for the three months ended March 31, 2023 and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4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0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2022</w:t>
            </w:r>
          </w:p>
        </w:tc>
        <w:tc>
          <w:tcPr>
            <w:tcW w:w="1160" w:type="dxa"/>
            <w:vAlign w:val="bottom"/>
            <w:tcBorders>
              <w:top w:val="single" w:sz="8" w:color="auto"/>
              <w:bottom w:val="single" w:sz="8" w:color="auto"/>
            </w:tcBorders>
          </w:tcPr>
          <w:p>
            <w:pPr>
              <w:spacing w:after="0"/>
              <w:rPr>
                <w:sz w:val="21"/>
                <w:szCs w:val="21"/>
                <w:color w:val="auto"/>
              </w:rPr>
            </w:pPr>
          </w:p>
        </w:tc>
      </w:tr>
      <w:tr>
        <w:trPr>
          <w:trHeight w:val="230"/>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Written</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Earned</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Written</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Earned</w:t>
            </w:r>
          </w:p>
        </w:tc>
      </w:tr>
      <w:tr>
        <w:trPr>
          <w:trHeight w:val="22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premiums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308,213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262,658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222,637</w:t>
            </w: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Assumed premiums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52,285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39,131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34,007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26,595</w:t>
            </w: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Ceded premiums</w:t>
            </w: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(158,357)</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(118,958)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(147,241)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(107,506)</w:t>
            </w:r>
          </w:p>
        </w:tc>
      </w:tr>
      <w:tr>
        <w:trPr>
          <w:trHeight w:val="223"/>
        </w:trPr>
        <w:tc>
          <w:tcPr>
            <w:tcW w:w="5040" w:type="dxa"/>
            <w:vAlign w:val="bottom"/>
          </w:tcPr>
          <w:p>
            <w:pPr>
              <w:ind w:left="20"/>
              <w:spacing w:after="0"/>
              <w:rPr>
                <w:sz w:val="20"/>
                <w:szCs w:val="20"/>
                <w:color w:val="auto"/>
              </w:rPr>
            </w:pPr>
            <w:r>
              <w:rPr>
                <w:rFonts w:ascii="Arial" w:cs="Arial" w:eastAsia="Arial" w:hAnsi="Arial"/>
                <w:sz w:val="18"/>
                <w:szCs w:val="18"/>
                <w:color w:val="auto"/>
              </w:rPr>
              <w:t>Net premiums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202,141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182,831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135,401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141,726</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Ceded losses and LAE incurred</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64,794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components of reinsurance recoverables and ceded unearned premium as of March 31, 2023 and December 31,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March 31, 2023</w:t>
            </w:r>
          </w:p>
        </w:tc>
        <w:tc>
          <w:tcPr>
            <w:tcW w:w="100" w:type="dxa"/>
            <w:vAlign w:val="bottom"/>
            <w:tcBorders>
              <w:top w:val="single" w:sz="8" w:color="auto"/>
              <w:bottom w:val="single" w:sz="8" w:color="CCEEFF"/>
            </w:tcBorders>
          </w:tcPr>
          <w:p>
            <w:pPr>
              <w:spacing w:after="0"/>
              <w:rPr>
                <w:sz w:val="21"/>
                <w:szCs w:val="21"/>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December 31, 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Unpaid losses and loss adjustment expenses ceded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429,752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435,986</w:t>
            </w: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Paid losses and loss adjustment expense ceded</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107,463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107,228</w:t>
            </w: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portfolio transfer</w:t>
            </w: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35,584</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(2,295)</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570,504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581,359</w:t>
            </w:r>
          </w:p>
        </w:tc>
      </w:tr>
      <w:tr>
        <w:trPr>
          <w:trHeight w:val="20"/>
        </w:trPr>
        <w:tc>
          <w:tcPr>
            <w:tcW w:w="8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03"/>
        </w:trPr>
        <w:tc>
          <w:tcPr>
            <w:tcW w:w="8020" w:type="dxa"/>
            <w:vAlign w:val="bottom"/>
          </w:tcPr>
          <w:p>
            <w:pPr>
              <w:ind w:left="20"/>
              <w:spacing w:after="0" w:line="203" w:lineRule="exact"/>
              <w:rPr>
                <w:sz w:val="20"/>
                <w:szCs w:val="20"/>
                <w:color w:val="auto"/>
              </w:rPr>
            </w:pPr>
            <w:r>
              <w:rPr>
                <w:rFonts w:ascii="Arial" w:cs="Arial" w:eastAsia="Arial" w:hAnsi="Arial"/>
                <w:sz w:val="18"/>
                <w:szCs w:val="18"/>
                <w:color w:val="auto"/>
              </w:rPr>
              <w:t>Ceded unearned premium</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14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197,044</w:t>
            </w: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157,645</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entered into agreements with several of its reinsurers, whereby the reinsurer established funded trust accounts with the Company as the sole beneficiary. These trust accounts provide the Company additional security to collect claim recoverables under reinsurance contracts and the Company does not carry these on the balance sheet because the Company will only have custody over these accounts upon the failure of the reinsurer to pay amounts due. At March 31, 2023, the market value of these accounts was approximately $127.1 million. The agreements provide that, as was customary in the past, the reinsurer will continue claim payment reimbursements without disturbing the trust balances. The trust amount will be adjusted periodically, by mutual agreement, based on loss reserve recoverables.</w:t>
      </w:r>
    </w:p>
    <w:p>
      <w:pPr>
        <w:spacing w:after="0" w:line="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ceded reinsurance contracts that transfer only significant timing risk and do not transfer sufficient underwriting risk are accounted for using the deposit method of accounting. The Company’s deposit asset at March 31, 2023 and December 31, 2022 was $36.8 million and $41.8 million, respectively, and was included in other assets on the condensed consolidated balance sheets.</w:t>
      </w:r>
    </w:p>
    <w:p>
      <w:pPr>
        <w:spacing w:after="0" w:line="7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Based Compensation</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23, 2022, the Compensation Committee of the Company’s Board of Directors (“Compensation Committee”) approved the Company’s 2022 Long-Term Incentive Plan (the “2022 Plan”), which became effective on January 12, 2023. The 2022 Plan provides for the granting of restricted stock, restricted stock units, performance stock units, stock options as well as cash-based performance awards, to select employees and non-employee directors of the Company. The 2022 Plan stated that 3,200,516 shares of common stock were available for issuance.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Based Compensation</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December 2020, the Compensation Committee approved a Long Term Incentive Plan (the “2021 Plan”). The 2021 Plan provides for the granting of restricted stock, restricted stock units and performance stock units (collectively “restricted stock units” or “stock units”), as well as cash-based performance awards, to select employees and non-employee directors of the Company.</w:t>
      </w:r>
    </w:p>
    <w:p>
      <w:pPr>
        <w:spacing w:after="0" w:line="7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Compensation Committee granted 1,073,494 and 191,691 restricted stock and restricted stock units during the three months ended March 31, 2023 and 2022, under the 2022 Plan and 2021 Plans, respectively. Members of the Board of Directors were granted 3,332 and 15,196 restricted stock during the three months ended March 31, 2023 and 2022, respectively, with a service period of 1 year. The fair value of restricted stock and restricted stock units under the 2022 Plan for awards granted at the time of the Company’s IPO were granted at the IPO price of $15.00 per share. The fair value of subsequent grants were equal to the closing stock price on the date the restricted stock units were granted.</w:t>
      </w:r>
    </w:p>
    <w:p>
      <w:pPr>
        <w:spacing w:after="0" w:line="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Compensation Committee granted 759,990 stock options during the three months ended March 31, 2023. The grant date fair value of the options was determined using the Black-Scholes model where the term was the contractual term of 10 years less the weighted average service period. The volatility was determined based on the historical volatility of comparable publicly traded insurance companies.</w:t>
      </w:r>
    </w:p>
    <w:p>
      <w:pPr>
        <w:spacing w:after="0" w:line="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restricted stock and restricted stock units granted to employees and the Board of Directors during the three months ended March 31, 2023 and 2022 were valued at approximately $17.0 million and $2.5 million, respectively, based on the grant date fair value. The stock options granted to employees during the three months ended March 31, 2023 were valued at approximately $4.4 million based on the grant date fair value.</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Company’s equity awards, target payout ranges and authorized target restricted stock and stock units for the three months ended March 31,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4"/>
              </w:rPr>
              <w:t>Award</w:t>
            </w:r>
          </w:p>
        </w:tc>
        <w:tc>
          <w:tcPr>
            <w:tcW w:w="10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8"/>
              </w:rPr>
              <w:t>Requisite</w:t>
            </w:r>
          </w:p>
        </w:tc>
        <w:tc>
          <w:tcPr>
            <w:tcW w:w="10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jc w:val="right"/>
              <w:ind w:right="630"/>
              <w:spacing w:after="0" w:line="189" w:lineRule="exact"/>
              <w:rPr>
                <w:sz w:val="20"/>
                <w:szCs w:val="20"/>
                <w:color w:val="auto"/>
              </w:rPr>
            </w:pPr>
            <w:r>
              <w:rPr>
                <w:rFonts w:ascii="Arial" w:cs="Arial" w:eastAsia="Arial" w:hAnsi="Arial"/>
                <w:sz w:val="18"/>
                <w:szCs w:val="18"/>
                <w:b w:val="1"/>
                <w:bCs w:val="1"/>
                <w:color w:val="auto"/>
              </w:rPr>
              <w:t>Target</w:t>
            </w:r>
          </w:p>
        </w:tc>
      </w:tr>
      <w:tr>
        <w:trPr>
          <w:trHeight w:val="239"/>
        </w:trPr>
        <w:tc>
          <w:tcPr>
            <w:tcW w:w="52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Payout Range</w:t>
            </w:r>
          </w:p>
        </w:tc>
        <w:tc>
          <w:tcPr>
            <w:tcW w:w="1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Service Period</w:t>
            </w:r>
          </w:p>
        </w:tc>
        <w:tc>
          <w:tcPr>
            <w:tcW w:w="1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5"/>
              </w:rPr>
              <w:t>Stock and Stock Units</w:t>
            </w:r>
          </w:p>
        </w:tc>
      </w:tr>
      <w:tr>
        <w:trPr>
          <w:trHeight w:val="21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2023</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Market condition awards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9"/>
              </w:rPr>
              <w:t>0%–150%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3 years</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37,622</w:t>
            </w:r>
          </w:p>
        </w:tc>
      </w:tr>
      <w:tr>
        <w:trPr>
          <w:trHeight w:val="23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condition awards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0%–150%</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3 years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91,350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Service condition awards</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1–4 years</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rPr>
              <w:t>944,522</w:t>
            </w: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N/A</w:t>
            </w: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3–4 years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759,990</w:t>
            </w:r>
          </w:p>
        </w:tc>
      </w:tr>
      <w:tr>
        <w:trPr>
          <w:trHeight w:val="223"/>
        </w:trPr>
        <w:tc>
          <w:tcPr>
            <w:tcW w:w="52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1,833,484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Three months ended March 31, 2022</w:t>
            </w: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r>
      <w:tr>
        <w:trPr>
          <w:trHeight w:val="237"/>
        </w:trPr>
        <w:tc>
          <w:tcPr>
            <w:tcW w:w="5200" w:type="dxa"/>
            <w:vAlign w:val="bottom"/>
          </w:tcPr>
          <w:p>
            <w:pPr>
              <w:ind w:left="20"/>
              <w:spacing w:after="0"/>
              <w:rPr>
                <w:sz w:val="20"/>
                <w:szCs w:val="20"/>
                <w:color w:val="auto"/>
              </w:rPr>
            </w:pPr>
            <w:r>
              <w:rPr>
                <w:rFonts w:ascii="Arial" w:cs="Arial" w:eastAsia="Arial" w:hAnsi="Arial"/>
                <w:sz w:val="18"/>
                <w:szCs w:val="18"/>
                <w:color w:val="auto"/>
              </w:rPr>
              <w:t>Market condition awards</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0%–150%</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3 years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28,495</w:t>
            </w:r>
          </w:p>
        </w:tc>
      </w:tr>
      <w:tr>
        <w:trPr>
          <w:trHeight w:val="23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condition awards</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0%–150%</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26,214</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Service condition awards</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1–3 years</w:t>
            </w:r>
          </w:p>
        </w:tc>
        <w:tc>
          <w:tcPr>
            <w:tcW w:w="10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136,982</w:t>
            </w:r>
          </w:p>
        </w:tc>
      </w:tr>
      <w:tr>
        <w:trPr>
          <w:trHeight w:val="250"/>
        </w:trPr>
        <w:tc>
          <w:tcPr>
            <w:tcW w:w="52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191,691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52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 Based Compensation</w:t>
      </w:r>
      <w:r>
        <w:rPr>
          <w:rFonts w:ascii="Arial" w:cs="Arial" w:eastAsia="Arial" w:hAnsi="Arial"/>
          <w:sz w:val="18"/>
          <w:szCs w:val="18"/>
          <w:b w:val="1"/>
          <w:bCs w:val="1"/>
          <w:color w:val="auto"/>
        </w:rPr>
        <w:t xml:space="preserve"> (continued)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2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option activity for the three months ended 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8"/>
                <w:szCs w:val="18"/>
                <w:b w:val="1"/>
                <w:bCs w:val="1"/>
                <w:color w:val="auto"/>
                <w:w w:val="93"/>
              </w:rPr>
              <w:t>Weighted-Average</w:t>
            </w:r>
          </w:p>
        </w:tc>
        <w:tc>
          <w:tcPr>
            <w:tcW w:w="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0" w:type="dxa"/>
            <w:vAlign w:val="bottom"/>
          </w:tcPr>
          <w:p>
            <w:pPr>
              <w:spacing w:after="0"/>
              <w:rPr>
                <w:sz w:val="1"/>
                <w:szCs w:val="1"/>
                <w:color w:val="auto"/>
              </w:rPr>
            </w:pPr>
          </w:p>
        </w:tc>
      </w:tr>
      <w:tr>
        <w:trPr>
          <w:trHeight w:val="239"/>
        </w:trPr>
        <w:tc>
          <w:tcPr>
            <w:tcW w:w="8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Exercise Price</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January 1, 2023</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759,990</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March 31, 2023</w:t>
            </w:r>
          </w:p>
        </w:tc>
        <w:tc>
          <w:tcPr>
            <w:tcW w:w="1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15.00</w:t>
            </w: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759,990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intrinsic value of each option is determined based on the difference between the fair value of the underlying share and the exercise price of the underlying option. The aggregate intrinsic value of options outstanding at March 31, 2023 was $5.2 million. The weighted-average remaining contractual life of the options outstanding at March 31, 2023 was 9.8 years.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Company’s restricted stock and restricted stock units activity for the three months ended March 31, 2023 and 2022: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center"/>
              <w:ind w:right="110"/>
              <w:spacing w:after="0" w:line="198" w:lineRule="exact"/>
              <w:rPr>
                <w:sz w:val="20"/>
                <w:szCs w:val="20"/>
                <w:color w:val="auto"/>
              </w:rPr>
            </w:pPr>
            <w:r>
              <w:rPr>
                <w:rFonts w:ascii="Arial" w:cs="Arial" w:eastAsia="Arial" w:hAnsi="Arial"/>
                <w:sz w:val="18"/>
                <w:szCs w:val="18"/>
                <w:b w:val="1"/>
                <w:bCs w:val="1"/>
                <w:color w:val="auto"/>
                <w:w w:val="89"/>
              </w:rPr>
              <w:t>Weighted-Average</w:t>
            </w:r>
          </w:p>
        </w:tc>
        <w:tc>
          <w:tcPr>
            <w:tcW w:w="1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4"/>
              </w:rPr>
              <w:t>Grant-Date</w:t>
            </w:r>
          </w:p>
        </w:tc>
        <w:tc>
          <w:tcPr>
            <w:tcW w:w="100" w:type="dxa"/>
            <w:vAlign w:val="bottom"/>
          </w:tcPr>
          <w:p>
            <w:pPr>
              <w:spacing w:after="0"/>
              <w:rPr>
                <w:sz w:val="15"/>
                <w:szCs w:val="15"/>
                <w:color w:val="auto"/>
              </w:rPr>
            </w:pPr>
          </w:p>
        </w:tc>
        <w:tc>
          <w:tcPr>
            <w:tcW w:w="19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4"/>
              </w:rPr>
              <w:t>Stock and Stock Units</w:t>
            </w:r>
          </w:p>
        </w:tc>
        <w:tc>
          <w:tcPr>
            <w:tcW w:w="0" w:type="dxa"/>
            <w:vAlign w:val="bottom"/>
          </w:tcPr>
          <w:p>
            <w:pPr>
              <w:spacing w:after="0"/>
              <w:rPr>
                <w:sz w:val="1"/>
                <w:szCs w:val="1"/>
                <w:color w:val="auto"/>
              </w:rPr>
            </w:pPr>
          </w:p>
        </w:tc>
      </w:tr>
      <w:tr>
        <w:trPr>
          <w:trHeight w:val="230"/>
        </w:trPr>
        <w:tc>
          <w:tcPr>
            <w:tcW w:w="7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19"/>
                <w:szCs w:val="19"/>
                <w:color w:val="auto"/>
              </w:rPr>
            </w:pPr>
          </w:p>
        </w:tc>
        <w:tc>
          <w:tcPr>
            <w:tcW w:w="1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419,896</w:t>
            </w:r>
          </w:p>
        </w:tc>
        <w:tc>
          <w:tcPr>
            <w:tcW w:w="0" w:type="dxa"/>
            <w:vAlign w:val="bottom"/>
          </w:tcPr>
          <w:p>
            <w:pPr>
              <w:spacing w:after="0"/>
              <w:rPr>
                <w:sz w:val="1"/>
                <w:szCs w:val="1"/>
                <w:color w:val="auto"/>
              </w:rPr>
            </w:pPr>
          </w:p>
        </w:tc>
      </w:tr>
      <w:tr>
        <w:trPr>
          <w:trHeight w:val="229"/>
        </w:trPr>
        <w:tc>
          <w:tcPr>
            <w:tcW w:w="7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15.85</w:t>
            </w: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1,073,494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12.91</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(32,496)</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b w:val="1"/>
                <w:bCs w:val="1"/>
                <w:color w:val="auto"/>
              </w:rPr>
              <w:t>15.10</w:t>
            </w:r>
          </w:p>
        </w:tc>
        <w:tc>
          <w:tcPr>
            <w:tcW w:w="2040" w:type="dxa"/>
            <w:vAlign w:val="bottom"/>
            <w:gridSpan w:val="2"/>
          </w:tcPr>
          <w:p>
            <w:pPr>
              <w:jc w:val="right"/>
              <w:spacing w:after="0"/>
              <w:rPr>
                <w:sz w:val="20"/>
                <w:szCs w:val="20"/>
                <w:color w:val="auto"/>
              </w:rPr>
            </w:pPr>
            <w:r>
              <w:rPr>
                <w:rFonts w:ascii="Arial" w:cs="Arial" w:eastAsia="Arial" w:hAnsi="Arial"/>
                <w:sz w:val="18"/>
                <w:szCs w:val="18"/>
                <w:b w:val="1"/>
                <w:bCs w:val="1"/>
                <w:color w:val="auto"/>
              </w:rPr>
              <w:t>(7,459)</w:t>
            </w:r>
          </w:p>
        </w:tc>
        <w:tc>
          <w:tcPr>
            <w:tcW w:w="0" w:type="dxa"/>
            <w:vAlign w:val="bottom"/>
          </w:tcPr>
          <w:p>
            <w:pPr>
              <w:spacing w:after="0"/>
              <w:rPr>
                <w:sz w:val="1"/>
                <w:szCs w:val="1"/>
                <w:color w:val="auto"/>
              </w:rPr>
            </w:pPr>
          </w:p>
        </w:tc>
      </w:tr>
      <w:tr>
        <w:trPr>
          <w:trHeight w:val="248"/>
        </w:trPr>
        <w:tc>
          <w:tcPr>
            <w:tcW w:w="7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31, 2023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1,453,435</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January 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375,643</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13.16</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191,691</w:t>
            </w: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(55,851)</w:t>
            </w: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March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511,483</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fair value of shares vested at March 31, 2023 and 2022 were $0.7 million and $0.7 million, respectively.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31, 2023 the total unrecognized compensation cost related to non-vested, share-based compensation awards was $22.2 million and the weighted average period over which that cost is expected to be recognized is 2.1 years. For the three months ended March 31, 2023 and 2022, the Company recognized $1.9 million and $0.5 million, respectively, of stock 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a reconciliation of the numerator and denominator of basic and diluted earnings per share computations contained in the period-ended consolidated financial statements for the three months ended March 31,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 except for share and per share amounts)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Undistributed income allocated to participating securities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70"/>
        </w:trPr>
        <w:tc>
          <w:tcPr>
            <w:tcW w:w="8020" w:type="dxa"/>
            <w:vAlign w:val="bottom"/>
          </w:tcPr>
          <w:p>
            <w:pPr>
              <w:ind w:left="240"/>
              <w:spacing w:after="0"/>
              <w:rPr>
                <w:sz w:val="20"/>
                <w:szCs w:val="20"/>
                <w:color w:val="auto"/>
              </w:rPr>
            </w:pPr>
            <w:r>
              <w:rPr>
                <w:rFonts w:ascii="Arial" w:cs="Arial" w:eastAsia="Arial" w:hAnsi="Arial"/>
                <w:sz w:val="18"/>
                <w:szCs w:val="18"/>
                <w:color w:val="auto"/>
              </w:rPr>
              <w:t>Net income attributable to common shareholders (numerator for basic earnings per share)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14,282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Add back: Undistributed income allocated to participating securities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7,823</w:t>
            </w:r>
          </w:p>
        </w:tc>
        <w:tc>
          <w:tcPr>
            <w:tcW w:w="0" w:type="dxa"/>
            <w:vAlign w:val="bottom"/>
          </w:tcPr>
          <w:p>
            <w:pPr>
              <w:spacing w:after="0"/>
              <w:rPr>
                <w:sz w:val="1"/>
                <w:szCs w:val="1"/>
                <w:color w:val="auto"/>
              </w:rPr>
            </w:pPr>
          </w:p>
        </w:tc>
      </w:tr>
      <w:tr>
        <w:trPr>
          <w:trHeight w:val="237"/>
        </w:trPr>
        <w:tc>
          <w:tcPr>
            <w:tcW w:w="8020" w:type="dxa"/>
            <w:vAlign w:val="bottom"/>
          </w:tcPr>
          <w:p>
            <w:pPr>
              <w:ind w:left="240"/>
              <w:spacing w:after="0"/>
              <w:rPr>
                <w:sz w:val="20"/>
                <w:szCs w:val="20"/>
                <w:color w:val="auto"/>
              </w:rPr>
            </w:pPr>
            <w:r>
              <w:rPr>
                <w:rFonts w:ascii="Arial" w:cs="Arial" w:eastAsia="Arial" w:hAnsi="Arial"/>
                <w:sz w:val="18"/>
                <w:szCs w:val="18"/>
                <w:color w:val="auto"/>
              </w:rPr>
              <w:t>Net income (numerator for diluted earnings per share under the two-class method)</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15,556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16,311</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40"/>
              <w:spacing w:after="0"/>
              <w:rPr>
                <w:sz w:val="20"/>
                <w:szCs w:val="20"/>
                <w:color w:val="auto"/>
              </w:rPr>
            </w:pPr>
            <w:r>
              <w:rPr>
                <w:rFonts w:ascii="Arial" w:cs="Arial" w:eastAsia="Arial" w:hAnsi="Arial"/>
                <w:sz w:val="18"/>
                <w:szCs w:val="18"/>
                <w:color w:val="auto"/>
              </w:rPr>
              <w:t>Basic weighted-average common shares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32,848,243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16,376,720</w:t>
            </w: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Preferred shares (if converted method)</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2,931,256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15,092,585</w:t>
            </w:r>
          </w:p>
        </w:tc>
        <w:tc>
          <w:tcPr>
            <w:tcW w:w="0" w:type="dxa"/>
            <w:vAlign w:val="bottom"/>
          </w:tcPr>
          <w:p>
            <w:pPr>
              <w:spacing w:after="0"/>
              <w:rPr>
                <w:sz w:val="1"/>
                <w:szCs w:val="1"/>
                <w:color w:val="auto"/>
              </w:rPr>
            </w:pPr>
          </w:p>
        </w:tc>
      </w:tr>
      <w:tr>
        <w:trPr>
          <w:trHeight w:val="270"/>
        </w:trPr>
        <w:tc>
          <w:tcPr>
            <w:tcW w:w="8020" w:type="dxa"/>
            <w:vAlign w:val="bottom"/>
          </w:tcPr>
          <w:p>
            <w:pPr>
              <w:ind w:left="460"/>
              <w:spacing w:after="0"/>
              <w:rPr>
                <w:sz w:val="20"/>
                <w:szCs w:val="20"/>
                <w:color w:val="auto"/>
              </w:rPr>
            </w:pPr>
            <w:r>
              <w:rPr>
                <w:rFonts w:ascii="Arial" w:cs="Arial" w:eastAsia="Arial" w:hAnsi="Arial"/>
                <w:sz w:val="18"/>
                <w:szCs w:val="18"/>
                <w:color w:val="auto"/>
              </w:rPr>
              <w:t>Contingently issuable instruments (treasury stock method)</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708,746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714,185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Market condition awards (contingently issuable)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40,460</w:t>
            </w:r>
          </w:p>
        </w:tc>
        <w:tc>
          <w:tcPr>
            <w:tcW w:w="0" w:type="dxa"/>
            <w:vAlign w:val="bottom"/>
          </w:tcPr>
          <w:p>
            <w:pPr>
              <w:spacing w:after="0"/>
              <w:rPr>
                <w:sz w:val="1"/>
                <w:szCs w:val="1"/>
                <w:color w:val="auto"/>
              </w:rPr>
            </w:pPr>
          </w:p>
        </w:tc>
      </w:tr>
      <w:tr>
        <w:trPr>
          <w:trHeight w:val="239"/>
        </w:trPr>
        <w:tc>
          <w:tcPr>
            <w:tcW w:w="8020" w:type="dxa"/>
            <w:vAlign w:val="bottom"/>
          </w:tcPr>
          <w:p>
            <w:pPr>
              <w:ind w:left="460"/>
              <w:spacing w:after="0"/>
              <w:rPr>
                <w:sz w:val="20"/>
                <w:szCs w:val="20"/>
                <w:color w:val="auto"/>
              </w:rPr>
            </w:pPr>
            <w:r>
              <w:rPr>
                <w:rFonts w:ascii="Arial" w:cs="Arial" w:eastAsia="Arial" w:hAnsi="Arial"/>
                <w:sz w:val="18"/>
                <w:szCs w:val="18"/>
                <w:color w:val="auto"/>
              </w:rPr>
              <w:t>Performance awards (contingently issuable)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38,441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32,362</w:t>
            </w: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Restricted stock units (treasury stock method)</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318,421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155,995</w:t>
            </w:r>
          </w:p>
        </w:tc>
        <w:tc>
          <w:tcPr>
            <w:tcW w:w="0" w:type="dxa"/>
            <w:vAlign w:val="bottom"/>
          </w:tcPr>
          <w:p>
            <w:pPr>
              <w:spacing w:after="0"/>
              <w:rPr>
                <w:sz w:val="1"/>
                <w:szCs w:val="1"/>
                <w:color w:val="auto"/>
              </w:rPr>
            </w:pPr>
          </w:p>
        </w:tc>
      </w:tr>
      <w:tr>
        <w:trPr>
          <w:trHeight w:val="229"/>
        </w:trPr>
        <w:tc>
          <w:tcPr>
            <w:tcW w:w="8020" w:type="dxa"/>
            <w:vAlign w:val="bottom"/>
          </w:tcPr>
          <w:p>
            <w:pPr>
              <w:ind w:left="460"/>
              <w:spacing w:after="0"/>
              <w:rPr>
                <w:sz w:val="20"/>
                <w:szCs w:val="20"/>
                <w:color w:val="auto"/>
              </w:rPr>
            </w:pPr>
            <w:r>
              <w:rPr>
                <w:rFonts w:ascii="Arial" w:cs="Arial" w:eastAsia="Arial" w:hAnsi="Arial"/>
                <w:sz w:val="18"/>
                <w:szCs w:val="18"/>
                <w:color w:val="auto"/>
              </w:rPr>
              <w:t>Options (treasury stock method)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19,216</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Diluted weighted-average common share equivalents</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36,952,073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32,412,307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tcBorders>
              <w:top w:val="single" w:sz="8" w:color="CCEEFF"/>
            </w:tcBorders>
            <w:vMerge w:val="continue"/>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0.43</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54"/>
        </w:trPr>
        <w:tc>
          <w:tcPr>
            <w:tcW w:w="80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preferred shares participate in dividends and distributions with common stock on an as-converted basis and represent a participating security. Instruments awarded to employees that provide the holder the right to purchase common stock at a fixed price were included as potential common shares, weighted for the portion of the period they were granted, if dilutive.</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Anti-dilutive instruments are excluded from the calculation of diluted weighted-average common share equivalents as they would have an anti-dilutive impact. The following table sets forth the weighted-average instruments that were excluded from the calculation of diluted weighted-average common share equivalents during the three months ended March 31, 2023 and 2022.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4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2022</w:t>
            </w:r>
          </w:p>
        </w:tc>
      </w:tr>
      <w:tr>
        <w:trPr>
          <w:trHeight w:val="250"/>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Contingently issuable instruments (treasury stock method)</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345,764</w:t>
            </w:r>
          </w:p>
        </w:tc>
        <w:tc>
          <w:tcPr>
            <w:tcW w:w="8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w w:val="99"/>
              </w:rPr>
              <w:t>—</w:t>
            </w:r>
          </w:p>
        </w:tc>
      </w:tr>
      <w:tr>
        <w:trPr>
          <w:trHeight w:val="239"/>
        </w:trPr>
        <w:tc>
          <w:tcPr>
            <w:tcW w:w="8020" w:type="dxa"/>
            <w:vAlign w:val="bottom"/>
          </w:tcPr>
          <w:p>
            <w:pPr>
              <w:ind w:left="20"/>
              <w:spacing w:after="0"/>
              <w:rPr>
                <w:sz w:val="20"/>
                <w:szCs w:val="20"/>
                <w:color w:val="auto"/>
              </w:rPr>
            </w:pPr>
            <w:r>
              <w:rPr>
                <w:rFonts w:ascii="Arial" w:cs="Arial" w:eastAsia="Arial" w:hAnsi="Arial"/>
                <w:sz w:val="18"/>
                <w:szCs w:val="18"/>
                <w:color w:val="auto"/>
              </w:rPr>
              <w:t>Market condition awards (contingently issuable)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13,795</w:t>
            </w:r>
          </w:p>
        </w:tc>
        <w:tc>
          <w:tcPr>
            <w:tcW w:w="80" w:type="dxa"/>
            <w:vAlign w:val="bottom"/>
          </w:tcPr>
          <w:p>
            <w:pPr>
              <w:spacing w:after="0"/>
              <w:rPr>
                <w:sz w:val="20"/>
                <w:szCs w:val="20"/>
                <w:color w:val="auto"/>
              </w:rPr>
            </w:pPr>
          </w:p>
        </w:tc>
        <w:tc>
          <w:tcPr>
            <w:tcW w:w="1560" w:type="dxa"/>
            <w:vAlign w:val="bottom"/>
          </w:tcPr>
          <w:p>
            <w:pPr>
              <w:ind w:left="1360"/>
              <w:spacing w:after="0"/>
              <w:rPr>
                <w:sz w:val="20"/>
                <w:szCs w:val="20"/>
                <w:color w:val="auto"/>
              </w:rPr>
            </w:pPr>
            <w:r>
              <w:rPr>
                <w:rFonts w:ascii="Arial" w:cs="Arial" w:eastAsia="Arial" w:hAnsi="Arial"/>
                <w:sz w:val="18"/>
                <w:szCs w:val="18"/>
                <w:color w:val="auto"/>
                <w:w w:val="99"/>
              </w:rPr>
              <w:t>—</w:t>
            </w:r>
          </w:p>
        </w:tc>
      </w:tr>
      <w:tr>
        <w:trPr>
          <w:trHeight w:val="23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awards (contingently issuable)</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40,080</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9"/>
              </w:rPr>
              <w:t>—</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Restricted stock units (treasury stock method)</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390,076</w:t>
            </w:r>
          </w:p>
        </w:tc>
        <w:tc>
          <w:tcPr>
            <w:tcW w:w="80" w:type="dxa"/>
            <w:vAlign w:val="bottom"/>
          </w:tcPr>
          <w:p>
            <w:pPr>
              <w:spacing w:after="0"/>
              <w:rPr>
                <w:sz w:val="19"/>
                <w:szCs w:val="19"/>
                <w:color w:val="auto"/>
              </w:rPr>
            </w:pPr>
          </w:p>
        </w:tc>
        <w:tc>
          <w:tcPr>
            <w:tcW w:w="1560" w:type="dxa"/>
            <w:vAlign w:val="bottom"/>
          </w:tcPr>
          <w:p>
            <w:pPr>
              <w:ind w:left="1360"/>
              <w:spacing w:after="0"/>
              <w:rPr>
                <w:sz w:val="20"/>
                <w:szCs w:val="20"/>
                <w:color w:val="auto"/>
              </w:rPr>
            </w:pPr>
            <w:r>
              <w:rPr>
                <w:rFonts w:ascii="Arial" w:cs="Arial" w:eastAsia="Arial" w:hAnsi="Arial"/>
                <w:sz w:val="18"/>
                <w:szCs w:val="18"/>
                <w:color w:val="auto"/>
                <w:w w:val="99"/>
              </w:rPr>
              <w:t>—</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(treasury stock method)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333,551</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ind w:left="1360"/>
              <w:spacing w:after="0"/>
              <w:rPr>
                <w:sz w:val="20"/>
                <w:szCs w:val="20"/>
                <w:color w:val="auto"/>
              </w:rPr>
            </w:pPr>
            <w:r>
              <w:rPr>
                <w:rFonts w:ascii="Arial" w:cs="Arial" w:eastAsia="Arial" w:hAnsi="Arial"/>
                <w:sz w:val="18"/>
                <w:szCs w:val="18"/>
                <w:color w:val="auto"/>
                <w:w w:val="99"/>
              </w:rPr>
              <w:t>—</w:t>
            </w:r>
          </w:p>
        </w:tc>
      </w:tr>
      <w:tr>
        <w:trPr>
          <w:trHeight w:val="40"/>
        </w:trPr>
        <w:tc>
          <w:tcPr>
            <w:tcW w:w="80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1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r>
        <w:rPr>
          <w:rFonts w:ascii="Arial" w:cs="Arial" w:eastAsia="Arial" w:hAnsi="Arial"/>
          <w:sz w:val="18"/>
          <w:szCs w:val="18"/>
          <w:b w:val="1"/>
          <w:bCs w:val="1"/>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common and preferred shares financed by stock notes are contingently issuable instruments where the holder must return, all or part of, the shares if the stock notes are not paid off. The following table sets forth common share equivalents of contingently issuable instruments (in shares) that were excluded from basic earnings per share for the three months ended March 31, 2023 and 2022:</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660" w:type="dxa"/>
            <w:vAlign w:val="bottom"/>
            <w:tcBorders>
              <w:top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1,054,510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183,604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Preferred shares, if converted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1,216,389</w:t>
            </w:r>
          </w:p>
        </w:tc>
      </w:tr>
      <w:tr>
        <w:trPr>
          <w:trHeight w:val="257"/>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1,054,510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1,399,993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impact of the contingently issuable instruments on diluted earnings per share was calculated using the treasury stock method and included in the reconciliation of the denominator of the basic and diluted earnings per share computations for the three months ended March 31, 2023 and 2022.</w:t>
      </w:r>
    </w:p>
    <w:p>
      <w:pPr>
        <w:spacing w:after="0" w:line="12" w:lineRule="exact"/>
        <w:rPr>
          <w:sz w:val="20"/>
          <w:szCs w:val="20"/>
          <w:color w:val="auto"/>
        </w:rPr>
      </w:pPr>
    </w:p>
    <w:p>
      <w:pPr>
        <w:ind w:right="8820" w:firstLine="8"/>
        <w:spacing w:after="0" w:line="378" w:lineRule="auto"/>
        <w:tabs>
          <w:tab w:leader="none" w:pos="324"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 Westaim</w:t>
      </w:r>
    </w:p>
    <w:p>
      <w:pPr>
        <w:jc w:val="both"/>
        <w:ind w:firstLine="324"/>
        <w:spacing w:after="0" w:line="277" w:lineRule="auto"/>
        <w:rPr>
          <w:sz w:val="20"/>
          <w:szCs w:val="20"/>
          <w:color w:val="auto"/>
        </w:rPr>
      </w:pPr>
      <w:r>
        <w:rPr>
          <w:rFonts w:ascii="Arial" w:cs="Arial" w:eastAsia="Arial" w:hAnsi="Arial"/>
          <w:sz w:val="18"/>
          <w:szCs w:val="18"/>
          <w:color w:val="auto"/>
        </w:rPr>
        <w:t>As of March 31, 2023 and December 31, 2022, Westaim and Westaim HIIG LP owned 39.0% and 44.5%, respectively, of the Company’s common stock. The changes in ownership percentage were primarily due to the IPO and conversion of preferred stock to common stock.</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investment in Westaim is included in equity securities on the consolidated balance sheets. The unrealized loss on this investment as of March 31, 2023 and December 31, 2022 were $1.5 million and $2.3 million, respectively.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Prior to the closing of the IPO, Westaim performed consulting and certain other services for the Company pursuant to a Management Services Agreement. This agreement terminated pursuant to its terms upon the closing of the IPO.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RISCOM</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RISCOM provides the Company with wholesale brokerage services. RISCOM and the Company also have a managing general agency agreement. The Company holds a 20% ownership interest in RISCOM.</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earned premium and gross commission expense related to these agreements for the three months ended March 31, 2023 and 2022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21,018</w:t>
            </w:r>
          </w:p>
        </w:tc>
      </w:tr>
      <w:tr>
        <w:trPr>
          <w:trHeight w:val="234"/>
        </w:trPr>
        <w:tc>
          <w:tcPr>
            <w:tcW w:w="804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6,853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7,348</w:t>
            </w:r>
          </w:p>
        </w:tc>
      </w:tr>
      <w:tr>
        <w:trPr>
          <w:trHeight w:val="49"/>
        </w:trPr>
        <w:tc>
          <w:tcPr>
            <w:tcW w:w="80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Premiums receivable as of March 31, 2023 and December 31, 2022 were $17.6 million and $9.9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Reinsurance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Company has reinsurance agreements with Everest Re, an affiliate of Mt. Whitney Securities, LLC, which was a limited partner of Westaim HIIG LP through November 30, 2022, and holder of preferred shares. During the three months ended March 31, 2023, Mt. Whitney Securities divested their entire ownership of the Company’s equity securities. Reinsurance premiums ceded during the three months ended March 31, 2022 related to the agreement were $19.6 million. Reinsurance recoverable from Everest Re, net of premium payables at December 31, 2022 were $177.5 million.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Advisory and professional services fees and expense reimbursements paid to various affiliated shareholders and directors for the three months ended March 31, 2023 and 2022 were $2.1 million and $0.7 million,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4 and 5 for investments involving affiliated companies and additional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SKYWARD SPECIALTY INSURANCE GROUP,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360" w:firstLine="8"/>
        <w:spacing w:after="0" w:line="378" w:lineRule="auto"/>
        <w:tabs>
          <w:tab w:leader="none" w:pos="32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Contingencies Litigation</w:t>
      </w:r>
    </w:p>
    <w:p>
      <w:pPr>
        <w:jc w:val="both"/>
        <w:ind w:firstLine="324"/>
        <w:spacing w:after="0" w:line="254" w:lineRule="auto"/>
        <w:rPr>
          <w:sz w:val="20"/>
          <w:szCs w:val="20"/>
          <w:color w:val="auto"/>
        </w:rPr>
      </w:pPr>
      <w:r>
        <w:rPr>
          <w:rFonts w:ascii="Arial" w:cs="Arial" w:eastAsia="Arial" w:hAnsi="Arial"/>
          <w:sz w:val="18"/>
          <w:szCs w:val="18"/>
          <w:color w:val="auto"/>
        </w:rPr>
        <w:t>The Company is named as a defendant in various legal actions arising from claims made under insurance policies and contracts. Those actions are considered by the Company in estimating the losses and loss adjustment expense reserves. Also, from time to time, the Company is a defendant in various legal actions that relate to bad faith claims, disputes with third parties or that involve alleged errors and omissions. The Company records accruals for these items to the extent the losses are probable and reasonably estimable. Although the ultimate outcome of these matters cannot be determined at this time, based on present information, the availability of insurance coverage and advice received from outside legal counsel, the Company’s management believes the resolution of any such matters will not, individually or in the aggregate, have a material adverse effect on the Company’s consolidated financial position, results of operations or cash flows.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Indemnification</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conjunction with the sale of business assets and subsidiaries, the Company has provided indemnifications to certain of the buyers. Certain indemnifications cover typical representations and warranties related to the responsibilities to perform under the sales contracts. The amount of potential exposure covered by the indemnifications is difficult to determine because the indemnifications cover a variety of matters, operations and scenarios. Certain of these indemnifications have no time limit. At this time, the Company does not have reason to believe any such significant claims exist.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The term “Skyward Specialty” as used below refers only to Skyward Specialty Insurance Group, Inc. and the terms “our Company,” “we,” “us,” and “our” as used below refer to Skyward Specialty Insurance Group and its consolidated subsidiaries. The term “first quarter” as used below refers to the three months ended March 31 for the time period then ended. Select insurance and accounting terms for Skyward Specialty are defined in the section entitled “Select Insurance and Financial Terms” included in our Annual Report on Form 10-K for the year ended December 31, 2022 (the “2022 Form 10-K”).</w:t>
      </w:r>
    </w:p>
    <w:p>
      <w:pPr>
        <w:spacing w:after="0" w:line="8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The discussion and analysis below include certain forward-looking statements that are subject to risks, uncertainties and other factors described in "Risk Factors" in our Annual Report on Form 10-K for the year ended December 31, 2022. Our actual results could differ materially from those anticipated in these forward-looking statements as a result of many factors.</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The results of operations for the three months ended March 31, 2023 are not necessarily indicative of the results that may be expected for the full year ended December 31, 2023, or for any other future period. The following discussion should be read in conjunction with the unaudited condensed consolidated financial statements and the notes thereto included in Part I, Item 1 of this Quarterly Report, and in conjunction with our audited consolidated financial statements and the notes thereto included in our Annual Report on Form 10-K for the year ended December 31, 2022.</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The accompanying condensed consolidated financial statements and related notes have been prepared in accordance with United States (“U.S.”) generally accepted accounting principles (“GAAP”).</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Founded in 2006, Skyward Specialty is a specialty insurance company incorporated in Delaware. We have one reportable segment through which we offer a broad array of commercial property and casualty products and solutions on a non-admitted (or E&amp;S) and admitted basis, predominantly in the United States. We focus our business on markets that are underserved, dislocated and/or for which standard insurance coverages are insufficient or inadequate to meet the needs of businesses, including our customers and prospective customers operating in these markets. Our customers typically require highly specialized, customized underwriting solutions and claims capabilities. As such, we develop and deliver tailored insurance products and services to address each of the niche markets we serve.</w:t>
      </w:r>
    </w:p>
    <w:p>
      <w:pPr>
        <w:spacing w:after="0" w:line="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of our eight distinct underwriting divisions has dedicated underwriting leadership supported by high-quality technical staff with deep experience in their respective niches. We believe this structure and expertise allows us to serve the needs of our customers effectively and be a value-add partner to our distributors, while earning attractive risk-adjusted returns.</w:t>
      </w:r>
    </w:p>
    <w:p>
      <w:pPr>
        <w:spacing w:after="0" w:line="76" w:lineRule="exact"/>
        <w:rPr>
          <w:sz w:val="20"/>
          <w:szCs w:val="20"/>
          <w:color w:val="auto"/>
        </w:rPr>
      </w:pPr>
    </w:p>
    <w:p>
      <w:pPr>
        <w:ind w:right="560" w:firstLine="324"/>
        <w:spacing w:after="0" w:line="375" w:lineRule="auto"/>
        <w:rPr>
          <w:sz w:val="20"/>
          <w:szCs w:val="20"/>
          <w:color w:val="auto"/>
        </w:rPr>
      </w:pPr>
      <w:r>
        <w:rPr>
          <w:rFonts w:ascii="Arial" w:cs="Arial" w:eastAsia="Arial" w:hAnsi="Arial"/>
          <w:sz w:val="18"/>
          <w:szCs w:val="18"/>
          <w:color w:val="auto"/>
        </w:rPr>
        <w:t xml:space="preserve">All of our insurance company subsidiaries are group rated and have financial strength ratings of “A-” (Excellent) from the A.M. Best Company. </w:t>
      </w:r>
      <w:r>
        <w:rPr>
          <w:rFonts w:ascii="Arial" w:cs="Arial" w:eastAsia="Arial" w:hAnsi="Arial"/>
          <w:sz w:val="18"/>
          <w:szCs w:val="18"/>
          <w:b w:val="1"/>
          <w:bCs w:val="1"/>
          <w:color w:val="auto"/>
        </w:rPr>
        <w:t>Key Operating and Financial Metrics</w:t>
      </w:r>
    </w:p>
    <w:p>
      <w:pPr>
        <w:spacing w:after="0" w:line="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discuss certain key metrics, described below, which provide useful information about our business and the operational factors underlying our financial performance. These metrics are generally standard among insurance companies and help to provide comparability with our peers.</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retention</w:t>
      </w:r>
      <w:r>
        <w:rPr>
          <w:rFonts w:ascii="Arial" w:cs="Arial" w:eastAsia="Arial" w:hAnsi="Arial"/>
          <w:sz w:val="18"/>
          <w:szCs w:val="18"/>
          <w:color w:val="auto"/>
        </w:rPr>
        <w:t>, expressed as a percentage, is the ratio of net written premiums to gross written premiums.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Underwriting income (loss) </w:t>
      </w:r>
      <w:r>
        <w:rPr>
          <w:rFonts w:ascii="Arial" w:cs="Arial" w:eastAsia="Arial" w:hAnsi="Arial"/>
          <w:sz w:val="18"/>
          <w:szCs w:val="18"/>
          <w:color w:val="auto"/>
        </w:rPr>
        <w:t>is a non-GAAP financial measure defined as income (loss) before income taxes excluding net investment income,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realized and unrealized gains and losses on investments, impairment charges, interest expense, amortization expense and other income and expenses. See “Reconciliation of Non-GAAP Financial Measures” for a reconciliation of underwriting income (loss) to net income, which is the most directly comparable financial metric prepared in accordance with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Loss and LAE ratio</w:t>
      </w:r>
      <w:r>
        <w:rPr>
          <w:rFonts w:ascii="Arial" w:cs="Arial" w:eastAsia="Arial" w:hAnsi="Arial"/>
          <w:sz w:val="18"/>
          <w:szCs w:val="18"/>
          <w:color w:val="auto"/>
        </w:rPr>
        <w:t>, expressed as a percentage, is the ratio of losses and LAE to net earned premiums.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Expense ratio</w:t>
      </w:r>
      <w:r>
        <w:rPr>
          <w:rFonts w:ascii="Arial" w:cs="Arial" w:eastAsia="Arial" w:hAnsi="Arial"/>
          <w:sz w:val="17"/>
          <w:szCs w:val="17"/>
          <w:color w:val="auto"/>
        </w:rPr>
        <w:t>, expressed as a percentage, is the ratio of underwriting, acquisition and insurance expenses less commission and fee income to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premiums. In certain instances, fee income relates to business placed with other insurers as part of our packaged solution.</w:t>
      </w:r>
    </w:p>
    <w:p>
      <w:pPr>
        <w:spacing w:after="0" w:line="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Combined ratio </w:t>
      </w:r>
      <w:r>
        <w:rPr>
          <w:rFonts w:ascii="Arial" w:cs="Arial" w:eastAsia="Arial" w:hAnsi="Arial"/>
          <w:sz w:val="18"/>
          <w:szCs w:val="18"/>
          <w:color w:val="auto"/>
        </w:rPr>
        <w:t>is the sum of loss ratio and expense ratio. A combined ratio under 100% indicates an underwriting profit. A combined ratio over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indicates an underwriting loss.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Adjusted loss and LAE ratio</w:t>
      </w:r>
      <w:r>
        <w:rPr>
          <w:rFonts w:ascii="Arial" w:cs="Arial" w:eastAsia="Arial" w:hAnsi="Arial"/>
          <w:sz w:val="18"/>
          <w:szCs w:val="18"/>
          <w:color w:val="auto"/>
        </w:rPr>
        <w:t>, expressed as a percentage, is a non-GAAP financial measure defined as the ratio of losses and LAE, excluding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LAE related to the loss portfolio transfer (“LPT”) and all development on reserves fully or partially covered by the LPT, to net earned premiums. See “Reconciliation of Non-GAAP Financial Measures” for a reconciliation of adjusted loss ratio to loss ratio, which is the most directly comparable financial metric prepared in accordance with GAAP.</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Adjusted combined ratio </w:t>
      </w:r>
      <w:r>
        <w:rPr>
          <w:rFonts w:ascii="Arial" w:cs="Arial" w:eastAsia="Arial" w:hAnsi="Arial"/>
          <w:sz w:val="18"/>
          <w:szCs w:val="18"/>
          <w:color w:val="auto"/>
        </w:rPr>
        <w:t>is a non-GAAP financial measure defined as the sum of the adjusted loss ratio and the expense ratio. See “Reconciliation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Non-GAAP Financial Measures” for a reconciliation of adjusted combined ratio to combined ratio, which is the most directly comparable financial metric prepared in accordance with GAAP.</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Adjusted operating income (loss) </w:t>
      </w:r>
      <w:r>
        <w:rPr>
          <w:rFonts w:ascii="Arial" w:cs="Arial" w:eastAsia="Arial" w:hAnsi="Arial"/>
          <w:sz w:val="18"/>
          <w:szCs w:val="18"/>
          <w:color w:val="auto"/>
        </w:rPr>
        <w:t>is a non-GAAP financial measure defined as net income excluding the net impact of the LPT, net realized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unrealized gains or losses on investments, goodwill impairment charges and other income and expenses. See “Reconciliation of Non-GAAP Financial Measures” for a reconciliation of adjusted operating income (loss) to net income (loss), which is the most directly comparable financial metric prepared in accordance with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Return on equity </w:t>
      </w:r>
      <w:r>
        <w:rPr>
          <w:rFonts w:ascii="Arial" w:cs="Arial" w:eastAsia="Arial" w:hAnsi="Arial"/>
          <w:sz w:val="18"/>
          <w:szCs w:val="18"/>
          <w:color w:val="auto"/>
        </w:rPr>
        <w:t>is annualized net income as a percentage of average beginning and ending stockholders’ equity.</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Adjusted return on equity </w:t>
      </w:r>
      <w:r>
        <w:rPr>
          <w:rFonts w:ascii="Arial" w:cs="Arial" w:eastAsia="Arial" w:hAnsi="Arial"/>
          <w:sz w:val="17"/>
          <w:szCs w:val="17"/>
          <w:color w:val="auto"/>
        </w:rPr>
        <w:t>is a non-GAAP financial measure defined as annualized adjusted operating income as a percentage of average beginning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ending stockholders’ equity during the applicable period. See “Reconciliation of Non-GAAP Financial Measures” for a reconciliation of adjusted return on equity to return on equity, which is the most directly comparable financial metric prepared in accordance with GAAP.</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Tangible stockholders’ equity </w:t>
      </w:r>
      <w:r>
        <w:rPr>
          <w:rFonts w:ascii="Arial" w:cs="Arial" w:eastAsia="Arial" w:hAnsi="Arial"/>
          <w:sz w:val="18"/>
          <w:szCs w:val="18"/>
          <w:color w:val="auto"/>
        </w:rPr>
        <w:t>is a non-GAAP financial measure defined as stockholders’ equity less goodwill and intangible assets. See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“Reconciliation of Non-GAAP Financial Measures” for a reconciliation of tangible stockholders’ equity to stockholders’ equity, which is the most directly comparable financial metric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Return on tangible equity </w:t>
      </w:r>
      <w:r>
        <w:rPr>
          <w:rFonts w:ascii="Arial" w:cs="Arial" w:eastAsia="Arial" w:hAnsi="Arial"/>
          <w:sz w:val="17"/>
          <w:szCs w:val="17"/>
          <w:color w:val="auto"/>
        </w:rPr>
        <w:t>is a non-GAAP financial measure defined as annualized net income as a percentage of average beginning and ending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tangible stockholders’ equity during the applicable period. See “Reconciliation of Non-GAAP Financial Measures” for a reconciliation of return on tangible equity to return on equity, which is the most comparable financial metric prepared in accordance with GAAP.</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Adjusted return on tangible equity </w:t>
      </w:r>
      <w:r>
        <w:rPr>
          <w:rFonts w:ascii="Arial" w:cs="Arial" w:eastAsia="Arial" w:hAnsi="Arial"/>
          <w:sz w:val="18"/>
          <w:szCs w:val="18"/>
          <w:color w:val="auto"/>
        </w:rPr>
        <w:t>is a non-GAAP financial measure defined as annualized adjusted operating income as a percentage of average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and ending tangible stockholders’ equity during the applicable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for the three months ended March 31, 2023 and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7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37"/>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written premiums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360,498</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282,642</w:t>
            </w:r>
          </w:p>
        </w:tc>
      </w:tr>
      <w:tr>
        <w:trPr>
          <w:trHeight w:val="229"/>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Ceded written premiums</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(158,357)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(147,241)</w:t>
            </w:r>
          </w:p>
        </w:tc>
      </w:tr>
      <w:tr>
        <w:trPr>
          <w:trHeight w:val="223"/>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written premiums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202,141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135,401</w:t>
            </w: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color w:val="auto"/>
              </w:rPr>
              <w:t>Net earned premiums</w:t>
            </w:r>
          </w:p>
        </w:tc>
        <w:tc>
          <w:tcPr>
            <w:tcW w:w="38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182,831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141,726</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 and fee income</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1,492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230</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Losses and LAE</w:t>
            </w:r>
          </w:p>
        </w:tc>
        <w:tc>
          <w:tcPr>
            <w:tcW w:w="38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114,900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89,989</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51,655</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40,534</w:t>
            </w:r>
          </w:p>
        </w:tc>
      </w:tr>
      <w:tr>
        <w:trPr>
          <w:trHeight w:val="223"/>
        </w:trPr>
        <w:tc>
          <w:tcPr>
            <w:tcW w:w="7760" w:type="dxa"/>
            <w:vAlign w:val="bottom"/>
          </w:tcPr>
          <w:p>
            <w:pPr>
              <w:ind w:left="240"/>
              <w:spacing w:after="0" w:line="223" w:lineRule="exact"/>
              <w:rPr>
                <w:sz w:val="20"/>
                <w:szCs w:val="20"/>
                <w:color w:val="auto"/>
              </w:rPr>
            </w:pPr>
            <w:r>
              <w:rPr>
                <w:rFonts w:ascii="Arial" w:cs="Arial" w:eastAsia="Arial" w:hAnsi="Arial"/>
                <w:sz w:val="18"/>
                <w:szCs w:val="18"/>
                <w:color w:val="auto"/>
              </w:rPr>
              <w:t>Underwriting income</w:t>
            </w:r>
            <w:r>
              <w:rPr>
                <w:rFonts w:ascii="Arial" w:cs="Arial" w:eastAsia="Arial" w:hAnsi="Arial"/>
                <w:sz w:val="23"/>
                <w:szCs w:val="23"/>
                <w:color w:val="auto"/>
                <w:vertAlign w:val="superscript"/>
              </w:rPr>
              <w:t>(1)</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17,768</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11,433</w:t>
            </w:r>
          </w:p>
        </w:tc>
      </w:tr>
      <w:tr>
        <w:trPr>
          <w:trHeight w:val="34"/>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4,646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15,149</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961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(4,438)</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federal income tax</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19,722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20,580</w:t>
            </w:r>
          </w:p>
        </w:tc>
      </w:tr>
      <w:tr>
        <w:trPr>
          <w:trHeight w:val="239"/>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15,556</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16,311</w:t>
            </w:r>
          </w:p>
        </w:tc>
      </w:tr>
      <w:tr>
        <w:trPr>
          <w:trHeight w:val="234"/>
        </w:trPr>
        <w:tc>
          <w:tcPr>
            <w:tcW w:w="7760" w:type="dxa"/>
            <w:vAlign w:val="bottom"/>
            <w:shd w:val="clear" w:color="auto" w:fill="CCEEFF"/>
          </w:tcPr>
          <w:p>
            <w:pPr>
              <w:ind w:left="20"/>
              <w:spacing w:after="0" w:line="234"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15,486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19,817</w:t>
            </w:r>
          </w:p>
        </w:tc>
      </w:tr>
      <w:tr>
        <w:trPr>
          <w:trHeight w:val="54"/>
        </w:trPr>
        <w:tc>
          <w:tcPr>
            <w:tcW w:w="7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and LAE ratio</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r>
      <w:tr>
        <w:trPr>
          <w:trHeight w:val="24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27.4 %</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28.4 %</w:t>
            </w:r>
          </w:p>
        </w:tc>
      </w:tr>
      <w:tr>
        <w:trPr>
          <w:trHeight w:val="248"/>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90.2 %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1"/>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Adjusted loss and LAE ratio</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62.9 %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r>
      <w:tr>
        <w:trPr>
          <w:trHeight w:val="243"/>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ratio</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27.4 %</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28.4 %</w:t>
            </w:r>
          </w:p>
        </w:tc>
      </w:tr>
      <w:tr>
        <w:trPr>
          <w:trHeight w:val="248"/>
        </w:trPr>
        <w:tc>
          <w:tcPr>
            <w:tcW w:w="7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Adjusted combined ratio</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90.3 %</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Annualized return on equity</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243"/>
        </w:trPr>
        <w:tc>
          <w:tcPr>
            <w:tcW w:w="7760" w:type="dxa"/>
            <w:vAlign w:val="bottom"/>
          </w:tcPr>
          <w:p>
            <w:pPr>
              <w:ind w:left="20"/>
              <w:spacing w:after="0" w:line="243" w:lineRule="exact"/>
              <w:rPr>
                <w:sz w:val="20"/>
                <w:szCs w:val="20"/>
                <w:color w:val="auto"/>
              </w:rPr>
            </w:pPr>
            <w:r>
              <w:rPr>
                <w:rFonts w:ascii="Arial" w:cs="Arial" w:eastAsia="Arial" w:hAnsi="Arial"/>
                <w:sz w:val="18"/>
                <w:szCs w:val="18"/>
                <w:color w:val="auto"/>
              </w:rPr>
              <w:t>Annualized return on tangible equity</w:t>
            </w:r>
            <w:r>
              <w:rPr>
                <w:rFonts w:ascii="Arial" w:cs="Arial" w:eastAsia="Arial" w:hAnsi="Arial"/>
                <w:sz w:val="23"/>
                <w:szCs w:val="23"/>
                <w:color w:val="auto"/>
                <w:vertAlign w:val="superscript"/>
              </w:rPr>
              <w:t>(1)</w:t>
            </w: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16.6 %</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19.4 %</w:t>
            </w:r>
          </w:p>
        </w:tc>
      </w:tr>
      <w:tr>
        <w:trPr>
          <w:trHeight w:val="230"/>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Annualized adjusted return on equity</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90"/>
        </w:trPr>
        <w:tc>
          <w:tcPr>
            <w:tcW w:w="7760" w:type="dxa"/>
            <w:vAlign w:val="bottom"/>
          </w:tcPr>
          <w:p>
            <w:pPr>
              <w:ind w:left="20"/>
              <w:spacing w:after="0"/>
              <w:rPr>
                <w:sz w:val="20"/>
                <w:szCs w:val="20"/>
                <w:color w:val="auto"/>
              </w:rPr>
            </w:pPr>
            <w:r>
              <w:rPr>
                <w:rFonts w:ascii="Arial" w:cs="Arial" w:eastAsia="Arial" w:hAnsi="Arial"/>
                <w:sz w:val="18"/>
                <w:szCs w:val="18"/>
                <w:color w:val="auto"/>
              </w:rPr>
              <w:t>Annualized adjusted return on tangible equity</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16.5 %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23.6 %</w:t>
            </w:r>
          </w:p>
        </w:tc>
      </w:tr>
    </w:tbl>
    <w:p>
      <w:pPr>
        <w:ind w:left="40"/>
        <w:spacing w:after="0"/>
        <w:rPr>
          <w:sz w:val="20"/>
          <w:szCs w:val="20"/>
          <w:color w:val="auto"/>
        </w:rPr>
      </w:pPr>
      <w:r>
        <w:rPr>
          <w:rFonts w:ascii="Arial" w:cs="Arial" w:eastAsia="Arial" w:hAnsi="Arial"/>
          <w:sz w:val="9"/>
          <w:szCs w:val="9"/>
          <w:i w:val="1"/>
          <w:iCs w:val="1"/>
          <w:color w:val="auto"/>
        </w:rPr>
        <w:t xml:space="preserve">(1) </w:t>
      </w:r>
      <w:r>
        <w:rPr>
          <w:rFonts w:ascii="Arial" w:cs="Arial" w:eastAsia="Arial" w:hAnsi="Arial"/>
          <w:sz w:val="14"/>
          <w:szCs w:val="14"/>
          <w:i w:val="1"/>
          <w:iCs w:val="1"/>
          <w:color w:val="auto"/>
        </w:rPr>
        <w:t>See “Reconciliation of Non-GAAP Financial Measures”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71151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Operating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reconciliation of adjusted operating income to net income for the three months ended March 31, 2023 and 2022:</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2022</w:t>
            </w:r>
          </w:p>
        </w:tc>
        <w:tc>
          <w:tcPr>
            <w:tcW w:w="1100" w:type="dxa"/>
            <w:vAlign w:val="bottom"/>
            <w:tcBorders>
              <w:top w:val="single" w:sz="8" w:color="auto"/>
              <w:bottom w:val="single" w:sz="8" w:color="auto"/>
            </w:tcBorders>
          </w:tcPr>
          <w:p>
            <w:pPr>
              <w:spacing w:after="0"/>
              <w:rPr>
                <w:sz w:val="21"/>
                <w:szCs w:val="21"/>
                <w:color w:val="auto"/>
              </w:rPr>
            </w:pPr>
          </w:p>
        </w:tc>
      </w:tr>
      <w:tr>
        <w:trPr>
          <w:trHeight w:val="227"/>
        </w:trPr>
        <w:tc>
          <w:tcPr>
            <w:tcW w:w="5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Pre-tax</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After-tax</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Pre-tax</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After-tax</w:t>
            </w:r>
          </w:p>
        </w:tc>
      </w:tr>
      <w:tr>
        <w:trPr>
          <w:trHeight w:val="223"/>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as reported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16,311</w:t>
            </w:r>
          </w:p>
        </w:tc>
      </w:tr>
      <w:tr>
        <w:trPr>
          <w:trHeight w:val="237"/>
        </w:trPr>
        <w:tc>
          <w:tcPr>
            <w:tcW w:w="548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Less: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impact of loss portfolio transfer</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gains (losses)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Underwriting income (loss)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reconciliation of underwriting income (loss) to income (loss) before federal income tax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2023 and 2022:</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federal income tax</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19,722</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Add:</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387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15,149</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investment gains (losses)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Underwriting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Loss Ratio / Adjusted Combined Ratio</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 reconciliation of the adjusted loss and LAE ratio and adjusted combined ratio to the loss and LAE ratio and combined ratio for the three months ended March 31,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774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7"/>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earned premiums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182,831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141,726</w:t>
            </w:r>
          </w:p>
        </w:tc>
      </w:tr>
      <w:tr>
        <w:trPr>
          <w:trHeight w:val="229"/>
        </w:trPr>
        <w:tc>
          <w:tcPr>
            <w:tcW w:w="7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89,989</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Less: Pre-tax net impact of loss portfolio transfer</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losses and LAE</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115,142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89,989</w:t>
            </w:r>
          </w:p>
        </w:tc>
      </w:tr>
      <w:tr>
        <w:trPr>
          <w:trHeight w:val="250"/>
        </w:trPr>
        <w:tc>
          <w:tcPr>
            <w:tcW w:w="774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ratio</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Less: Net impact of LPT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61"/>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Loss Ratio</w:t>
            </w:r>
          </w:p>
        </w:tc>
        <w:tc>
          <w:tcPr>
            <w:tcW w:w="3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impact of LPT</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r>
      <w:tr>
        <w:trPr>
          <w:trHeight w:val="248"/>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Combined Ratio</w:t>
            </w: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91.9 %</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Tangible Stockholders’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provides a reconciliation of tangible stockholders’ equity to stockholders’ equity for the periods ended March 31, 2023 and 2022:</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80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r>
      <w:tr>
        <w:trPr>
          <w:trHeight w:val="22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428,619</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Less: Goodwill and intangible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89,503</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90,970</w:t>
            </w:r>
          </w:p>
        </w:tc>
      </w:tr>
      <w:tr>
        <w:trPr>
          <w:trHeight w:val="257"/>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Tangible stockholders' equity</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417,643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337,649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Return on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a reconciliation of adjusted return on equity to return on equity for the periods ended March 31, 2023 and 2022:</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77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r>
      <w:tr>
        <w:trPr>
          <w:trHeight w:val="22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adjusted operating income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15,486</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19,817</w:t>
            </w:r>
          </w:p>
        </w:tc>
      </w:tr>
      <w:tr>
        <w:trPr>
          <w:trHeight w:val="232"/>
        </w:trPr>
        <w:tc>
          <w:tcPr>
            <w:tcW w:w="7760" w:type="dxa"/>
            <w:vAlign w:val="bottom"/>
          </w:tcPr>
          <w:p>
            <w:pPr>
              <w:ind w:left="20"/>
              <w:spacing w:after="0"/>
              <w:rPr>
                <w:sz w:val="20"/>
                <w:szCs w:val="20"/>
                <w:color w:val="auto"/>
              </w:rPr>
            </w:pPr>
            <w:r>
              <w:rPr>
                <w:rFonts w:ascii="Arial" w:cs="Arial" w:eastAsia="Arial" w:hAnsi="Arial"/>
                <w:sz w:val="18"/>
                <w:szCs w:val="18"/>
                <w:color w:val="auto"/>
              </w:rPr>
              <w:t>Denominator: average stockholders’ equity</w:t>
            </w:r>
          </w:p>
        </w:tc>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467,883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427,350</w:t>
            </w:r>
          </w:p>
        </w:tc>
      </w:tr>
      <w:tr>
        <w:trPr>
          <w:trHeight w:val="23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return on equity</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54"/>
        </w:trPr>
        <w:tc>
          <w:tcPr>
            <w:tcW w:w="77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 on Tangible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Return on tangible equity for the periods ended March 31, 2023 and 2022 reconciles to return on equity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6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37"/>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 net income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15,556</w:t>
            </w:r>
          </w:p>
        </w:tc>
        <w:tc>
          <w:tcPr>
            <w:tcW w:w="4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16,311</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Denominator: average tangible stockholders’ equity</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377,646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336,197</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on tangible equity</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19.4 %</w:t>
            </w:r>
          </w:p>
        </w:tc>
      </w:tr>
      <w:tr>
        <w:trPr>
          <w:trHeight w:val="54"/>
        </w:trPr>
        <w:tc>
          <w:tcPr>
            <w:tcW w:w="77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Return on Tangible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Adjusted return on tangible equity for the periods ended March 31, 2023 and 2022 reconciles to return on equity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76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4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2022</w:t>
            </w:r>
          </w:p>
        </w:tc>
      </w:tr>
      <w:tr>
        <w:trPr>
          <w:trHeight w:val="22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 adjusted operating income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15,486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19,817</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Denominator: average tangible stockholders’ equity</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377,646</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336,197</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return on tangible equity</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23.6 %</w:t>
            </w:r>
          </w:p>
        </w:tc>
      </w:tr>
      <w:tr>
        <w:trPr>
          <w:trHeight w:val="41"/>
        </w:trPr>
        <w:tc>
          <w:tcPr>
            <w:tcW w:w="7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Premiums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gross written premiums by underwriting division for the three months ended March 31, 2023 and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top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37"/>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Global Property &amp; Agriculture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74,340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21,148</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Industry Solutions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67,633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63,530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Programs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2.5 %</w:t>
            </w:r>
          </w:p>
        </w:tc>
      </w:tr>
      <w:tr>
        <w:trPr>
          <w:trHeight w:val="239"/>
        </w:trPr>
        <w:tc>
          <w:tcPr>
            <w:tcW w:w="5880" w:type="dxa"/>
            <w:vAlign w:val="bottom"/>
          </w:tcPr>
          <w:p>
            <w:pPr>
              <w:ind w:left="20"/>
              <w:spacing w:after="0"/>
              <w:rPr>
                <w:sz w:val="20"/>
                <w:szCs w:val="20"/>
                <w:color w:val="auto"/>
              </w:rPr>
            </w:pPr>
            <w:r>
              <w:rPr>
                <w:rFonts w:ascii="Arial" w:cs="Arial" w:eastAsia="Arial" w:hAnsi="Arial"/>
                <w:sz w:val="18"/>
                <w:szCs w:val="18"/>
                <w:color w:val="auto"/>
              </w:rPr>
              <w:t>Captives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46,080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21.1 %</w:t>
            </w:r>
          </w:p>
        </w:tc>
      </w:tr>
      <w:tr>
        <w:trPr>
          <w:trHeight w:val="23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&amp; Health</w:t>
            </w: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Professional Lines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16,867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16,305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96.7 %</w:t>
            </w: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Transactional E&amp;S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29,617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149.5 %</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Surety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24,701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8,449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52.0 %</w:t>
            </w:r>
          </w:p>
        </w:tc>
      </w:tr>
      <w:tr>
        <w:trPr>
          <w:trHeight w:val="223"/>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continuing business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360,255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279,849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80,406</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Exited business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(91.3 %)</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written premiums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360,498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quarter to date 2023 increase in gross written premiums, when compared to the same 2022 period, was primarily driven by double-digit premium growth in our global property and agriculture, transactional E&amp;S, professional lines, surety and captives underwriting divisions. The gross written premium increases were primarily driven by (i) new business, (ii) rate increases, and (iii) the addition of new products and units in global property and agriculture, professional lines and captives.</w:t>
      </w:r>
    </w:p>
    <w:p>
      <w:pPr>
        <w:spacing w:after="0" w:line="7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earned premiums were $182.8 million for the three months ended March 31, 2023, compared to $141.7 million for the same 2022 period, an increase of $41.1 million or 29.0%. The increase in net earned premiums was primarily driven by the same reasons that drove the increase in gross written premiums discussed above. For additional information regarding our reinsurance programs, see the “Reinsurance” discussion included in in this Item 2</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LAE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the components of the loss and LAE ratio and adjusted loss and LAE ratio for the three months ended March 31, 2023 and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2023</w:t>
            </w:r>
          </w:p>
        </w:tc>
        <w:tc>
          <w:tcPr>
            <w:tcW w:w="12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82"/>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0"/>
              <w:spacing w:after="0" w:line="182" w:lineRule="exact"/>
              <w:rPr>
                <w:sz w:val="20"/>
                <w:szCs w:val="20"/>
                <w:color w:val="auto"/>
              </w:rPr>
            </w:pPr>
            <w:r>
              <w:rPr>
                <w:rFonts w:ascii="Arial" w:cs="Arial" w:eastAsia="Arial" w:hAnsi="Arial"/>
                <w:sz w:val="18"/>
                <w:szCs w:val="18"/>
                <w:color w:val="auto"/>
                <w:w w:val="99"/>
              </w:rPr>
              <w:t>%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6"/>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center"/>
              <w:ind w:right="580"/>
              <w:spacing w:after="0" w:line="176" w:lineRule="exact"/>
              <w:rPr>
                <w:sz w:val="20"/>
                <w:szCs w:val="20"/>
                <w:color w:val="auto"/>
              </w:rPr>
            </w:pPr>
            <w:r>
              <w:rPr>
                <w:rFonts w:ascii="Arial" w:cs="Arial" w:eastAsia="Arial" w:hAnsi="Arial"/>
                <w:sz w:val="18"/>
                <w:szCs w:val="18"/>
                <w:color w:val="auto"/>
                <w:w w:val="87"/>
              </w:rPr>
              <w:t>Losses</w:t>
            </w:r>
          </w:p>
        </w:tc>
        <w:tc>
          <w:tcPr>
            <w:tcW w:w="1220" w:type="dxa"/>
            <w:vAlign w:val="bottom"/>
          </w:tcPr>
          <w:p>
            <w:pPr>
              <w:jc w:val="center"/>
              <w:ind w:right="170"/>
              <w:spacing w:after="0" w:line="176" w:lineRule="exact"/>
              <w:rPr>
                <w:sz w:val="20"/>
                <w:szCs w:val="20"/>
                <w:color w:val="auto"/>
              </w:rPr>
            </w:pPr>
            <w:r>
              <w:rPr>
                <w:rFonts w:ascii="Arial" w:cs="Arial" w:eastAsia="Arial" w:hAnsi="Arial"/>
                <w:sz w:val="18"/>
                <w:szCs w:val="18"/>
                <w:color w:val="auto"/>
                <w:w w:val="87"/>
              </w:rPr>
              <w:t>Net Earned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50"/>
              <w:spacing w:after="0" w:line="176" w:lineRule="exact"/>
              <w:rPr>
                <w:sz w:val="20"/>
                <w:szCs w:val="20"/>
                <w:color w:val="auto"/>
              </w:rPr>
            </w:pPr>
            <w:r>
              <w:rPr>
                <w:rFonts w:ascii="Arial" w:cs="Arial" w:eastAsia="Arial" w:hAnsi="Arial"/>
                <w:sz w:val="18"/>
                <w:szCs w:val="18"/>
                <w:color w:val="auto"/>
              </w:rPr>
              <w:t>Losses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Pr>
          <w:p>
            <w:pPr>
              <w:spacing w:after="0"/>
              <w:rPr>
                <w:sz w:val="19"/>
                <w:szCs w:val="19"/>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8"/>
                <w:szCs w:val="18"/>
                <w:color w:val="auto"/>
                <w:w w:val="95"/>
              </w:rPr>
              <w:t>and LAE</w:t>
            </w:r>
          </w:p>
        </w:tc>
        <w:tc>
          <w:tcPr>
            <w:tcW w:w="1220" w:type="dxa"/>
            <w:vAlign w:val="bottom"/>
          </w:tcPr>
          <w:p>
            <w:pPr>
              <w:jc w:val="center"/>
              <w:ind w:right="170"/>
              <w:spacing w:after="0"/>
              <w:rPr>
                <w:sz w:val="20"/>
                <w:szCs w:val="20"/>
                <w:color w:val="auto"/>
              </w:rPr>
            </w:pPr>
            <w:r>
              <w:rPr>
                <w:rFonts w:ascii="Arial" w:cs="Arial" w:eastAsia="Arial" w:hAnsi="Arial"/>
                <w:sz w:val="18"/>
                <w:szCs w:val="18"/>
                <w:color w:val="auto"/>
                <w:w w:val="88"/>
              </w:rPr>
              <w:t>Premiums</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and LAE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Premiums</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LAE: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320" w:type="dxa"/>
            <w:vAlign w:val="bottom"/>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111,902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61.1 %</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89,989</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57"/>
        </w:trPr>
        <w:tc>
          <w:tcPr>
            <w:tcW w:w="5320" w:type="dxa"/>
            <w:vAlign w:val="bottom"/>
          </w:tcPr>
          <w:p>
            <w:pPr>
              <w:ind w:left="140"/>
              <w:spacing w:after="0"/>
              <w:rPr>
                <w:sz w:val="20"/>
                <w:szCs w:val="20"/>
                <w:color w:val="auto"/>
              </w:rPr>
            </w:pPr>
            <w:r>
              <w:rPr>
                <w:rFonts w:ascii="Arial" w:cs="Arial" w:eastAsia="Arial" w:hAnsi="Arial"/>
                <w:sz w:val="18"/>
                <w:szCs w:val="18"/>
                <w:color w:val="auto"/>
              </w:rPr>
              <w:t>Prior accident year development - LPT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57"/>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losses and LAE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62.8 %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216" w:lineRule="exact"/>
              <w:rPr>
                <w:sz w:val="20"/>
                <w:szCs w:val="20"/>
                <w:color w:val="auto"/>
              </w:rPr>
            </w:pPr>
            <w:r>
              <w:rPr>
                <w:rFonts w:ascii="Arial" w:cs="Arial" w:eastAsia="Arial" w:hAnsi="Arial"/>
                <w:sz w:val="18"/>
                <w:szCs w:val="18"/>
                <w:color w:val="auto"/>
              </w:rPr>
              <w:t>Adjusted losses and LAE</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Non-cat loss and LAE</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111,902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61.1 %</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89,989</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70"/>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Cat loss and LAE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1.8 %</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Total adjusted losses and LAE</w:t>
            </w:r>
            <w:r>
              <w:rPr>
                <w:rFonts w:ascii="Arial" w:cs="Arial" w:eastAsia="Arial" w:hAnsi="Arial"/>
                <w:sz w:val="23"/>
                <w:szCs w:val="23"/>
                <w:color w:val="auto"/>
                <w:vertAlign w:val="superscript"/>
              </w:rPr>
              <w:t>(2)</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115,142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89,989</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ind w:left="160" w:hanging="134"/>
        <w:spacing w:after="0"/>
        <w:tabs>
          <w:tab w:leader="none" w:pos="160" w:val="left"/>
        </w:tabs>
        <w:numPr>
          <w:ilvl w:val="0"/>
          <w:numId w:val="3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Current accident year</w:t>
      </w:r>
    </w:p>
    <w:p>
      <w:pPr>
        <w:spacing w:after="0" w:line="32" w:lineRule="exact"/>
        <w:rPr>
          <w:rFonts w:ascii="Arial" w:cs="Arial" w:eastAsia="Arial" w:hAnsi="Arial"/>
          <w:sz w:val="16"/>
          <w:szCs w:val="16"/>
          <w:i w:val="1"/>
          <w:iCs w:val="1"/>
          <w:color w:val="auto"/>
          <w:vertAlign w:val="superscript"/>
        </w:rPr>
      </w:pPr>
    </w:p>
    <w:p>
      <w:pPr>
        <w:ind w:left="180" w:hanging="154"/>
        <w:spacing w:after="0" w:line="197" w:lineRule="auto"/>
        <w:tabs>
          <w:tab w:leader="none" w:pos="180" w:val="left"/>
        </w:tabs>
        <w:numPr>
          <w:ilvl w:val="0"/>
          <w:numId w:val="38"/>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See "Reconciliation of Non-GAAP Financial Measures" included in this 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loss and LAE ratio improved 0.7 points when compared to the same 2022 period. Catastrophe losses from wind and hail events, including tornadoes, added 1.8 points to the current quarter loss ratio compared to the first quarter of 2022, which was not impacted by catastrophe losses. The non-cat loss and LAE ratio improved 2.4 points when compared to the same 2022 period primarily driven by the continued run-off of exited business and the shift in the mix of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Ratio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the expense ratio for the three months ended March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26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190"/>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82" w:lineRule="exact"/>
              <w:rPr>
                <w:sz w:val="20"/>
                <w:szCs w:val="20"/>
                <w:color w:val="auto"/>
              </w:rPr>
            </w:pPr>
            <w:r>
              <w:rPr>
                <w:rFonts w:ascii="Arial" w:cs="Arial" w:eastAsia="Arial" w:hAnsi="Arial"/>
                <w:sz w:val="18"/>
                <w:szCs w:val="18"/>
                <w:color w:val="auto"/>
                <w:w w:val="94"/>
              </w:rPr>
              <w: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line="182" w:lineRule="exact"/>
              <w:rPr>
                <w:sz w:val="20"/>
                <w:szCs w:val="20"/>
                <w:color w:val="auto"/>
              </w:rPr>
            </w:pPr>
            <w:r>
              <w:rPr>
                <w:rFonts w:ascii="Arial" w:cs="Arial" w:eastAsia="Arial" w:hAnsi="Arial"/>
                <w:sz w:val="18"/>
                <w:szCs w:val="18"/>
                <w:color w:val="auto"/>
                <w:w w:val="94"/>
              </w:rPr>
              <w:t>% of</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170"/>
              <w:spacing w:after="0"/>
              <w:rPr>
                <w:sz w:val="20"/>
                <w:szCs w:val="20"/>
                <w:color w:val="auto"/>
              </w:rPr>
            </w:pPr>
            <w:r>
              <w:rPr>
                <w:rFonts w:ascii="Arial" w:cs="Arial" w:eastAsia="Arial" w:hAnsi="Arial"/>
                <w:sz w:val="18"/>
                <w:szCs w:val="18"/>
                <w:color w:val="auto"/>
                <w:w w:val="98"/>
              </w:rPr>
              <w:t>Expenses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vMerge w:val="restart"/>
          </w:tcPr>
          <w:p>
            <w:pPr>
              <w:jc w:val="right"/>
              <w:ind w:right="190"/>
              <w:spacing w:after="0"/>
              <w:rPr>
                <w:sz w:val="20"/>
                <w:szCs w:val="20"/>
                <w:color w:val="auto"/>
              </w:rPr>
            </w:pPr>
            <w:r>
              <w:rPr>
                <w:rFonts w:ascii="Arial" w:cs="Arial" w:eastAsia="Arial" w:hAnsi="Arial"/>
                <w:sz w:val="18"/>
                <w:szCs w:val="18"/>
                <w:color w:val="auto"/>
                <w:w w:val="96"/>
              </w:rPr>
              <w:t>Expenses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8"/>
                <w:szCs w:val="18"/>
                <w:color w:val="auto"/>
                <w:w w:val="90"/>
              </w:rPr>
              <w:t>Net Earned</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Premiums</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Premiums</w:t>
            </w: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policy acquisition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21,235</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11.6 %</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Other operating and general expenses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30,420</w:t>
            </w: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16.6 %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27,113</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Underwriting, acquisition and insurance expenses</w:t>
            </w: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51,655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40,534</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Less: commission and fee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1,492</w:t>
            </w: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(0.8 %)</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expenses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50,163</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40,304</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expense ratio for the quarter improved 1.0 point when compared to the same 2022 period. The improvement was driven by (i) improvement in the other operating and general expenses ratio due to the increase in earned premiums and (ii) an increase in commission and fee income when compared to the same 2022 period. Partially offsetting the improvement was an increase in the net policy acquisition expense ratio due to the shift in our mix of business.</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expense ratio for the first quarter 2023 excludes the impact of our initial public offering (“IPO”) related stock compensation which is reported in other expenses in our condensed consolidated statements of operations and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components of net investment income and net investment gains (losses) for the three months ended March 31, 2023 and 2022:</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52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2"/>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30"/>
              <w:spacing w:after="0" w:line="182" w:lineRule="exact"/>
              <w:rPr>
                <w:sz w:val="20"/>
                <w:szCs w:val="20"/>
                <w:color w:val="auto"/>
              </w:rPr>
            </w:pPr>
            <w:r>
              <w:rPr>
                <w:rFonts w:ascii="Arial" w:cs="Arial" w:eastAsia="Arial" w:hAnsi="Arial"/>
                <w:sz w:val="18"/>
                <w:szCs w:val="18"/>
                <w:color w:val="auto"/>
                <w:w w:val="92"/>
              </w:rPr>
              <w:t>Net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2"/>
              </w:rPr>
              <w:t>Net</w:t>
            </w: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Investment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90"/>
              <w:spacing w:after="0" w:line="176" w:lineRule="exact"/>
              <w:rPr>
                <w:sz w:val="20"/>
                <w:szCs w:val="20"/>
                <w:color w:val="auto"/>
              </w:rPr>
            </w:pPr>
            <w:r>
              <w:rPr>
                <w:rFonts w:ascii="Arial" w:cs="Arial" w:eastAsia="Arial" w:hAnsi="Arial"/>
                <w:sz w:val="18"/>
                <w:szCs w:val="18"/>
                <w:color w:val="auto"/>
              </w:rPr>
              <w:t>Annualized Net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0"/>
              </w:rPr>
              <w:t>Investment</w:t>
            </w:r>
          </w:p>
        </w:tc>
        <w:tc>
          <w:tcPr>
            <w:tcW w:w="100" w:type="dxa"/>
            <w:vAlign w:val="bottom"/>
          </w:tcPr>
          <w:p>
            <w:pPr>
              <w:spacing w:after="0"/>
              <w:rPr>
                <w:sz w:val="15"/>
                <w:szCs w:val="15"/>
                <w:color w:val="auto"/>
              </w:rPr>
            </w:pPr>
          </w:p>
        </w:tc>
        <w:tc>
          <w:tcPr>
            <w:tcW w:w="1460" w:type="dxa"/>
            <w:vAlign w:val="bottom"/>
          </w:tcPr>
          <w:p>
            <w:pPr>
              <w:jc w:val="right"/>
              <w:ind w:right="70"/>
              <w:spacing w:after="0" w:line="176" w:lineRule="exact"/>
              <w:rPr>
                <w:sz w:val="20"/>
                <w:szCs w:val="20"/>
                <w:color w:val="auto"/>
              </w:rPr>
            </w:pPr>
            <w:r>
              <w:rPr>
                <w:rFonts w:ascii="Arial" w:cs="Arial" w:eastAsia="Arial" w:hAnsi="Arial"/>
                <w:sz w:val="18"/>
                <w:szCs w:val="18"/>
                <w:color w:val="auto"/>
              </w:rPr>
              <w:t>Annualized Net</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Income</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Yield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Yield</w:t>
            </w:r>
          </w:p>
        </w:tc>
        <w:tc>
          <w:tcPr>
            <w:tcW w:w="0" w:type="dxa"/>
            <w:vAlign w:val="bottom"/>
          </w:tcPr>
          <w:p>
            <w:pPr>
              <w:spacing w:after="0"/>
              <w:rPr>
                <w:sz w:val="1"/>
                <w:szCs w:val="1"/>
                <w:color w:val="auto"/>
              </w:rPr>
            </w:pPr>
          </w:p>
        </w:tc>
      </w:tr>
      <w:tr>
        <w:trPr>
          <w:trHeight w:val="237"/>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and money market investments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1,780</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3.5 %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Core fixed 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6,339</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Opportunistic fixed income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(3,141)</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Equities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8"/>
        </w:trPr>
        <w:tc>
          <w:tcPr>
            <w:tcW w:w="5260" w:type="dxa"/>
            <w:vAlign w:val="bottom"/>
            <w:tcBorders>
              <w:top w:val="single" w:sz="8" w:color="CCEEFF"/>
              <w:bottom w:val="single" w:sz="8" w:color="CCEEFF"/>
            </w:tcBorders>
            <w:shd w:val="clear" w:color="auto" w:fill="CCEEFF"/>
          </w:tcPr>
          <w:p>
            <w:pPr>
              <w:ind w:left="120"/>
              <w:spacing w:after="0" w:line="223"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3"/>
                <w:szCs w:val="23"/>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4,645</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unrealized gains (losses) on securities still held</w:t>
            </w: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3,767</w:t>
            </w: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(5,369)</w:t>
            </w:r>
          </w:p>
        </w:tc>
        <w:tc>
          <w:tcPr>
            <w:tcW w:w="10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(losses) gains</w:t>
            </w: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(2,806)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20"/>
              <w:spacing w:after="0"/>
              <w:rPr>
                <w:sz w:val="20"/>
                <w:szCs w:val="20"/>
                <w:color w:val="auto"/>
              </w:rPr>
            </w:pPr>
            <w:r>
              <w:rPr>
                <w:rFonts w:ascii="Arial" w:cs="Arial" w:eastAsia="Arial" w:hAnsi="Arial"/>
                <w:sz w:val="18"/>
                <w:szCs w:val="18"/>
                <w:color w:val="auto"/>
              </w:rPr>
              <w:t>Net investment gains (losses)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vertAlign w:val="superscript"/>
        </w:rPr>
        <w:t>(1)</w:t>
      </w:r>
      <w:r>
        <w:rPr>
          <w:rFonts w:ascii="Arial" w:cs="Arial" w:eastAsia="Arial" w:hAnsi="Arial"/>
          <w:sz w:val="14"/>
          <w:szCs w:val="14"/>
          <w:i w:val="1"/>
          <w:iCs w:val="1"/>
          <w:color w:val="auto"/>
        </w:rPr>
        <w:t xml:space="preserve"> Excludes operating cash of $1 and $2,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wp:posOffset>
            </wp:positionV>
            <wp:extent cx="71151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7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Net investment income for the first quarter 2023 decreased $10.5 million when compared to the same 2022 period. Increased income from our core fixed income portfolio and short-term and money market investments was offset by losses in our opportunistic fixed income portfolio. The increase in income from our core fixed income portfolio was due to (i) a larger asset base as we continued to increase our allocation to this part of our investment portfolio and (ii) higher net investment yields of 3.7% compared to 2.7% for the same 2022 period. The increase in income from short-term and money market investments was due to (i) a larger asset base driven by the addition of the net IPO proceeds and (ii) higher net investment yields of 3.5% compared to 0.0% for the same 2022 period. The opportunistic fixed income portfolio was impacted by a decline in the fair value of certain limited partnership investments.</w:t>
      </w:r>
    </w:p>
    <w:p>
      <w:pPr>
        <w:spacing w:after="0" w:line="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When a fixed maturity has been determined to have an impairment, the impairment charge is separated into an amount representing the credit loss, which is recognized in earnings as a realized loss and on the balance sheet as an allowance for credit losses netted with the amortized cost of fixed maturities. Future increases in fair value, if related to credit factors, are recognized through earnings limited to the amount previously recognized as an allowance for credit losses. The amount related to non-credit factors is recognized in accumulated other comprehensive income and future increases or decreases in fair value, if not credit losses, are included in accumulated other comprehensive (loss) income. We reviewed our available-for-sale fixed maturities at March 31, 2023 and determined that no credit impairment existed in the gross unrealized holding losses. See Note 2, “Investments” to our condensed consolidated financial statements included in Item 1 of this Form 10-Q for additional information.  </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Composition of Investment Portfolio</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investment portfolio at carrying value at March 31, 2023 and December 31, 2022:</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52"/>
        </w:trPr>
        <w:tc>
          <w:tcPr>
            <w:tcW w:w="530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2023</w:t>
            </w:r>
          </w:p>
        </w:tc>
        <w:tc>
          <w:tcPr>
            <w:tcW w:w="10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73"/>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3"/>
          </w:tcPr>
          <w:p>
            <w:pPr>
              <w:jc w:val="right"/>
              <w:ind w:right="1020"/>
              <w:spacing w:after="0" w:line="173" w:lineRule="exact"/>
              <w:rPr>
                <w:sz w:val="20"/>
                <w:szCs w:val="20"/>
                <w:color w:val="auto"/>
              </w:rPr>
            </w:pPr>
            <w:r>
              <w:rPr>
                <w:rFonts w:ascii="Arial" w:cs="Arial" w:eastAsia="Arial" w:hAnsi="Arial"/>
                <w:sz w:val="18"/>
                <w:szCs w:val="18"/>
                <w:color w:val="auto"/>
              </w:rPr>
              <w:t>Fair</w:t>
            </w:r>
          </w:p>
        </w:tc>
        <w:tc>
          <w:tcPr>
            <w:tcW w:w="1080" w:type="dxa"/>
            <w:vAlign w:val="bottom"/>
          </w:tcPr>
          <w:p>
            <w:pPr>
              <w:jc w:val="right"/>
              <w:ind w:right="470"/>
              <w:spacing w:after="0" w:line="173"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Fair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ind w:right="450"/>
              <w:spacing w:after="0" w:line="173" w:lineRule="exact"/>
              <w:rPr>
                <w:sz w:val="20"/>
                <w:szCs w:val="20"/>
                <w:color w:val="auto"/>
              </w:rPr>
            </w:pPr>
            <w:r>
              <w:rPr>
                <w:rFonts w:ascii="Arial" w:cs="Arial" w:eastAsia="Arial" w:hAnsi="Arial"/>
                <w:sz w:val="18"/>
                <w:szCs w:val="18"/>
                <w:color w:val="auto"/>
              </w:rPr>
              <w:t>% of</w:t>
            </w:r>
          </w:p>
        </w:tc>
      </w:tr>
      <w:tr>
        <w:trPr>
          <w:trHeight w:val="229"/>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value</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total</w:t>
            </w: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and money market investments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287,350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121,268</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11.2 %</w:t>
            </w:r>
          </w:p>
        </w:tc>
      </w:tr>
      <w:tr>
        <w:trPr>
          <w:trHeight w:val="230"/>
        </w:trPr>
        <w:tc>
          <w:tcPr>
            <w:tcW w:w="5300" w:type="dxa"/>
            <w:vAlign w:val="bottom"/>
          </w:tcPr>
          <w:p>
            <w:pPr>
              <w:ind w:left="20"/>
              <w:spacing w:after="0"/>
              <w:rPr>
                <w:sz w:val="20"/>
                <w:szCs w:val="20"/>
                <w:color w:val="auto"/>
              </w:rPr>
            </w:pPr>
            <w:r>
              <w:rPr>
                <w:rFonts w:ascii="Arial" w:cs="Arial" w:eastAsia="Arial" w:hAnsi="Arial"/>
                <w:sz w:val="18"/>
                <w:szCs w:val="18"/>
                <w:color w:val="auto"/>
              </w:rPr>
              <w:t>Core fixed income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673,137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52.2 %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607,572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56.1 %</w:t>
            </w: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Opportunistic fixed income</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172,951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196,021</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18.1 %</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Equities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156,850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12.2 %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157,506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14.6 %</w:t>
            </w:r>
          </w:p>
        </w:tc>
      </w:tr>
      <w:tr>
        <w:trPr>
          <w:trHeight w:val="248"/>
        </w:trPr>
        <w:tc>
          <w:tcPr>
            <w:tcW w:w="5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investment portfolio</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1,290,288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1,082,367</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fixed income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core fixed income portfolio consists primarily of investment grade fixed income securities which are predominantly highly-rated and liquid bonds. Our objective is to earn attractive risk-adjusted returns with a low risk of loss of principal. The portfolio is managed by third party managers. The average duration of the portfolio was approximately 4.2 years and 4.3 years, respectively, as of March 31, 2023 and December 31, 2022.</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core fixed income portfolio at March 31,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w w:val="84"/>
              </w:rPr>
              <w:t>2023</w:t>
            </w: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82"/>
        </w:trPr>
        <w:tc>
          <w:tcPr>
            <w:tcW w:w="5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290"/>
              <w:spacing w:after="0" w:line="182" w:lineRule="exact"/>
              <w:rPr>
                <w:sz w:val="20"/>
                <w:szCs w:val="20"/>
                <w:color w:val="auto"/>
              </w:rPr>
            </w:pPr>
            <w:r>
              <w:rPr>
                <w:rFonts w:ascii="Arial" w:cs="Arial" w:eastAsia="Arial" w:hAnsi="Arial"/>
                <w:sz w:val="18"/>
                <w:szCs w:val="18"/>
                <w:color w:val="auto"/>
              </w:rPr>
              <w:t>% of total</w:t>
            </w:r>
          </w:p>
        </w:tc>
      </w:tr>
      <w:tr>
        <w:trPr>
          <w:trHeight w:val="230"/>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Fair value</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44,918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Corporate securities and miscellaneous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262,434</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39.0 %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235,129</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38.7 %</w:t>
            </w:r>
          </w:p>
        </w:tc>
      </w:tr>
      <w:tr>
        <w:trPr>
          <w:trHeight w:val="23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67,339</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57,727</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9.5 %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133,890</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19.8 %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119,856</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19.7 %</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52,182</w:t>
            </w:r>
          </w:p>
        </w:tc>
        <w:tc>
          <w:tcPr>
            <w:tcW w:w="1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7.8 %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36,495</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112,374</w:t>
            </w: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16.7 %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109,824</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18.1 %</w:t>
            </w:r>
          </w:p>
        </w:tc>
      </w:tr>
      <w:tr>
        <w:trPr>
          <w:trHeight w:val="248"/>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Core fixed income securities, available-for-sale</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673,137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607,572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weighted average credit rating of the portfolio was “AA” by Standard &amp; Poor’s Financial Services, LLC (“Standard &amp; Poor’s”) at March 31, 2023 and December 31, 2022. The following table sets forth the credit quality of our core fixed income portfolio at March 31, 2023 and December 31, 2022, as rated by Standard &amp; Poor’s or equivalent designation:</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5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9"/>
              </w:rPr>
              <w:t>2022</w:t>
            </w:r>
          </w:p>
        </w:tc>
      </w:tr>
      <w:tr>
        <w:trPr>
          <w:trHeight w:val="227"/>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Fair value</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of total</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Fair value</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 of total</w:t>
            </w:r>
          </w:p>
        </w:tc>
      </w:tr>
      <w:tr>
        <w:trPr>
          <w:trHeight w:val="22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283,733</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46.7 %</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AA</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87,064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74,604</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12.3 %</w:t>
            </w:r>
          </w:p>
        </w:tc>
      </w:tr>
      <w:tr>
        <w:trPr>
          <w:trHeight w:val="23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153,167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22.8 %</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134,175</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BBB</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93,087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13.8 %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88,369</w:t>
            </w:r>
          </w:p>
        </w:tc>
        <w:tc>
          <w:tcPr>
            <w:tcW w:w="1640" w:type="dxa"/>
            <w:vAlign w:val="bottom"/>
            <w:gridSpan w:val="3"/>
          </w:tcPr>
          <w:p>
            <w:pPr>
              <w:jc w:val="right"/>
              <w:spacing w:after="0"/>
              <w:rPr>
                <w:sz w:val="20"/>
                <w:szCs w:val="20"/>
                <w:color w:val="auto"/>
              </w:rPr>
            </w:pPr>
            <w:r>
              <w:rPr>
                <w:rFonts w:ascii="Arial" w:cs="Arial" w:eastAsia="Arial" w:hAnsi="Arial"/>
                <w:sz w:val="18"/>
                <w:szCs w:val="18"/>
                <w:color w:val="auto"/>
              </w:rPr>
              <w:t>14.5 %</w:t>
            </w: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 and Lower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27,675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4.1 %</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26,691</w:t>
            </w:r>
          </w:p>
        </w:tc>
        <w:tc>
          <w:tcPr>
            <w:tcW w:w="1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Total core fixed income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673,137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607,572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Opportunistic fixed income</w:t>
      </w:r>
    </w:p>
    <w:p>
      <w:pPr>
        <w:spacing w:after="0" w:line="11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opportunistic fixed income portfolio is managed by Arena which is affiliated with Westaim, our largest shareholder. The opportunistic fixed income portfolio consists of separately managed accounts, limited partnerships, promissory notes and equity interests. The underlying securities are primarily floating rate senior secured loans, comprised of short duration, collateralized, asset-oriented credit investments designed to generate attractive risk-adjusted returns. The limited partnerships are subject to future increases or decreases in asset value as asset values are monetized and the income is distributed. As of March 31, 2023, the opportunistic fixed income portfolio consisted of three components: diversified asset based lending (54.5%), commercial mortgage loans (24.6%) and cash and cash equivalents (20.9%).</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 sets forth the components of our opportunistic fixed income portfolio by industry sector at March 31, 2023 and December 31, 2022:</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32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82"/>
        </w:trPr>
        <w:tc>
          <w:tcPr>
            <w:tcW w:w="5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gridSpan w:val="3"/>
          </w:tcPr>
          <w:p>
            <w:pPr>
              <w:jc w:val="center"/>
              <w:ind w:right="760"/>
              <w:spacing w:after="0" w:line="182" w:lineRule="exact"/>
              <w:rPr>
                <w:sz w:val="20"/>
                <w:szCs w:val="20"/>
                <w:color w:val="auto"/>
              </w:rPr>
            </w:pPr>
            <w:r>
              <w:rPr>
                <w:rFonts w:ascii="Arial" w:cs="Arial" w:eastAsia="Arial" w:hAnsi="Arial"/>
                <w:sz w:val="18"/>
                <w:szCs w:val="18"/>
                <w:color w:val="auto"/>
                <w:w w:val="90"/>
              </w:rPr>
              <w:t>Fair</w:t>
            </w:r>
          </w:p>
        </w:tc>
        <w:tc>
          <w:tcPr>
            <w:tcW w:w="1100" w:type="dxa"/>
            <w:vAlign w:val="bottom"/>
          </w:tcPr>
          <w:p>
            <w:pPr>
              <w:jc w:val="right"/>
              <w:ind w:right="470"/>
              <w:spacing w:after="0" w:line="182" w:lineRule="exact"/>
              <w:rPr>
                <w:sz w:val="20"/>
                <w:szCs w:val="20"/>
                <w:color w:val="auto"/>
              </w:rPr>
            </w:pPr>
            <w:r>
              <w:rPr>
                <w:rFonts w:ascii="Arial" w:cs="Arial" w:eastAsia="Arial" w:hAnsi="Arial"/>
                <w:sz w:val="18"/>
                <w:szCs w:val="18"/>
                <w:color w:val="auto"/>
              </w:rPr>
              <w:t>% of</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0"/>
              <w:spacing w:after="0" w:line="182" w:lineRule="exact"/>
              <w:rPr>
                <w:sz w:val="20"/>
                <w:szCs w:val="20"/>
                <w:color w:val="auto"/>
              </w:rPr>
            </w:pPr>
            <w:r>
              <w:rPr>
                <w:rFonts w:ascii="Arial" w:cs="Arial" w:eastAsia="Arial" w:hAnsi="Arial"/>
                <w:sz w:val="18"/>
                <w:szCs w:val="18"/>
                <w:color w:val="auto"/>
              </w:rPr>
              <w:t>Fair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470"/>
              <w:spacing w:after="0" w:line="182" w:lineRule="exact"/>
              <w:rPr>
                <w:sz w:val="20"/>
                <w:szCs w:val="20"/>
                <w:color w:val="auto"/>
              </w:rPr>
            </w:pPr>
            <w:r>
              <w:rPr>
                <w:rFonts w:ascii="Arial" w:cs="Arial" w:eastAsia="Arial" w:hAnsi="Arial"/>
                <w:sz w:val="18"/>
                <w:szCs w:val="18"/>
                <w:color w:val="auto"/>
              </w:rPr>
              <w:t>% of</w:t>
            </w:r>
          </w:p>
        </w:tc>
      </w:tr>
      <w:tr>
        <w:trPr>
          <w:trHeight w:val="230"/>
        </w:trPr>
        <w:tc>
          <w:tcPr>
            <w:tcW w:w="5320" w:type="dxa"/>
            <w:vAlign w:val="bottom"/>
          </w:tcPr>
          <w:p>
            <w:pPr>
              <w:ind w:left="20"/>
              <w:spacing w:after="0"/>
              <w:rPr>
                <w:sz w:val="20"/>
                <w:szCs w:val="20"/>
                <w:color w:val="auto"/>
              </w:rPr>
            </w:pPr>
            <w:r>
              <w:rPr>
                <w:rFonts w:ascii="Arial" w:cs="Arial" w:eastAsia="Arial" w:hAnsi="Arial"/>
                <w:sz w:val="14"/>
                <w:szCs w:val="14"/>
                <w:i w:val="1"/>
                <w:iCs w:val="1"/>
                <w:color w:val="auto"/>
              </w:rPr>
              <w:t>($ in thousands)</w:t>
            </w:r>
          </w:p>
        </w:tc>
        <w:tc>
          <w:tcPr>
            <w:tcW w:w="300" w:type="dxa"/>
            <w:vAlign w:val="bottom"/>
          </w:tcPr>
          <w:p>
            <w:pPr>
              <w:spacing w:after="0"/>
              <w:rPr>
                <w:sz w:val="20"/>
                <w:szCs w:val="20"/>
                <w:color w:val="auto"/>
              </w:rPr>
            </w:pPr>
          </w:p>
        </w:tc>
        <w:tc>
          <w:tcPr>
            <w:tcW w:w="1520" w:type="dxa"/>
            <w:vAlign w:val="bottom"/>
            <w:gridSpan w:val="3"/>
          </w:tcPr>
          <w:p>
            <w:pPr>
              <w:jc w:val="center"/>
              <w:ind w:right="760"/>
              <w:spacing w:after="0"/>
              <w:rPr>
                <w:sz w:val="20"/>
                <w:szCs w:val="20"/>
                <w:color w:val="auto"/>
              </w:rPr>
            </w:pPr>
            <w:r>
              <w:rPr>
                <w:rFonts w:ascii="Arial" w:cs="Arial" w:eastAsia="Arial" w:hAnsi="Arial"/>
                <w:sz w:val="18"/>
                <w:szCs w:val="18"/>
                <w:color w:val="auto"/>
                <w:w w:val="86"/>
              </w:rPr>
              <w:t>Value</w:t>
            </w:r>
          </w:p>
        </w:tc>
        <w:tc>
          <w:tcPr>
            <w:tcW w:w="1100" w:type="dxa"/>
            <w:vAlign w:val="bottom"/>
          </w:tcPr>
          <w:p>
            <w:pPr>
              <w:jc w:val="right"/>
              <w:ind w:right="47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91,457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90,370</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46.1 %</w:t>
            </w:r>
          </w:p>
        </w:tc>
      </w:tr>
      <w:tr>
        <w:trPr>
          <w:trHeight w:val="239"/>
        </w:trPr>
        <w:tc>
          <w:tcPr>
            <w:tcW w:w="5320" w:type="dxa"/>
            <w:vAlign w:val="bottom"/>
          </w:tcPr>
          <w:p>
            <w:pPr>
              <w:ind w:left="20"/>
              <w:spacing w:after="0"/>
              <w:rPr>
                <w:sz w:val="20"/>
                <w:szCs w:val="20"/>
                <w:color w:val="auto"/>
              </w:rPr>
            </w:pPr>
            <w:r>
              <w:rPr>
                <w:rFonts w:ascii="Arial" w:cs="Arial" w:eastAsia="Arial" w:hAnsi="Arial"/>
                <w:sz w:val="18"/>
                <w:szCs w:val="18"/>
                <w:color w:val="auto"/>
              </w:rPr>
              <w:t>Oil &amp; Gas</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20,444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11.8 %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20,725</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10.6 %</w:t>
            </w:r>
          </w:p>
        </w:tc>
      </w:tr>
      <w:tr>
        <w:trPr>
          <w:trHeight w:val="234"/>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Banking, Finance &amp; Insurance</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14,110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8.2 %</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7.1 %</w:t>
            </w:r>
          </w:p>
        </w:tc>
      </w:tr>
      <w:tr>
        <w:trPr>
          <w:trHeight w:val="229"/>
        </w:trPr>
        <w:tc>
          <w:tcPr>
            <w:tcW w:w="5320" w:type="dxa"/>
            <w:vAlign w:val="bottom"/>
          </w:tcPr>
          <w:p>
            <w:pPr>
              <w:ind w:left="20"/>
              <w:spacing w:after="0" w:line="230" w:lineRule="exact"/>
              <w:rPr>
                <w:sz w:val="20"/>
                <w:szCs w:val="20"/>
                <w:color w:val="auto"/>
              </w:rPr>
            </w:pPr>
            <w:r>
              <w:rPr>
                <w:rFonts w:ascii="Arial" w:cs="Arial" w:eastAsia="Arial" w:hAnsi="Arial"/>
                <w:sz w:val="18"/>
                <w:szCs w:val="18"/>
                <w:color w:val="auto"/>
              </w:rPr>
              <w:t>Other sectors</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34,072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17.4 %</w:t>
            </w:r>
          </w:p>
        </w:tc>
      </w:tr>
      <w:tr>
        <w:trPr>
          <w:trHeight w:val="243"/>
        </w:trPr>
        <w:tc>
          <w:tcPr>
            <w:tcW w:w="53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36,161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20.9 %</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36,984</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18.8 %</w:t>
            </w: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Opportunistic fixed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172,951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196,021</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1"/>
        </w:trPr>
        <w:tc>
          <w:tcPr>
            <w:tcW w:w="5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60" w:hanging="134"/>
        <w:spacing w:after="0"/>
        <w:tabs>
          <w:tab w:leader="none" w:pos="160" w:val="left"/>
        </w:tabs>
        <w:numPr>
          <w:ilvl w:val="0"/>
          <w:numId w:val="3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Other sectors primarily includes Aerospace &amp; Defense, Business Services, Retail, Commercial &amp; Industrial and Environmental.</w:t>
      </w:r>
    </w:p>
    <w:p>
      <w:pPr>
        <w:spacing w:after="0" w:line="153" w:lineRule="exact"/>
        <w:rPr>
          <w:rFonts w:ascii="Arial" w:cs="Arial" w:eastAsia="Arial" w:hAnsi="Arial"/>
          <w:sz w:val="16"/>
          <w:szCs w:val="16"/>
          <w:i w:val="1"/>
          <w:iCs w:val="1"/>
          <w:color w:val="auto"/>
          <w:vertAlign w:val="superscript"/>
        </w:rPr>
      </w:pPr>
    </w:p>
    <w:p>
      <w:pPr>
        <w:ind w:left="160" w:hanging="134"/>
        <w:spacing w:after="0"/>
        <w:tabs>
          <w:tab w:leader="none" w:pos="160" w:val="left"/>
        </w:tabs>
        <w:numPr>
          <w:ilvl w:val="0"/>
          <w:numId w:val="3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Includes cash on settlements that have not yet been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average duration of the direct loans in the portfolio is approximately 1.5 years and 1.4 years as of March 31, 2023 and December 31, 2022,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Equities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equities portfolio primarily consists of domestic preferred stocks, common equities, exchange traded funds, limited partnerships, limited liability corporations and other types of equity interests, 76.8% of which are publicly traded. The portfolio is directed internally and includes both self-managed investments and portfolios managed by third-party investment management firms.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components of our equities portfolio by security type at March 31, 2023 and December 31,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2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gridSpan w:val="3"/>
          </w:tcPr>
          <w:p>
            <w:pPr>
              <w:jc w:val="right"/>
              <w:ind w:right="1170"/>
              <w:spacing w:after="0"/>
              <w:rPr>
                <w:sz w:val="20"/>
                <w:szCs w:val="20"/>
                <w:color w:val="auto"/>
              </w:rPr>
            </w:pPr>
            <w:r>
              <w:rPr>
                <w:rFonts w:ascii="Arial" w:cs="Arial" w:eastAsia="Arial" w:hAnsi="Arial"/>
                <w:sz w:val="18"/>
                <w:szCs w:val="18"/>
                <w:color w:val="auto"/>
                <w:w w:val="84"/>
              </w:rPr>
              <w:t>2022</w:t>
            </w:r>
          </w:p>
        </w:tc>
      </w:tr>
      <w:tr>
        <w:trPr>
          <w:trHeight w:val="173"/>
        </w:trPr>
        <w:tc>
          <w:tcPr>
            <w:tcW w:w="5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40" w:type="dxa"/>
            <w:vAlign w:val="bottom"/>
            <w:gridSpan w:val="3"/>
          </w:tcPr>
          <w:p>
            <w:pPr>
              <w:jc w:val="right"/>
              <w:ind w:right="920"/>
              <w:spacing w:after="0" w:line="173" w:lineRule="exact"/>
              <w:rPr>
                <w:sz w:val="20"/>
                <w:szCs w:val="20"/>
                <w:color w:val="auto"/>
              </w:rPr>
            </w:pPr>
            <w:r>
              <w:rPr>
                <w:rFonts w:ascii="Arial" w:cs="Arial" w:eastAsia="Arial" w:hAnsi="Arial"/>
                <w:sz w:val="18"/>
                <w:szCs w:val="18"/>
                <w:color w:val="auto"/>
              </w:rPr>
              <w:t>Fair</w:t>
            </w:r>
          </w:p>
        </w:tc>
        <w:tc>
          <w:tcPr>
            <w:tcW w:w="118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 of total</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370"/>
              <w:spacing w:after="0" w:line="173" w:lineRule="exact"/>
              <w:rPr>
                <w:sz w:val="20"/>
                <w:szCs w:val="20"/>
                <w:color w:val="auto"/>
              </w:rPr>
            </w:pPr>
            <w:r>
              <w:rPr>
                <w:rFonts w:ascii="Arial" w:cs="Arial" w:eastAsia="Arial" w:hAnsi="Arial"/>
                <w:sz w:val="18"/>
                <w:szCs w:val="18"/>
                <w:color w:val="auto"/>
              </w:rPr>
              <w:t>Fair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290"/>
              <w:spacing w:after="0" w:line="173" w:lineRule="exact"/>
              <w:rPr>
                <w:sz w:val="20"/>
                <w:szCs w:val="20"/>
                <w:color w:val="auto"/>
              </w:rPr>
            </w:pPr>
            <w:r>
              <w:rPr>
                <w:rFonts w:ascii="Arial" w:cs="Arial" w:eastAsia="Arial" w:hAnsi="Arial"/>
                <w:sz w:val="18"/>
                <w:szCs w:val="18"/>
                <w:color w:val="auto"/>
              </w:rPr>
              <w:t>% of total</w:t>
            </w:r>
          </w:p>
        </w:tc>
      </w:tr>
      <w:tr>
        <w:trPr>
          <w:trHeight w:val="23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fair value</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r>
      <w:tr>
        <w:trPr>
          <w:trHeight w:val="236"/>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Domestic common equities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77,247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76,929</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48.8 %</w:t>
            </w:r>
          </w:p>
        </w:tc>
      </w:tr>
      <w:tr>
        <w:trPr>
          <w:trHeight w:val="230"/>
        </w:trPr>
        <w:tc>
          <w:tcPr>
            <w:tcW w:w="5320" w:type="dxa"/>
            <w:vAlign w:val="bottom"/>
            <w:gridSpan w:val="2"/>
          </w:tcPr>
          <w:p>
            <w:pPr>
              <w:ind w:left="20"/>
              <w:spacing w:after="0"/>
              <w:rPr>
                <w:sz w:val="20"/>
                <w:szCs w:val="20"/>
                <w:color w:val="auto"/>
              </w:rPr>
            </w:pPr>
            <w:r>
              <w:rPr>
                <w:rFonts w:ascii="Arial" w:cs="Arial" w:eastAsia="Arial" w:hAnsi="Arial"/>
                <w:sz w:val="18"/>
                <w:szCs w:val="18"/>
                <w:color w:val="auto"/>
              </w:rPr>
              <w:t>International common equities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36,896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34,468</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21.9 %</w:t>
            </w:r>
          </w:p>
        </w:tc>
      </w:tr>
      <w:tr>
        <w:trPr>
          <w:trHeight w:val="23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8,772</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5320" w:type="dxa"/>
            <w:vAlign w:val="bottom"/>
            <w:gridSpan w:val="2"/>
          </w:tcPr>
          <w:p>
            <w:pPr>
              <w:ind w:left="20"/>
              <w:spacing w:after="0" w:line="243"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36,385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23.2 %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37,337</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23.7 %</w:t>
            </w:r>
          </w:p>
        </w:tc>
      </w:tr>
      <w:tr>
        <w:trPr>
          <w:trHeight w:val="248"/>
        </w:trPr>
        <w:tc>
          <w:tcPr>
            <w:tcW w:w="5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157,506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60" w:hanging="134"/>
        <w:spacing w:after="0"/>
        <w:tabs>
          <w:tab w:leader="none" w:pos="160" w:val="left"/>
        </w:tabs>
        <w:numPr>
          <w:ilvl w:val="0"/>
          <w:numId w:val="4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Other includes limited partnerships, limited liability companies and other equity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Income tax expense was $4.2 million and $4.3 million, respectively, for the three months ended March 31, 2023 and 2022. Our effective tax rate was 21.1% and 20.7%, respectively, for the three months ended March 31, 2023 and 2022. For additional information, see Note 9 of our condensed consolidated financial statements included in Item 1 of this Form 10-Q.</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most significant source of cash is from premiums received from our insureds, which, for most policies, we receive at the beginning of the coverage period, net of the related commission amount for the policies. Our most significant cash outflow is for claims that arise when a policyholder incurs an insured loss. Because the payment of claims occurs after the receipt of the premium, often years later, we invest the cash in various investment securities that generally earn interest and dividends. We also use cash to pay for operating expenses such as salaries, rent and taxes and capital expenditures such as technology systems. We use reinsurance to manage the risk that we take on our policies. We cede, or pay out, part of the premiums we receive to our reinsurers and collect cash back when losses subject to our reinsurance coverage are paid.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of our cash flows from operating activities can vary among periods due to the timing by which payments are made or received. Some of our payments and receipts, including loss settlements and subsequent reinsurance receipts, can be significant, and as a result their timing can influence cash flows from operating activities in any given period. Management believes that cash receipts from premiums and proceeds from investment income are sufficient to cover cash outflows in the foreseeable future.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cash flows for the three months ended March 31, 2023 and 2022 were: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provided by (used 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107,207</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45,882</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(193,426)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(55,596)</w:t>
            </w: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66,455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and cash equivalents and restricted cash</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cash provided by operating activities in 2023 and 2022 was primarily due to positive cash flow from our insurance operations. Cash from operations can vary from period to period due to the timing of premium receipts, claim payments and reinsurance activity. Cash flows from operations in each of the past two years were used primarily to fund investing activities.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investing activities in 2023 and 2022 was primarily driven by purchases of short-term investments and fixed maturity securities.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 in 2023 was primarily from proceeds of $66.3 million from our IPO.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March 29, 2023, we entered into an agreement to obtain a new unsecured revolving credit facility (the “Revolving Credit Facility”) with a syndicate of participating banks. The Revolving Credit Facility provides us with up to a $150.0 million revolving credit facility, with an accordion that can increase the capacity by $50.0 million, and a letter of credit sub-facility of up to $30.0 million.</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2023, we drew $50.0 million on the Revolving Credit Facility and used the proceeds to pay off the principal on our existing term loan. In connection with our entry into the Revolving Credit Facility, we terminated the existing term loan and revolving line of credit pursuant to our Credit Agreement dated as of December 11, 2019, with Prosperity Bank.</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interest rate on the Revolving Credit Facility was the Secured Overnight Financing Rate (“SOFR”) plus a margin of between 0 and 0 basis points based on the ratio of debt to total capital and a credit spread adjustment of 0 basis points.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covenants on the Revolving Credit Facility based on minimum net worth, maximum debt to capital ratio, minimum A.M. Best Rating and minimum liquidity. As of March 31, 2023, we are in compliance with all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Preferred</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August 2006, we received $58.0 million of proceeds from a debenture offering through a statutory trust, Delos Capital Trust (the “Trust”). The sole asset of the Trust consists of Fixed/Floating Rate Junior Subordinated Deferrable Interest Debentures (the “Trust Preferred”) with a principal amount of $59.8 million issued by us and cash of $1.8 million from the issuance of Trust common shares purchased by us equal to 3% of the Trust capitalization. The Trust Preferred are an unsecured obligation, are redeemable, and have a maturity date of September 15, 2036. Interest on the Trust Preferred is payable quarterly at an annual rate based on the three-month LIBOR (5.19% and 4.77% on March 31, 2023 and December 31, 2022, respectively), plus 3.4%.</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Subordinated Debt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2019, we issued unsecured subordinated notes (the “Notes”) with an aggregate principal amount of $20.0 million. Interest on the subordinated notes is 7.25% fixed for the first eight years and 8.25% fixed thereafter. Early retirement of the debt ahead of the eight year commitment requires all interest payments to be paid in full, as well as the return of all capital. Principal payment is due at maturity on May 24, 2039 and interest is payable quarterly.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March 31, 2023 the ratio of total debt outstanding, including the Revolving Credit Facility, the Trust Preferred and the Notes, to total capitalization (defined as total debt plus stockholders’ equity) was 20.2% and at December 31, 2022, the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60"/>
        <w:spacing w:after="0" w:line="375" w:lineRule="auto"/>
        <w:rPr>
          <w:sz w:val="20"/>
          <w:szCs w:val="20"/>
          <w:color w:val="auto"/>
        </w:rPr>
      </w:pPr>
      <w:r>
        <w:rPr>
          <w:rFonts w:ascii="Arial" w:cs="Arial" w:eastAsia="Arial" w:hAnsi="Arial"/>
          <w:sz w:val="18"/>
          <w:szCs w:val="18"/>
          <w:color w:val="auto"/>
        </w:rPr>
        <w:t xml:space="preserve">ratio of total debt outstanding, including the Term Loan, the Revolver, the Trust Preferred and the Notes, to total capitalization was 23.4%. </w:t>
      </w:r>
      <w:r>
        <w:rPr>
          <w:rFonts w:ascii="Arial" w:cs="Arial" w:eastAsia="Arial" w:hAnsi="Arial"/>
          <w:sz w:val="18"/>
          <w:szCs w:val="18"/>
          <w:b w:val="1"/>
          <w:bCs w:val="1"/>
          <w:color w:val="auto"/>
        </w:rPr>
        <w:t>Reinsurance</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strategically purchase reinsurance from third parties which enhances our business by protecting capital from severity events (either large single event losses or catastrophes) and reducing volatility in our earnings. Our reinsurance contracts are predominantly one year in length and renew annually throughout the year. At each annual renewal, we consider several factors that influence any changes to our reinsurance purchases, including any plans to change the underlying insurance coverage we offer, updated loss activity, the level of our capital and surplus, changes in our risk appetite and the cost and availability of reinsurance treaties.</w:t>
      </w:r>
    </w:p>
    <w:p>
      <w:pPr>
        <w:spacing w:after="0" w:line="8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purchase quota share reinsurance, excess of loss reinsurance, and facultative reinsurance coverage to limit our exposure from losses on any one occurrence. The mix of reinsurance purchased considers efficiency, cost, our risk appetite and specific factors of the underlying risks we underwrite.</w:t>
      </w:r>
    </w:p>
    <w:p>
      <w:pPr>
        <w:spacing w:after="0" w:line="16" w:lineRule="exact"/>
        <w:rPr>
          <w:sz w:val="20"/>
          <w:szCs w:val="20"/>
          <w:color w:val="auto"/>
        </w:rPr>
      </w:pPr>
    </w:p>
    <w:p>
      <w:pPr>
        <w:ind w:left="660" w:hanging="328"/>
        <w:spacing w:after="0" w:line="342"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Quota share reinsurance </w:t>
      </w:r>
      <w:r>
        <w:rPr>
          <w:rFonts w:ascii="Arial" w:cs="Arial" w:eastAsia="Arial" w:hAnsi="Arial"/>
          <w:sz w:val="16"/>
          <w:szCs w:val="16"/>
          <w:color w:val="auto"/>
        </w:rPr>
        <w:t>refers to a reinsurance contract whereby the reinsurer agrees to assume a specified percentage of the ceding company’s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losses arising out of a defined class of business in exchange for a corresponding percentage of premiums, net of a ceding commission.</w:t>
      </w:r>
    </w:p>
    <w:p>
      <w:pPr>
        <w:spacing w:after="0" w:line="15"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Excess of loss reinsurance </w:t>
      </w:r>
      <w:r>
        <w:rPr>
          <w:rFonts w:ascii="Arial" w:cs="Arial" w:eastAsia="Arial" w:hAnsi="Arial"/>
          <w:sz w:val="18"/>
          <w:szCs w:val="18"/>
          <w:color w:val="auto"/>
        </w:rPr>
        <w:t>refers to a reinsurance contract whereby the reinsurer agrees to assume all or a portion of the ceding company’s losses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an individual claim or an event in excess of a specified amount in exchange for a premium payable amount negotiated between the parties, which includes our catastrophe reinsurance program.</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Facultative coverage </w:t>
      </w:r>
      <w:r>
        <w:rPr>
          <w:rFonts w:ascii="Arial" w:cs="Arial" w:eastAsia="Arial" w:hAnsi="Arial"/>
          <w:sz w:val="17"/>
          <w:szCs w:val="17"/>
          <w:color w:val="auto"/>
        </w:rPr>
        <w:t>refers to a reinsurance contract on individual risks as opposed to a group or class of business. It is used for a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reasons, including supplementing the limits provided by the treaty coverage or covering risks or perils excluded from treaty reinsurance.</w:t>
      </w:r>
    </w:p>
    <w:p>
      <w:pPr>
        <w:spacing w:after="0" w:line="3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months ended March 31, 2023 and 2022, our net retention on a written basis (calculated as net written premiums as a percentage of gross written premiums) was 56.1% and 47.9%, respectively.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our reinsurance programs as of March 31, 2023:</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4"/>
                <w:szCs w:val="14"/>
                <w:b w:val="1"/>
                <w:bCs w:val="1"/>
                <w:color w:val="auto"/>
              </w:rPr>
              <w:t>Line of Business</w:t>
            </w:r>
          </w:p>
        </w:tc>
        <w:tc>
          <w:tcPr>
            <w:tcW w:w="28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b w:val="1"/>
                <w:bCs w:val="1"/>
                <w:color w:val="auto"/>
              </w:rPr>
              <w:t>Maximum Company Retention</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Accident &amp; Health</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$0.88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Commercial Auto</w:t>
            </w:r>
            <w:r>
              <w:rPr>
                <w:rFonts w:ascii="Arial" w:cs="Arial" w:eastAsia="Arial" w:hAnsi="Arial"/>
                <w:sz w:val="23"/>
                <w:szCs w:val="23"/>
                <w:color w:val="auto"/>
                <w:vertAlign w:val="superscript"/>
              </w:rPr>
              <w:t>(1)</w:t>
            </w:r>
          </w:p>
        </w:tc>
        <w:tc>
          <w:tcPr>
            <w:tcW w:w="2840" w:type="dxa"/>
            <w:vAlign w:val="bottom"/>
          </w:tcPr>
          <w:p>
            <w:pPr>
              <w:ind w:left="20"/>
              <w:spacing w:after="0"/>
              <w:rPr>
                <w:sz w:val="20"/>
                <w:szCs w:val="20"/>
                <w:color w:val="auto"/>
              </w:rPr>
            </w:pPr>
            <w:r>
              <w:rPr>
                <w:rFonts w:ascii="Arial" w:cs="Arial" w:eastAsia="Arial" w:hAnsi="Arial"/>
                <w:sz w:val="18"/>
                <w:szCs w:val="18"/>
                <w:color w:val="auto"/>
              </w:rPr>
              <w:t>$0.6 million per occurrence</w:t>
            </w:r>
          </w:p>
        </w:tc>
      </w:tr>
      <w:tr>
        <w:trPr>
          <w:trHeight w:val="243"/>
        </w:trPr>
        <w:tc>
          <w:tcPr>
            <w:tcW w:w="840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Excess Casualty</w:t>
            </w:r>
            <w:r>
              <w:rPr>
                <w:rFonts w:ascii="Arial" w:cs="Arial" w:eastAsia="Arial" w:hAnsi="Arial"/>
                <w:sz w:val="23"/>
                <w:szCs w:val="23"/>
                <w:color w:val="auto"/>
                <w:vertAlign w:val="superscript"/>
              </w:rPr>
              <w:t>(1)(2)</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$1.24 million per occurrence</w:t>
            </w:r>
          </w:p>
        </w:tc>
      </w:tr>
      <w:tr>
        <w:trPr>
          <w:trHeight w:val="230"/>
        </w:trPr>
        <w:tc>
          <w:tcPr>
            <w:tcW w:w="8400" w:type="dxa"/>
            <w:vAlign w:val="bottom"/>
          </w:tcPr>
          <w:p>
            <w:pPr>
              <w:ind w:left="20"/>
              <w:spacing w:after="0" w:line="230" w:lineRule="exact"/>
              <w:rPr>
                <w:sz w:val="20"/>
                <w:szCs w:val="20"/>
                <w:color w:val="auto"/>
              </w:rPr>
            </w:pPr>
            <w:r>
              <w:rPr>
                <w:rFonts w:ascii="Arial" w:cs="Arial" w:eastAsia="Arial" w:hAnsi="Arial"/>
                <w:sz w:val="18"/>
                <w:szCs w:val="18"/>
                <w:color w:val="auto"/>
              </w:rPr>
              <w:t>General Liability</w:t>
            </w:r>
            <w:r>
              <w:rPr>
                <w:rFonts w:ascii="Arial" w:cs="Arial" w:eastAsia="Arial" w:hAnsi="Arial"/>
                <w:sz w:val="23"/>
                <w:szCs w:val="23"/>
                <w:color w:val="auto"/>
                <w:vertAlign w:val="superscript"/>
              </w:rPr>
              <w:t>(1)</w:t>
            </w:r>
          </w:p>
        </w:tc>
        <w:tc>
          <w:tcPr>
            <w:tcW w:w="2840" w:type="dxa"/>
            <w:vAlign w:val="bottom"/>
          </w:tcPr>
          <w:p>
            <w:pPr>
              <w:ind w:left="20"/>
              <w:spacing w:after="0"/>
              <w:rPr>
                <w:sz w:val="20"/>
                <w:szCs w:val="20"/>
                <w:color w:val="auto"/>
              </w:rPr>
            </w:pPr>
            <w:r>
              <w:rPr>
                <w:rFonts w:ascii="Arial" w:cs="Arial" w:eastAsia="Arial" w:hAnsi="Arial"/>
                <w:sz w:val="18"/>
                <w:szCs w:val="18"/>
                <w:color w:val="auto"/>
              </w:rPr>
              <w:t>$1.25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Professional Lines</w:t>
            </w:r>
            <w:r>
              <w:rPr>
                <w:rFonts w:ascii="Arial" w:cs="Arial" w:eastAsia="Arial" w:hAnsi="Arial"/>
                <w:sz w:val="23"/>
                <w:szCs w:val="23"/>
                <w:color w:val="auto"/>
                <w:vertAlign w:val="superscript"/>
              </w:rPr>
              <w:t>(2)</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 million per occurrence</w:t>
            </w:r>
          </w:p>
        </w:tc>
      </w:tr>
      <w:tr>
        <w:trPr>
          <w:trHeight w:val="243"/>
        </w:trPr>
        <w:tc>
          <w:tcPr>
            <w:tcW w:w="8400" w:type="dxa"/>
            <w:vAlign w:val="bottom"/>
          </w:tcPr>
          <w:p>
            <w:pPr>
              <w:ind w:left="20"/>
              <w:spacing w:after="0" w:line="243" w:lineRule="exact"/>
              <w:rPr>
                <w:sz w:val="20"/>
                <w:szCs w:val="20"/>
                <w:color w:val="auto"/>
              </w:rPr>
            </w:pPr>
            <w:r>
              <w:rPr>
                <w:rFonts w:ascii="Arial" w:cs="Arial" w:eastAsia="Arial" w:hAnsi="Arial"/>
                <w:sz w:val="18"/>
                <w:szCs w:val="18"/>
                <w:color w:val="auto"/>
              </w:rPr>
              <w:t>Property</w:t>
            </w:r>
            <w:r>
              <w:rPr>
                <w:rFonts w:ascii="Arial" w:cs="Arial" w:eastAsia="Arial" w:hAnsi="Arial"/>
                <w:sz w:val="23"/>
                <w:szCs w:val="23"/>
                <w:color w:val="auto"/>
                <w:vertAlign w:val="superscript"/>
              </w:rPr>
              <w:t>(3)</w:t>
            </w:r>
          </w:p>
        </w:tc>
        <w:tc>
          <w:tcPr>
            <w:tcW w:w="2840" w:type="dxa"/>
            <w:vAlign w:val="bottom"/>
          </w:tcPr>
          <w:p>
            <w:pPr>
              <w:ind w:left="20"/>
              <w:spacing w:after="0"/>
              <w:rPr>
                <w:sz w:val="20"/>
                <w:szCs w:val="20"/>
                <w:color w:val="auto"/>
              </w:rPr>
            </w:pPr>
            <w:r>
              <w:rPr>
                <w:rFonts w:ascii="Arial" w:cs="Arial" w:eastAsia="Arial" w:hAnsi="Arial"/>
                <w:sz w:val="18"/>
                <w:szCs w:val="18"/>
                <w:color w:val="auto"/>
              </w:rPr>
              <w:t>$2.0 million per occurrence</w:t>
            </w:r>
          </w:p>
        </w:tc>
      </w:tr>
      <w:tr>
        <w:trPr>
          <w:trHeight w:val="230"/>
        </w:trPr>
        <w:tc>
          <w:tcPr>
            <w:tcW w:w="8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Surety</w:t>
            </w:r>
            <w:r>
              <w:rPr>
                <w:rFonts w:ascii="Arial" w:cs="Arial" w:eastAsia="Arial" w:hAnsi="Arial"/>
                <w:sz w:val="23"/>
                <w:szCs w:val="23"/>
                <w:color w:val="auto"/>
                <w:vertAlign w:val="superscript"/>
              </w:rPr>
              <w:t>(2)</w:t>
            </w:r>
          </w:p>
        </w:tc>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million per occurrence</w:t>
            </w:r>
          </w:p>
        </w:tc>
      </w:tr>
      <w:tr>
        <w:trPr>
          <w:trHeight w:val="290"/>
        </w:trPr>
        <w:tc>
          <w:tcPr>
            <w:tcW w:w="8400" w:type="dxa"/>
            <w:vAlign w:val="bottom"/>
          </w:tcPr>
          <w:p>
            <w:pPr>
              <w:ind w:left="20"/>
              <w:spacing w:after="0"/>
              <w:rPr>
                <w:sz w:val="20"/>
                <w:szCs w:val="20"/>
                <w:color w:val="auto"/>
              </w:rPr>
            </w:pPr>
            <w:r>
              <w:rPr>
                <w:rFonts w:ascii="Arial" w:cs="Arial" w:eastAsia="Arial" w:hAnsi="Arial"/>
                <w:sz w:val="18"/>
                <w:szCs w:val="18"/>
                <w:color w:val="auto"/>
              </w:rPr>
              <w:t>Workers’ Compensation</w:t>
            </w:r>
            <w:r>
              <w:rPr>
                <w:rFonts w:ascii="Arial" w:cs="Arial" w:eastAsia="Arial" w:hAnsi="Arial"/>
                <w:sz w:val="23"/>
                <w:szCs w:val="23"/>
                <w:color w:val="auto"/>
                <w:vertAlign w:val="superscript"/>
              </w:rPr>
              <w:t>(2)</w:t>
            </w:r>
          </w:p>
        </w:tc>
        <w:tc>
          <w:tcPr>
            <w:tcW w:w="2840" w:type="dxa"/>
            <w:vAlign w:val="bottom"/>
          </w:tcPr>
          <w:p>
            <w:pPr>
              <w:ind w:left="20"/>
              <w:spacing w:after="0"/>
              <w:rPr>
                <w:sz w:val="20"/>
                <w:szCs w:val="20"/>
                <w:color w:val="auto"/>
              </w:rPr>
            </w:pPr>
            <w:r>
              <w:rPr>
                <w:rFonts w:ascii="Arial" w:cs="Arial" w:eastAsia="Arial" w:hAnsi="Arial"/>
                <w:sz w:val="18"/>
                <w:szCs w:val="18"/>
                <w:color w:val="auto"/>
              </w:rPr>
              <w:t>$1.55 million per occurrence</w:t>
            </w:r>
          </w:p>
        </w:tc>
      </w:tr>
    </w:tbl>
    <w:p>
      <w:pPr>
        <w:ind w:left="180" w:hanging="154"/>
        <w:spacing w:after="0"/>
        <w:tabs>
          <w:tab w:leader="none" w:pos="180" w:val="left"/>
        </w:tabs>
        <w:numPr>
          <w:ilvl w:val="0"/>
          <w:numId w:val="42"/>
        </w:numPr>
        <w:rPr>
          <w:rFonts w:ascii="Arial" w:cs="Arial" w:eastAsia="Arial" w:hAnsi="Arial"/>
          <w:sz w:val="9"/>
          <w:szCs w:val="9"/>
          <w:i w:val="1"/>
          <w:iCs w:val="1"/>
          <w:color w:val="auto"/>
        </w:rPr>
      </w:pPr>
      <w:r>
        <w:rPr>
          <w:rFonts w:ascii="Arial" w:cs="Arial" w:eastAsia="Arial" w:hAnsi="Arial"/>
          <w:sz w:val="14"/>
          <w:szCs w:val="14"/>
          <w:i w:val="1"/>
          <w:iCs w:val="1"/>
          <w:color w:val="auto"/>
        </w:rPr>
        <w:t>Legal defense expenses can force exposure above the maximum company retention for Excess Casualty, Commercial Auto and General Liability.</w:t>
      </w:r>
    </w:p>
    <w:p>
      <w:pPr>
        <w:spacing w:after="0" w:line="9" w:lineRule="exact"/>
        <w:rPr>
          <w:rFonts w:ascii="Arial" w:cs="Arial" w:eastAsia="Arial" w:hAnsi="Arial"/>
          <w:sz w:val="9"/>
          <w:szCs w:val="9"/>
          <w:i w:val="1"/>
          <w:iCs w:val="1"/>
          <w:color w:val="auto"/>
        </w:rPr>
      </w:pPr>
    </w:p>
    <w:p>
      <w:pPr>
        <w:ind w:left="180" w:hanging="154"/>
        <w:spacing w:after="0" w:line="234" w:lineRule="auto"/>
        <w:tabs>
          <w:tab w:leader="none" w:pos="180" w:val="left"/>
        </w:tabs>
        <w:numPr>
          <w:ilvl w:val="0"/>
          <w:numId w:val="4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Reinsurance is subject to a loss ratio cap or aggregate level of loss cover that exceeds a modeled 1:250-year PML event.</w:t>
      </w:r>
    </w:p>
    <w:p>
      <w:pPr>
        <w:spacing w:after="0" w:line="32" w:lineRule="exact"/>
        <w:rPr>
          <w:rFonts w:ascii="Arial" w:cs="Arial" w:eastAsia="Arial" w:hAnsi="Arial"/>
          <w:sz w:val="18"/>
          <w:szCs w:val="18"/>
          <w:i w:val="1"/>
          <w:iCs w:val="1"/>
          <w:color w:val="auto"/>
          <w:vertAlign w:val="superscript"/>
        </w:rPr>
      </w:pPr>
    </w:p>
    <w:p>
      <w:pPr>
        <w:ind w:left="180" w:hanging="154"/>
        <w:spacing w:after="0" w:line="197" w:lineRule="auto"/>
        <w:tabs>
          <w:tab w:leader="none" w:pos="180" w:val="left"/>
        </w:tabs>
        <w:numPr>
          <w:ilvl w:val="0"/>
          <w:numId w:val="42"/>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Catastrophe loss protection is purchased up to $25.0 million in excess of $10.0 million retention, which provides cover for a 1:250-year PML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Financial Strength Ratings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30, 2022, A.M. Best affirmed Skyward Specialty’s financial strength rating of A- (Excellent) with a stable outlook.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in market risk from the information provided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connection with the preparation of this quarterly report on Form 10-Q, our management carried out an evaluation, under the supervision and with the participation of our management, including the CEO and CFO, as of March 31, 2023,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during the three months ended March 31, 2023, that has materially affected, or is reasonably likely to materially affect, our internal control over financial reporting.</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party to legal proceedings which arise in the ordinary course of business. We believe that the outcome of such matters, individually and in the aggregate, will not have a material adverse effect on our consolidated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have been no material changes in our risk factors in the quarter ended March 31, 2023 from those disclosed in our Annual Report on Form 10-K for the year ended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Exhibits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 Number</w:t>
            </w:r>
          </w:p>
        </w:tc>
        <w:tc>
          <w:tcPr>
            <w:tcW w:w="3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gridSpan w:val="14"/>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69"/>
        </w:trPr>
        <w:tc>
          <w:tcPr>
            <w:tcW w:w="104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320" w:type="dxa"/>
            <w:vAlign w:val="bottom"/>
          </w:tcPr>
          <w:p>
            <w:pPr>
              <w:spacing w:after="0"/>
              <w:rPr>
                <w:sz w:val="14"/>
                <w:szCs w:val="14"/>
                <w:color w:val="auto"/>
              </w:rPr>
            </w:pPr>
          </w:p>
        </w:tc>
        <w:tc>
          <w:tcPr>
            <w:tcW w:w="9880" w:type="dxa"/>
            <w:vAlign w:val="bottom"/>
            <w:gridSpan w:val="19"/>
          </w:tcPr>
          <w:p>
            <w:pPr>
              <w:spacing w:after="0" w:line="169" w:lineRule="exact"/>
              <w:rPr>
                <w:rFonts w:ascii="Arial" w:cs="Arial" w:eastAsia="Arial" w:hAnsi="Arial"/>
                <w:sz w:val="18"/>
                <w:szCs w:val="18"/>
                <w:color w:val="0000FF"/>
                <w:w w:val="92"/>
              </w:rPr>
            </w:pPr>
            <w:hyperlink r:id="rId66">
              <w:r>
                <w:rPr>
                  <w:rFonts w:ascii="Arial" w:cs="Arial" w:eastAsia="Arial" w:hAnsi="Arial"/>
                  <w:sz w:val="18"/>
                  <w:szCs w:val="18"/>
                  <w:color w:val="0000FF"/>
                  <w:w w:val="92"/>
                </w:rPr>
                <w:t>Amended and Restated Certificate of Incorporation (incorporated by reference to Exhibit 3.1 to the Company’s Current Report on Form</w:t>
              </w:r>
            </w:hyperlink>
          </w:p>
        </w:tc>
        <w:tc>
          <w:tcPr>
            <w:tcW w:w="0" w:type="dxa"/>
            <w:vAlign w:val="bottom"/>
          </w:tcPr>
          <w:p>
            <w:pPr>
              <w:spacing w:after="0"/>
              <w:rPr>
                <w:sz w:val="1"/>
                <w:szCs w:val="1"/>
                <w:color w:val="auto"/>
              </w:rPr>
            </w:pPr>
          </w:p>
        </w:tc>
      </w:tr>
      <w:tr>
        <w:trPr>
          <w:trHeight w:val="129"/>
        </w:trPr>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320" w:type="dxa"/>
            <w:vAlign w:val="bottom"/>
          </w:tcPr>
          <w:p>
            <w:pPr>
              <w:spacing w:after="0"/>
              <w:rPr>
                <w:sz w:val="11"/>
                <w:szCs w:val="11"/>
                <w:color w:val="auto"/>
              </w:rPr>
            </w:pPr>
          </w:p>
        </w:tc>
        <w:tc>
          <w:tcPr>
            <w:tcW w:w="3860" w:type="dxa"/>
            <w:vAlign w:val="bottom"/>
            <w:tcBorders>
              <w:top w:val="single" w:sz="8" w:color="0000FF"/>
              <w:bottom w:val="single" w:sz="8" w:color="0000FF"/>
            </w:tcBorders>
            <w:gridSpan w:val="4"/>
          </w:tcPr>
          <w:p>
            <w:pPr>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8-K filed with the Commission on January 18, 2023).</w:t>
              </w:r>
            </w:hyperlink>
          </w:p>
        </w:tc>
        <w:tc>
          <w:tcPr>
            <w:tcW w:w="5920" w:type="dxa"/>
            <w:vAlign w:val="bottom"/>
            <w:tcBorders>
              <w:top w:val="single" w:sz="8" w:color="0000FF"/>
            </w:tcBorders>
            <w:gridSpan w:val="1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880" w:type="dxa"/>
            <w:vAlign w:val="bottom"/>
            <w:gridSpan w:val="19"/>
          </w:tcPr>
          <w:p>
            <w:pPr>
              <w:spacing w:after="0" w:line="182" w:lineRule="exact"/>
              <w:rPr>
                <w:rFonts w:ascii="Arial" w:cs="Arial" w:eastAsia="Arial" w:hAnsi="Arial"/>
                <w:sz w:val="18"/>
                <w:szCs w:val="18"/>
                <w:color w:val="0000FF"/>
                <w:w w:val="93"/>
              </w:rPr>
            </w:pPr>
            <w:hyperlink r:id="rId67">
              <w:r>
                <w:rPr>
                  <w:rFonts w:ascii="Arial" w:cs="Arial" w:eastAsia="Arial" w:hAnsi="Arial"/>
                  <w:sz w:val="18"/>
                  <w:szCs w:val="18"/>
                  <w:color w:val="0000FF"/>
                  <w:w w:val="93"/>
                </w:rPr>
                <w:t>Amended and Restated Bylaws (incorporated by reference to Exhibit 3.2 to the Company’s Current Report on Form 8-K filed with the</w:t>
              </w:r>
            </w:hyperlink>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80" w:type="dxa"/>
            <w:vAlign w:val="bottom"/>
            <w:tcBorders>
              <w:top w:val="single" w:sz="8" w:color="0000FF"/>
            </w:tcBorders>
            <w:gridSpan w:val="14"/>
          </w:tcPr>
          <w:p>
            <w:pPr>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Commission on January 18, 2023).</w:t>
              </w:r>
            </w:hyperlink>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320" w:type="dxa"/>
            <w:vAlign w:val="bottom"/>
          </w:tcPr>
          <w:p>
            <w:pPr>
              <w:spacing w:after="0"/>
              <w:rPr>
                <w:sz w:val="17"/>
                <w:szCs w:val="17"/>
                <w:color w:val="auto"/>
              </w:rPr>
            </w:pPr>
          </w:p>
        </w:tc>
        <w:tc>
          <w:tcPr>
            <w:tcW w:w="9880" w:type="dxa"/>
            <w:vAlign w:val="bottom"/>
            <w:gridSpan w:val="19"/>
          </w:tcPr>
          <w:p>
            <w:pPr>
              <w:spacing w:after="0" w:line="196" w:lineRule="exact"/>
              <w:rPr>
                <w:rFonts w:ascii="Arial" w:cs="Arial" w:eastAsia="Arial" w:hAnsi="Arial"/>
                <w:sz w:val="18"/>
                <w:szCs w:val="18"/>
                <w:color w:val="0000FF"/>
                <w:w w:val="94"/>
              </w:rPr>
            </w:pPr>
            <w:hyperlink r:id="rId68">
              <w:r>
                <w:rPr>
                  <w:rFonts w:ascii="Arial" w:cs="Arial" w:eastAsia="Arial" w:hAnsi="Arial"/>
                  <w:sz w:val="18"/>
                  <w:szCs w:val="18"/>
                  <w:color w:val="0000FF"/>
                  <w:w w:val="94"/>
                </w:rPr>
                <w:t>Amended and Restated Stockholders’ Agreement, by and among the Company and the stockholders listed therein (incorporated by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reference to Exhibit 4.1 to the Company’s Registration Statement on Form S-1, filed with the SEC on November 14, 2022).</w:t>
              </w:r>
            </w:hyperlink>
          </w:p>
        </w:tc>
        <w:tc>
          <w:tcPr>
            <w:tcW w:w="50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19"/>
                <w:szCs w:val="19"/>
                <w:color w:val="auto"/>
              </w:rPr>
            </w:pPr>
          </w:p>
        </w:tc>
        <w:tc>
          <w:tcPr>
            <w:tcW w:w="9880" w:type="dxa"/>
            <w:vAlign w:val="bottom"/>
            <w:gridSpan w:val="19"/>
          </w:tcPr>
          <w:p>
            <w:pPr>
              <w:spacing w:after="0"/>
              <w:rPr>
                <w:rFonts w:ascii="Arial" w:cs="Arial" w:eastAsia="Arial" w:hAnsi="Arial"/>
                <w:sz w:val="18"/>
                <w:szCs w:val="18"/>
                <w:color w:val="0000FF"/>
                <w:w w:val="92"/>
              </w:rPr>
            </w:pPr>
            <w:hyperlink r:id="rId69">
              <w:r>
                <w:rPr>
                  <w:rFonts w:ascii="Arial" w:cs="Arial" w:eastAsia="Arial" w:hAnsi="Arial"/>
                  <w:sz w:val="18"/>
                  <w:szCs w:val="18"/>
                  <w:color w:val="0000FF"/>
                  <w:w w:val="92"/>
                </w:rPr>
                <w:t>Credit Agreement, dated March 29, 2023, by and among Skyward Specialty Insurance Group, Inc., the lenders from time to time party</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69">
              <w:r>
                <w:rPr>
                  <w:rFonts w:ascii="Arial" w:cs="Arial" w:eastAsia="Arial" w:hAnsi="Arial"/>
                  <w:sz w:val="18"/>
                  <w:szCs w:val="18"/>
                  <w:color w:val="0000FF"/>
                  <w:w w:val="91"/>
                </w:rPr>
                <w:t>thereto and Truist Bank, as administrative agent (incorporated by reference to Exhibit 10.1 to the Company’s Current Report on Form</w:t>
              </w:r>
            </w:hyperlink>
          </w:p>
        </w:tc>
        <w:tc>
          <w:tcPr>
            <w:tcW w:w="120" w:type="dxa"/>
            <w:vAlign w:val="bottom"/>
            <w:tcBorders>
              <w:bottom w:val="single" w:sz="8" w:color="0000FF"/>
            </w:tcBorders>
            <w:gridSpan w:val="2"/>
          </w:tcPr>
          <w:p>
            <w:pPr>
              <w:jc w:val="right"/>
              <w:spacing w:after="0" w:line="156" w:lineRule="exact"/>
              <w:rPr>
                <w:rFonts w:ascii="Arial" w:cs="Arial" w:eastAsia="Arial" w:hAnsi="Arial"/>
                <w:sz w:val="15"/>
                <w:szCs w:val="15"/>
                <w:color w:val="0000FF"/>
                <w:w w:val="74"/>
              </w:rPr>
            </w:pPr>
            <w:hyperlink r:id="rId69">
              <w:r>
                <w:rPr>
                  <w:rFonts w:ascii="Arial" w:cs="Arial" w:eastAsia="Arial" w:hAnsi="Arial"/>
                  <w:sz w:val="15"/>
                  <w:szCs w:val="15"/>
                  <w:color w:val="0000FF"/>
                  <w:w w:val="74"/>
                </w:rPr>
                <w:t>8-</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20" w:type="dxa"/>
            <w:vAlign w:val="bottom"/>
            <w:gridSpan w:val="17"/>
          </w:tcPr>
          <w:p>
            <w:pPr>
              <w:spacing w:after="0" w:line="156" w:lineRule="exact"/>
              <w:rPr>
                <w:rFonts w:ascii="Arial" w:cs="Arial" w:eastAsia="Arial" w:hAnsi="Arial"/>
                <w:sz w:val="18"/>
                <w:szCs w:val="18"/>
                <w:color w:val="0000FF"/>
              </w:rPr>
            </w:pPr>
            <w:hyperlink r:id="rId69">
              <w:r>
                <w:rPr>
                  <w:rFonts w:ascii="Arial" w:cs="Arial" w:eastAsia="Arial" w:hAnsi="Arial"/>
                  <w:sz w:val="18"/>
                  <w:szCs w:val="18"/>
                  <w:color w:val="0000FF"/>
                </w:rPr>
                <w:t>K filed with the SEC on April 3, 2023).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320" w:type="dxa"/>
            <w:vAlign w:val="bottom"/>
          </w:tcPr>
          <w:p>
            <w:pPr>
              <w:spacing w:after="0"/>
              <w:rPr>
                <w:sz w:val="19"/>
                <w:szCs w:val="19"/>
                <w:color w:val="auto"/>
              </w:rPr>
            </w:pPr>
          </w:p>
        </w:tc>
        <w:tc>
          <w:tcPr>
            <w:tcW w:w="9880" w:type="dxa"/>
            <w:vAlign w:val="bottom"/>
            <w:gridSpan w:val="19"/>
          </w:tcPr>
          <w:p>
            <w:pPr>
              <w:spacing w:after="0"/>
              <w:rPr>
                <w:rFonts w:ascii="Arial" w:cs="Arial" w:eastAsia="Arial" w:hAnsi="Arial"/>
                <w:sz w:val="18"/>
                <w:szCs w:val="18"/>
                <w:color w:val="0000FF"/>
                <w:w w:val="92"/>
              </w:rPr>
            </w:pPr>
            <w:hyperlink r:id="rId70">
              <w:r>
                <w:rPr>
                  <w:rFonts w:ascii="Arial" w:cs="Arial" w:eastAsia="Arial" w:hAnsi="Arial"/>
                  <w:sz w:val="18"/>
                  <w:szCs w:val="18"/>
                  <w:color w:val="0000FF"/>
                  <w:w w:val="92"/>
                </w:rPr>
                <w:t>Guaranty Agreement, dated March 29, 2023, by and among Skyward Service Company, Skyward Underwriters Agency, Inc., the loan</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20" w:type="dxa"/>
            <w:vAlign w:val="bottom"/>
            <w:tcBorders>
              <w:top w:val="single" w:sz="8" w:color="0000FF"/>
            </w:tcBorders>
            <w:gridSpan w:val="13"/>
          </w:tcPr>
          <w:p>
            <w:pPr>
              <w:spacing w:after="0" w:line="15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parties identified on the signature pages thereto and Truist Bank (incorporated by reference to Exhibit 10.2 to the Company’s Current</w:t>
              </w:r>
            </w:hyperlink>
          </w:p>
        </w:tc>
        <w:tc>
          <w:tcPr>
            <w:tcW w:w="220" w:type="dxa"/>
            <w:vAlign w:val="bottom"/>
            <w:gridSpan w:val="5"/>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3"/>
              </w:rPr>
            </w:pPr>
            <w:hyperlink r:id="rId70">
              <w:r>
                <w:rPr>
                  <w:rFonts w:ascii="Arial" w:cs="Arial" w:eastAsia="Arial" w:hAnsi="Arial"/>
                  <w:sz w:val="18"/>
                  <w:szCs w:val="18"/>
                  <w:color w:val="0000FF"/>
                  <w:w w:val="93"/>
                </w:rPr>
                <w:t>Report on Form 8-K filed with the SEC on April 3, 2023).</w:t>
              </w:r>
            </w:hyperlink>
          </w:p>
        </w:tc>
        <w:tc>
          <w:tcPr>
            <w:tcW w:w="5400" w:type="dxa"/>
            <w:vAlign w:val="bottom"/>
            <w:tcBorders>
              <w:top w:val="single" w:sz="8" w:color="0000FF"/>
            </w:tcBorders>
            <w:gridSpan w:val="7"/>
          </w:tcPr>
          <w:p>
            <w:pPr>
              <w:spacing w:after="0"/>
              <w:rPr>
                <w:sz w:val="13"/>
                <w:szCs w:val="13"/>
                <w:color w:val="auto"/>
              </w:rPr>
            </w:pPr>
          </w:p>
        </w:tc>
        <w:tc>
          <w:tcPr>
            <w:tcW w:w="240" w:type="dxa"/>
            <w:vAlign w:val="bottom"/>
            <w:gridSpan w:val="6"/>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320" w:type="dxa"/>
            <w:vAlign w:val="bottom"/>
          </w:tcPr>
          <w:p>
            <w:pPr>
              <w:spacing w:after="0"/>
              <w:rPr>
                <w:sz w:val="19"/>
                <w:szCs w:val="19"/>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0000FF"/>
                <w:w w:val="94"/>
              </w:rPr>
              <w:t>Certification of Principal Executive Officer pursuant to Rule 13a-14(a) or Rule 15d-14(a) of the Securities Exchange Act of 1934, as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6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adopted pursuant to Section 302 of the Sarbanes-Oxley Act of 2002.</w:t>
            </w:r>
          </w:p>
        </w:tc>
        <w:tc>
          <w:tcPr>
            <w:tcW w:w="2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320" w:type="dxa"/>
            <w:vAlign w:val="bottom"/>
          </w:tcPr>
          <w:p>
            <w:pPr>
              <w:spacing w:after="0"/>
              <w:rPr>
                <w:sz w:val="18"/>
                <w:szCs w:val="18"/>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0000FF"/>
                <w:w w:val="92"/>
              </w:rPr>
              <w:t>Certification of Principal Financial and Accounting Officer pursuant to Rule 13a-14(a) or Rule 15d-14(a) of the Securities Exchange Act</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40" w:type="dxa"/>
            <w:vAlign w:val="bottom"/>
            <w:tcBorders>
              <w:top w:val="single" w:sz="8" w:color="0000FF"/>
            </w:tcBorders>
            <w:gridSpan w:val="18"/>
          </w:tcPr>
          <w:p>
            <w:pPr>
              <w:spacing w:after="0" w:line="169" w:lineRule="exact"/>
              <w:rPr>
                <w:sz w:val="20"/>
                <w:szCs w:val="20"/>
                <w:color w:val="auto"/>
              </w:rPr>
            </w:pPr>
            <w:r>
              <w:rPr>
                <w:rFonts w:ascii="Arial" w:cs="Arial" w:eastAsia="Arial" w:hAnsi="Arial"/>
                <w:sz w:val="18"/>
                <w:szCs w:val="18"/>
                <w:color w:val="0000FF"/>
              </w:rPr>
              <w:t>of 1934, as adopted pursuant to Section 302 of the Sarbanes-Oxley Act of 2002.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380" w:type="dxa"/>
            <w:vAlign w:val="bottom"/>
            <w:gridSpan w:val="6"/>
            <w:shd w:val="clear" w:color="auto" w:fill="0000FF"/>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3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320" w:type="dxa"/>
            <w:vAlign w:val="bottom"/>
          </w:tcPr>
          <w:p>
            <w:pPr>
              <w:spacing w:after="0"/>
              <w:rPr>
                <w:sz w:val="18"/>
                <w:szCs w:val="18"/>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0000FF"/>
                <w:w w:val="93"/>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54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Oxley Act of 2002.</w:t>
            </w:r>
          </w:p>
        </w:tc>
        <w:tc>
          <w:tcPr>
            <w:tcW w:w="3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320" w:type="dxa"/>
            <w:vAlign w:val="bottom"/>
          </w:tcPr>
          <w:p>
            <w:pPr>
              <w:spacing w:after="0"/>
              <w:rPr>
                <w:sz w:val="18"/>
                <w:szCs w:val="18"/>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320" w:type="dxa"/>
            <w:vAlign w:val="bottom"/>
          </w:tcPr>
          <w:p>
            <w:pPr>
              <w:spacing w:after="0"/>
              <w:rPr>
                <w:sz w:val="20"/>
                <w:szCs w:val="20"/>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42"/>
        </w:trPr>
        <w:tc>
          <w:tcPr>
            <w:tcW w:w="10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320" w:type="dxa"/>
            <w:vAlign w:val="bottom"/>
          </w:tcPr>
          <w:p>
            <w:pPr>
              <w:spacing w:after="0"/>
              <w:rPr>
                <w:sz w:val="21"/>
                <w:szCs w:val="21"/>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320" w:type="dxa"/>
            <w:vAlign w:val="bottom"/>
          </w:tcPr>
          <w:p>
            <w:pPr>
              <w:spacing w:after="0"/>
              <w:rPr>
                <w:sz w:val="19"/>
                <w:szCs w:val="19"/>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320" w:type="dxa"/>
            <w:vAlign w:val="bottom"/>
          </w:tcPr>
          <w:p>
            <w:pPr>
              <w:spacing w:after="0"/>
              <w:rPr>
                <w:sz w:val="20"/>
                <w:szCs w:val="20"/>
                <w:color w:val="auto"/>
              </w:rPr>
            </w:pPr>
          </w:p>
        </w:tc>
        <w:tc>
          <w:tcPr>
            <w:tcW w:w="9880" w:type="dxa"/>
            <w:vAlign w:val="bottom"/>
            <w:gridSpan w:val="1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60" w:hanging="966"/>
        <w:spacing w:after="0"/>
        <w:tabs>
          <w:tab w:leader="none" w:pos="13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To be filed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4401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1440180" cy="8890"/>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Portions of this exhibit have been omitted for confidentiality purposes.</w:t>
      </w:r>
    </w:p>
    <w:p>
      <w:pPr>
        <w:spacing w:after="0" w:line="252" w:lineRule="exact"/>
        <w:rPr>
          <w:sz w:val="20"/>
          <w:szCs w:val="20"/>
          <w:color w:val="auto"/>
        </w:rPr>
      </w:pPr>
    </w:p>
    <w:p>
      <w:pPr>
        <w:ind w:left="360" w:hanging="352"/>
        <w:spacing w:after="0" w:line="277" w:lineRule="auto"/>
        <w:tabs>
          <w:tab w:leader="none" w:pos="3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financial statement schedules are omitted because the information called for is not required or is shown either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 or in the notes thereto.</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Skyward Specialty Insurance Group, Inc.</w:t>
            </w:r>
          </w:p>
        </w:tc>
      </w:tr>
      <w:tr>
        <w:trPr>
          <w:trHeight w:val="244"/>
        </w:trPr>
        <w:tc>
          <w:tcPr>
            <w:tcW w:w="3260" w:type="dxa"/>
            <w:vAlign w:val="bottom"/>
          </w:tcPr>
          <w:p>
            <w:pPr>
              <w:spacing w:after="0"/>
              <w:rPr>
                <w:sz w:val="20"/>
                <w:szCs w:val="20"/>
                <w:color w:val="auto"/>
              </w:rPr>
            </w:pPr>
            <w:r>
              <w:rPr>
                <w:rFonts w:ascii="Arial" w:cs="Arial" w:eastAsia="Arial" w:hAnsi="Arial"/>
                <w:sz w:val="18"/>
                <w:szCs w:val="18"/>
                <w:color w:val="auto"/>
              </w:rPr>
              <w:t>Date: May 11, 2023</w:t>
            </w:r>
          </w:p>
        </w:tc>
        <w:tc>
          <w:tcPr>
            <w:tcW w:w="2280" w:type="dxa"/>
            <w:vAlign w:val="bottom"/>
            <w:gridSpan w:val="2"/>
          </w:tcPr>
          <w:p>
            <w:pPr>
              <w:ind w:left="1820"/>
              <w:spacing w:after="0"/>
              <w:rPr>
                <w:sz w:val="20"/>
                <w:szCs w:val="20"/>
                <w:color w:val="auto"/>
              </w:rPr>
            </w:pPr>
            <w:r>
              <w:rPr>
                <w:rFonts w:ascii="Arial" w:cs="Arial" w:eastAsia="Arial" w:hAnsi="Arial"/>
                <w:sz w:val="18"/>
                <w:szCs w:val="18"/>
                <w:color w:val="auto"/>
              </w:rPr>
              <w:t>By:</w:t>
            </w: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Robinson</w:t>
            </w:r>
          </w:p>
        </w:tc>
      </w:tr>
      <w:tr>
        <w:trPr>
          <w:trHeight w:val="222"/>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Andrew Robinson</w:t>
            </w:r>
          </w:p>
        </w:tc>
      </w:tr>
      <w:tr>
        <w:trPr>
          <w:trHeight w:val="229"/>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73"/>
        </w:trPr>
        <w:tc>
          <w:tcPr>
            <w:tcW w:w="3260" w:type="dxa"/>
            <w:vAlign w:val="bottom"/>
          </w:tcPr>
          <w:p>
            <w:pPr>
              <w:spacing w:after="0"/>
              <w:rPr>
                <w:sz w:val="20"/>
                <w:szCs w:val="20"/>
                <w:color w:val="auto"/>
              </w:rPr>
            </w:pPr>
            <w:r>
              <w:rPr>
                <w:rFonts w:ascii="Arial" w:cs="Arial" w:eastAsia="Arial" w:hAnsi="Arial"/>
                <w:sz w:val="18"/>
                <w:szCs w:val="18"/>
                <w:color w:val="auto"/>
              </w:rPr>
              <w:t>Date: May 11, 2023</w:t>
            </w:r>
          </w:p>
        </w:tc>
        <w:tc>
          <w:tcPr>
            <w:tcW w:w="2280" w:type="dxa"/>
            <w:vAlign w:val="bottom"/>
            <w:gridSpan w:val="2"/>
          </w:tcPr>
          <w:p>
            <w:pPr>
              <w:ind w:left="1800"/>
              <w:spacing w:after="0"/>
              <w:rPr>
                <w:sz w:val="20"/>
                <w:szCs w:val="20"/>
                <w:color w:val="auto"/>
              </w:rPr>
            </w:pPr>
            <w:r>
              <w:rPr>
                <w:rFonts w:ascii="Arial" w:cs="Arial" w:eastAsia="Arial" w:hAnsi="Arial"/>
                <w:sz w:val="18"/>
                <w:szCs w:val="18"/>
                <w:color w:val="auto"/>
              </w:rPr>
              <w:t>By:</w:t>
            </w:r>
          </w:p>
        </w:tc>
        <w:tc>
          <w:tcPr>
            <w:tcW w:w="5680" w:type="dxa"/>
            <w:vAlign w:val="bottom"/>
          </w:tcPr>
          <w:p>
            <w:pPr>
              <w:spacing w:after="0"/>
              <w:rPr>
                <w:sz w:val="20"/>
                <w:szCs w:val="20"/>
                <w:color w:val="auto"/>
              </w:rPr>
            </w:pPr>
            <w:r>
              <w:rPr>
                <w:rFonts w:ascii="Arial" w:cs="Arial" w:eastAsia="Arial" w:hAnsi="Arial"/>
                <w:sz w:val="18"/>
                <w:szCs w:val="18"/>
                <w:color w:val="auto"/>
              </w:rPr>
              <w:t>/s/ Mark Haushill</w:t>
            </w:r>
          </w:p>
        </w:tc>
      </w:tr>
      <w:tr>
        <w:trPr>
          <w:trHeight w:val="222"/>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5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Haushill</w:t>
            </w:r>
          </w:p>
        </w:tc>
      </w:tr>
      <w:tr>
        <w:trPr>
          <w:trHeight w:val="230"/>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39"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Andrew Robinson, certify that:</w:t>
      </w:r>
    </w:p>
    <w:p>
      <w:pPr>
        <w:spacing w:after="0" w:line="117" w:lineRule="exact"/>
        <w:rPr>
          <w:sz w:val="20"/>
          <w:szCs w:val="20"/>
          <w:color w:val="auto"/>
        </w:rPr>
      </w:pPr>
    </w:p>
    <w:p>
      <w:pPr>
        <w:ind w:left="520" w:hanging="188"/>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Skyward Specialty Insurance Group,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5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53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3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20" w:hanging="2"/>
        <w:spacing w:after="0" w:line="263" w:lineRule="auto"/>
        <w:tabs>
          <w:tab w:leader="none" w:pos="993"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20" w:hanging="2"/>
        <w:spacing w:after="0" w:line="308" w:lineRule="auto"/>
        <w:tabs>
          <w:tab w:leader="none" w:pos="1029"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2"/>
        <w:spacing w:after="0" w:line="263" w:lineRule="auto"/>
        <w:tabs>
          <w:tab w:leader="none" w:pos="992"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277" w:lineRule="auto"/>
        <w:tabs>
          <w:tab w:leader="none" w:pos="52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2"/>
        <w:spacing w:after="0" w:line="277" w:lineRule="auto"/>
        <w:tabs>
          <w:tab w:leader="none" w:pos="1021"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2"/>
        <w:spacing w:after="0" w:line="277" w:lineRule="auto"/>
        <w:tabs>
          <w:tab w:leader="none" w:pos="101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380"/>
              <w:spacing w:after="0"/>
              <w:rPr>
                <w:sz w:val="20"/>
                <w:szCs w:val="20"/>
                <w:color w:val="auto"/>
              </w:rPr>
            </w:pPr>
            <w:r>
              <w:rPr>
                <w:rFonts w:ascii="Arial" w:cs="Arial" w:eastAsia="Arial" w:hAnsi="Arial"/>
                <w:sz w:val="18"/>
                <w:szCs w:val="18"/>
                <w:color w:val="auto"/>
              </w:rPr>
              <w:t>May 11, 2023</w:t>
            </w:r>
          </w:p>
        </w:tc>
        <w:tc>
          <w:tcPr>
            <w:tcW w:w="2180" w:type="dxa"/>
            <w:vAlign w:val="bottom"/>
          </w:tcPr>
          <w:p>
            <w:pPr>
              <w:ind w:left="14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4"/>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42"/>
        </w:trPr>
        <w:tc>
          <w:tcPr>
            <w:tcW w:w="7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Haushill, certify that:</w:t>
      </w:r>
    </w:p>
    <w:p>
      <w:pPr>
        <w:spacing w:after="0" w:line="117" w:lineRule="exact"/>
        <w:rPr>
          <w:sz w:val="20"/>
          <w:szCs w:val="20"/>
          <w:color w:val="auto"/>
        </w:rPr>
      </w:pPr>
    </w:p>
    <w:p>
      <w:pPr>
        <w:ind w:left="520" w:hanging="188"/>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Skyward Specialty Insurance Group, Inc.;</w:t>
      </w:r>
    </w:p>
    <w:p>
      <w:pPr>
        <w:spacing w:after="0" w:line="117" w:lineRule="exact"/>
        <w:rPr>
          <w:rFonts w:ascii="Arial" w:cs="Arial" w:eastAsia="Arial" w:hAnsi="Arial"/>
          <w:sz w:val="18"/>
          <w:szCs w:val="18"/>
          <w:color w:val="auto"/>
        </w:rPr>
      </w:pPr>
    </w:p>
    <w:p>
      <w:pPr>
        <w:jc w:val="both"/>
        <w:ind w:left="340" w:hanging="8"/>
        <w:spacing w:after="0" w:line="263" w:lineRule="auto"/>
        <w:tabs>
          <w:tab w:leader="none" w:pos="5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340" w:hanging="8"/>
        <w:spacing w:after="0" w:line="277" w:lineRule="auto"/>
        <w:tabs>
          <w:tab w:leader="none" w:pos="53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340" w:hanging="8"/>
        <w:spacing w:after="0" w:line="277" w:lineRule="auto"/>
        <w:tabs>
          <w:tab w:leader="none" w:pos="53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jc w:val="both"/>
        <w:ind w:left="820" w:hanging="2"/>
        <w:spacing w:after="0" w:line="263" w:lineRule="auto"/>
        <w:tabs>
          <w:tab w:leader="none" w:pos="993"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me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820" w:hanging="2"/>
        <w:spacing w:after="0" w:line="308" w:lineRule="auto"/>
        <w:tabs>
          <w:tab w:leader="none" w:pos="1029"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820" w:hanging="2"/>
        <w:spacing w:after="0" w:line="263" w:lineRule="auto"/>
        <w:tabs>
          <w:tab w:leader="none" w:pos="992"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340" w:hanging="8"/>
        <w:spacing w:after="0" w:line="277" w:lineRule="auto"/>
        <w:tabs>
          <w:tab w:leader="none" w:pos="5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820" w:hanging="2"/>
        <w:spacing w:after="0" w:line="277" w:lineRule="auto"/>
        <w:tabs>
          <w:tab w:leader="none" w:pos="1021"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820" w:hanging="2"/>
        <w:spacing w:after="0" w:line="277" w:lineRule="auto"/>
        <w:tabs>
          <w:tab w:leader="none" w:pos="1012"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380"/>
              <w:spacing w:after="0"/>
              <w:rPr>
                <w:sz w:val="20"/>
                <w:szCs w:val="20"/>
                <w:color w:val="auto"/>
              </w:rPr>
            </w:pPr>
            <w:r>
              <w:rPr>
                <w:rFonts w:ascii="Arial" w:cs="Arial" w:eastAsia="Arial" w:hAnsi="Arial"/>
                <w:sz w:val="18"/>
                <w:szCs w:val="18"/>
                <w:color w:val="auto"/>
              </w:rPr>
              <w:t>May 11, 2023</w:t>
            </w:r>
          </w:p>
        </w:tc>
        <w:tc>
          <w:tcPr>
            <w:tcW w:w="2180" w:type="dxa"/>
            <w:vAlign w:val="bottom"/>
          </w:tcPr>
          <w:p>
            <w:pPr>
              <w:ind w:left="14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4"/>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42"/>
        </w:trPr>
        <w:tc>
          <w:tcPr>
            <w:tcW w:w="7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Skyward Specialty Insurance Group, Inc. (the “Company”) for the three months ended March 31, 2023, as filed with the Securities and Exchange Commission on the date hereof (the “Report”), we, Andrew Robinson, as Chief Executive Officer of the Company, and Mark Haushill, Chief Financial Officer, hereby certify pursuant to Title 18, Chapter 63, Section 1350 of the United States Code, as adopted by Section 906 of the Sarbanes-Oxley Act of 2002, that to the best of our knowledge:</w:t>
      </w:r>
    </w:p>
    <w:p>
      <w:pPr>
        <w:spacing w:after="0" w:line="79" w:lineRule="exact"/>
        <w:rPr>
          <w:sz w:val="20"/>
          <w:szCs w:val="20"/>
          <w:color w:val="auto"/>
        </w:rPr>
      </w:pPr>
    </w:p>
    <w:p>
      <w:pPr>
        <w:ind w:left="580" w:hanging="248"/>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40" w:lineRule="exact"/>
        <w:rPr>
          <w:rFonts w:ascii="Arial" w:cs="Arial" w:eastAsia="Arial" w:hAnsi="Arial"/>
          <w:sz w:val="16"/>
          <w:szCs w:val="16"/>
          <w:color w:val="auto"/>
        </w:rPr>
      </w:pPr>
    </w:p>
    <w:p>
      <w:pPr>
        <w:ind w:left="580" w:hanging="248"/>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380"/>
              <w:spacing w:after="0"/>
              <w:rPr>
                <w:sz w:val="20"/>
                <w:szCs w:val="20"/>
                <w:color w:val="auto"/>
              </w:rPr>
            </w:pPr>
            <w:r>
              <w:rPr>
                <w:rFonts w:ascii="Arial" w:cs="Arial" w:eastAsia="Arial" w:hAnsi="Arial"/>
                <w:sz w:val="18"/>
                <w:szCs w:val="18"/>
                <w:color w:val="auto"/>
              </w:rPr>
              <w:t>May 11, 2023</w:t>
            </w:r>
          </w:p>
        </w:tc>
        <w:tc>
          <w:tcPr>
            <w:tcW w:w="2180" w:type="dxa"/>
            <w:vAlign w:val="bottom"/>
          </w:tcPr>
          <w:p>
            <w:pPr>
              <w:ind w:left="14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Robinson</w:t>
            </w:r>
          </w:p>
        </w:tc>
      </w:tr>
      <w:tr>
        <w:trPr>
          <w:trHeight w:val="224"/>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Andrew Robinson</w:t>
            </w:r>
          </w:p>
        </w:tc>
      </w:tr>
      <w:tr>
        <w:trPr>
          <w:trHeight w:val="242"/>
        </w:trPr>
        <w:tc>
          <w:tcPr>
            <w:tcW w:w="7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459"/>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380"/>
              <w:spacing w:after="0"/>
              <w:rPr>
                <w:sz w:val="20"/>
                <w:szCs w:val="20"/>
                <w:color w:val="auto"/>
              </w:rPr>
            </w:pPr>
            <w:r>
              <w:rPr>
                <w:rFonts w:ascii="Arial" w:cs="Arial" w:eastAsia="Arial" w:hAnsi="Arial"/>
                <w:sz w:val="18"/>
                <w:szCs w:val="18"/>
                <w:color w:val="auto"/>
              </w:rPr>
              <w:t>May 11, 2023</w:t>
            </w:r>
          </w:p>
        </w:tc>
        <w:tc>
          <w:tcPr>
            <w:tcW w:w="2180" w:type="dxa"/>
            <w:vAlign w:val="bottom"/>
          </w:tcPr>
          <w:p>
            <w:pPr>
              <w:ind w:left="142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Haushill</w:t>
            </w:r>
          </w:p>
        </w:tc>
      </w:tr>
      <w:tr>
        <w:trPr>
          <w:trHeight w:val="222"/>
        </w:trPr>
        <w:tc>
          <w:tcPr>
            <w:tcW w:w="7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Name:</w:t>
            </w:r>
          </w:p>
        </w:tc>
        <w:tc>
          <w:tcPr>
            <w:tcW w:w="5460" w:type="dxa"/>
            <w:vAlign w:val="bottom"/>
          </w:tcPr>
          <w:p>
            <w:pPr>
              <w:ind w:left="20"/>
              <w:spacing w:after="0"/>
              <w:rPr>
                <w:sz w:val="20"/>
                <w:szCs w:val="20"/>
                <w:color w:val="auto"/>
              </w:rPr>
            </w:pPr>
            <w:r>
              <w:rPr>
                <w:rFonts w:ascii="Arial" w:cs="Arial" w:eastAsia="Arial" w:hAnsi="Arial"/>
                <w:sz w:val="18"/>
                <w:szCs w:val="18"/>
                <w:color w:val="auto"/>
              </w:rPr>
              <w:t>Mark Haushill</w:t>
            </w:r>
          </w:p>
        </w:tc>
      </w:tr>
      <w:tr>
        <w:trPr>
          <w:trHeight w:val="230"/>
        </w:trPr>
        <w:tc>
          <w:tcPr>
            <w:tcW w:w="7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180" w:type="dxa"/>
            <w:vAlign w:val="bottom"/>
          </w:tcPr>
          <w:p>
            <w:pPr>
              <w:ind w:left="1420"/>
              <w:spacing w:after="0"/>
              <w:rPr>
                <w:sz w:val="20"/>
                <w:szCs w:val="20"/>
                <w:color w:val="auto"/>
              </w:rPr>
            </w:pPr>
            <w:r>
              <w:rPr>
                <w:rFonts w:ascii="Arial" w:cs="Arial" w:eastAsia="Arial" w:hAnsi="Arial"/>
                <w:sz w:val="18"/>
                <w:szCs w:val="18"/>
                <w:color w:val="auto"/>
              </w:rPr>
              <w:t>Title:</w:t>
            </w:r>
          </w:p>
        </w:tc>
        <w:tc>
          <w:tcPr>
            <w:tcW w:w="54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2"/>
    </w:lvl>
  </w:abstractNum>
  <w:abstractNum w:abstractNumId="5">
    <w:nsid w:val="71F32454"/>
    <w:multiLevelType w:val="hybridMultilevel"/>
    <w:lvl w:ilvl="0">
      <w:lvlJc w:val="left"/>
      <w:lvlText w:val="%1."/>
      <w:numFmt w:val="decimal"/>
      <w:start w:val="2"/>
    </w:lvl>
  </w:abstractNum>
  <w:abstractNum w:abstractNumId="6">
    <w:nsid w:val="2CA88611"/>
    <w:multiLevelType w:val="hybridMultilevel"/>
    <w:lvl w:ilvl="0">
      <w:lvlJc w:val="left"/>
      <w:lvlText w:val="%1."/>
      <w:numFmt w:val="decimal"/>
      <w:start w:val="2"/>
    </w:lvl>
  </w:abstractNum>
  <w:abstractNum w:abstractNumId="7">
    <w:nsid w:val="836C40E"/>
    <w:multiLevelType w:val="hybridMultilevel"/>
    <w:lvl w:ilvl="0">
      <w:lvlJc w:val="left"/>
      <w:lvlText w:val="%1."/>
      <w:numFmt w:val="decimal"/>
      <w:start w:val="2"/>
    </w:lvl>
  </w:abstractNum>
  <w:abstractNum w:abstractNumId="8">
    <w:nsid w:val="2901D82"/>
    <w:multiLevelType w:val="hybridMultilevel"/>
    <w:lvl w:ilvl="0">
      <w:lvlJc w:val="left"/>
      <w:lvlText w:val="%1."/>
      <w:numFmt w:val="decimal"/>
      <w:start w:val="2"/>
    </w:lvl>
  </w:abstractNum>
  <w:abstractNum w:abstractNumId="9">
    <w:nsid w:val="3A95F874"/>
    <w:multiLevelType w:val="hybridMultilevel"/>
    <w:lvl w:ilvl="0">
      <w:lvlJc w:val="left"/>
      <w:lvlText w:val="%1."/>
      <w:numFmt w:val="decimal"/>
      <w:start w:val="3"/>
    </w:lvl>
  </w:abstractNum>
  <w:abstractNum w:abstractNumId="10">
    <w:nsid w:val="8138641"/>
    <w:multiLevelType w:val="hybridMultilevel"/>
    <w:lvl w:ilvl="0">
      <w:lvlJc w:val="left"/>
      <w:lvlText w:val="%1."/>
      <w:numFmt w:val="decimal"/>
      <w:start w:val="3"/>
    </w:lvl>
  </w:abstractNum>
  <w:abstractNum w:abstractNumId="11">
    <w:nsid w:val="1E7FF521"/>
    <w:multiLevelType w:val="hybridMultilevel"/>
    <w:lvl w:ilvl="0">
      <w:lvlJc w:val="left"/>
      <w:lvlText w:val="%1."/>
      <w:numFmt w:val="decimal"/>
      <w:start w:val="3"/>
    </w:lvl>
  </w:abstractNum>
  <w:abstractNum w:abstractNumId="12">
    <w:nsid w:val="7C3DBD3D"/>
    <w:multiLevelType w:val="hybridMultilevel"/>
    <w:lvl w:ilvl="0">
      <w:lvlJc w:val="left"/>
      <w:lvlText w:val="%1."/>
      <w:numFmt w:val="decimal"/>
      <w:start w:val="3"/>
    </w:lvl>
  </w:abstractNum>
  <w:abstractNum w:abstractNumId="13">
    <w:nsid w:val="737B8DDC"/>
    <w:multiLevelType w:val="hybridMultilevel"/>
    <w:lvl w:ilvl="0">
      <w:lvlJc w:val="left"/>
      <w:lvlText w:val="%1."/>
      <w:numFmt w:val="decimal"/>
      <w:start w:val="3"/>
    </w:lvl>
  </w:abstractNum>
  <w:abstractNum w:abstractNumId="14">
    <w:nsid w:val="6CEAF087"/>
    <w:multiLevelType w:val="hybridMultilevel"/>
    <w:lvl w:ilvl="0">
      <w:lvlJc w:val="left"/>
      <w:lvlText w:val="%1."/>
      <w:numFmt w:val="decimal"/>
      <w:start w:val="3"/>
    </w:lvl>
  </w:abstractNum>
  <w:abstractNum w:abstractNumId="15">
    <w:nsid w:val="22221A70"/>
    <w:multiLevelType w:val="hybridMultilevel"/>
    <w:lvl w:ilvl="0">
      <w:lvlJc w:val="left"/>
      <w:lvlText w:val="%1."/>
      <w:numFmt w:val="decimal"/>
      <w:start w:val="4"/>
    </w:lvl>
  </w:abstractNum>
  <w:abstractNum w:abstractNumId="16">
    <w:nsid w:val="4516DDE9"/>
    <w:multiLevelType w:val="hybridMultilevel"/>
    <w:lvl w:ilvl="0">
      <w:lvlJc w:val="left"/>
      <w:lvlText w:val="%1."/>
      <w:numFmt w:val="decimal"/>
      <w:start w:val="4"/>
    </w:lvl>
  </w:abstractNum>
  <w:abstractNum w:abstractNumId="17">
    <w:nsid w:val="3006C83E"/>
    <w:multiLevelType w:val="hybridMultilevel"/>
    <w:lvl w:ilvl="0">
      <w:lvlJc w:val="left"/>
      <w:lvlText w:val="%1."/>
      <w:numFmt w:val="decimal"/>
      <w:start w:val="5"/>
    </w:lvl>
  </w:abstractNum>
  <w:abstractNum w:abstractNumId="18">
    <w:nsid w:val="614FD4A1"/>
    <w:multiLevelType w:val="hybridMultilevel"/>
    <w:lvl w:ilvl="0">
      <w:lvlJc w:val="left"/>
      <w:lvlText w:val="%1."/>
      <w:numFmt w:val="decimal"/>
      <w:start w:val="5"/>
    </w:lvl>
  </w:abstractNum>
  <w:abstractNum w:abstractNumId="19">
    <w:nsid w:val="419AC241"/>
    <w:multiLevelType w:val="hybridMultilevel"/>
    <w:lvl w:ilvl="0">
      <w:lvlJc w:val="left"/>
      <w:lvlText w:val="%1."/>
      <w:numFmt w:val="decimal"/>
      <w:start w:val="5"/>
    </w:lvl>
  </w:abstractNum>
  <w:abstractNum w:abstractNumId="20">
    <w:nsid w:val="5577F8E1"/>
    <w:multiLevelType w:val="hybridMultilevel"/>
    <w:lvl w:ilvl="0">
      <w:lvlJc w:val="left"/>
      <w:lvlText w:val="%1."/>
      <w:numFmt w:val="decimal"/>
      <w:start w:val="6"/>
    </w:lvl>
  </w:abstractNum>
  <w:abstractNum w:abstractNumId="21">
    <w:nsid w:val="440BADFC"/>
    <w:multiLevelType w:val="hybridMultilevel"/>
    <w:lvl w:ilvl="0">
      <w:lvlJc w:val="left"/>
      <w:lvlText w:val="%1."/>
      <w:numFmt w:val="decimal"/>
      <w:start w:val="6"/>
    </w:lvl>
  </w:abstractNum>
  <w:abstractNum w:abstractNumId="22">
    <w:nsid w:val="5072367"/>
    <w:multiLevelType w:val="hybridMultilevel"/>
    <w:lvl w:ilvl="0">
      <w:lvlJc w:val="left"/>
      <w:lvlText w:val="%1."/>
      <w:numFmt w:val="decimal"/>
      <w:start w:val="7"/>
    </w:lvl>
  </w:abstractNum>
  <w:abstractNum w:abstractNumId="23">
    <w:nsid w:val="3804823E"/>
    <w:multiLevelType w:val="hybridMultilevel"/>
    <w:lvl w:ilvl="0">
      <w:lvlJc w:val="left"/>
      <w:lvlText w:val="%1."/>
      <w:numFmt w:val="decimal"/>
      <w:start w:val="8"/>
    </w:lvl>
  </w:abstractNum>
  <w:abstractNum w:abstractNumId="24">
    <w:nsid w:val="77465F01"/>
    <w:multiLevelType w:val="hybridMultilevel"/>
    <w:lvl w:ilvl="0">
      <w:lvlJc w:val="left"/>
      <w:lvlText w:val="%1."/>
      <w:numFmt w:val="decimal"/>
      <w:start w:val="8"/>
    </w:lvl>
  </w:abstractNum>
  <w:abstractNum w:abstractNumId="25">
    <w:nsid w:val="7724C67E"/>
    <w:multiLevelType w:val="hybridMultilevel"/>
    <w:lvl w:ilvl="0">
      <w:lvlJc w:val="left"/>
      <w:lvlText w:val="%1."/>
      <w:numFmt w:val="decimal"/>
      <w:start w:val="9"/>
    </w:lvl>
  </w:abstractNum>
  <w:abstractNum w:abstractNumId="26">
    <w:nsid w:val="5C482A97"/>
    <w:multiLevelType w:val="hybridMultilevel"/>
    <w:lvl w:ilvl="0">
      <w:lvlJc w:val="left"/>
      <w:lvlText w:val="%1."/>
      <w:numFmt w:val="decimal"/>
      <w:start w:val="10"/>
    </w:lvl>
  </w:abstractNum>
  <w:abstractNum w:abstractNumId="27">
    <w:nsid w:val="2463B9EA"/>
    <w:multiLevelType w:val="hybridMultilevel"/>
    <w:lvl w:ilvl="0">
      <w:lvlJc w:val="left"/>
      <w:lvlText w:val="%1."/>
      <w:numFmt w:val="decimal"/>
      <w:start w:val="11"/>
    </w:lvl>
  </w:abstractNum>
  <w:abstractNum w:abstractNumId="28">
    <w:nsid w:val="5E884ADC"/>
    <w:multiLevelType w:val="hybridMultilevel"/>
    <w:lvl w:ilvl="0">
      <w:lvlJc w:val="left"/>
      <w:lvlText w:val="%1."/>
      <w:numFmt w:val="decimal"/>
      <w:start w:val="12"/>
    </w:lvl>
  </w:abstractNum>
  <w:abstractNum w:abstractNumId="29">
    <w:nsid w:val="51EAD36B"/>
    <w:multiLevelType w:val="hybridMultilevel"/>
    <w:lvl w:ilvl="0">
      <w:lvlJc w:val="left"/>
      <w:lvlText w:val="%1."/>
      <w:numFmt w:val="decimal"/>
      <w:start w:val="13"/>
    </w:lvl>
  </w:abstractNum>
  <w:abstractNum w:abstractNumId="30">
    <w:nsid w:val="2D517796"/>
    <w:multiLevelType w:val="hybridMultilevel"/>
    <w:lvl w:ilvl="0">
      <w:lvlJc w:val="left"/>
      <w:lvlText w:val="%1."/>
      <w:numFmt w:val="decimal"/>
      <w:start w:val="14"/>
    </w:lvl>
  </w:abstractNum>
  <w:abstractNum w:abstractNumId="31">
    <w:nsid w:val="580BD78F"/>
    <w:multiLevelType w:val="hybridMultilevel"/>
    <w:lvl w:ilvl="0">
      <w:lvlJc w:val="left"/>
      <w:lvlText w:val="%1."/>
      <w:numFmt w:val="decimal"/>
      <w:start w:val="14"/>
    </w:lvl>
  </w:abstractNum>
  <w:abstractNum w:abstractNumId="32">
    <w:nsid w:val="153EA438"/>
    <w:multiLevelType w:val="hybridMultilevel"/>
    <w:lvl w:ilvl="0">
      <w:lvlJc w:val="left"/>
      <w:lvlText w:val="%1."/>
      <w:numFmt w:val="decimal"/>
      <w:start w:val="14"/>
    </w:lvl>
  </w:abstractNum>
  <w:abstractNum w:abstractNumId="33">
    <w:nsid w:val="3855585C"/>
    <w:multiLevelType w:val="hybridMultilevel"/>
    <w:lvl w:ilvl="0">
      <w:lvlJc w:val="left"/>
      <w:lvlText w:val="%1."/>
      <w:numFmt w:val="decimal"/>
      <w:start w:val="15"/>
    </w:lvl>
  </w:abstractNum>
  <w:abstractNum w:abstractNumId="34">
    <w:nsid w:val="70A64E2A"/>
    <w:multiLevelType w:val="hybridMultilevel"/>
    <w:lvl w:ilvl="0">
      <w:lvlJc w:val="left"/>
      <w:lvlText w:val="%1."/>
      <w:numFmt w:val="decimal"/>
      <w:start w:val="15"/>
    </w:lvl>
  </w:abstractNum>
  <w:abstractNum w:abstractNumId="35">
    <w:nsid w:val="6A2342EC"/>
    <w:multiLevelType w:val="hybridMultilevel"/>
    <w:lvl w:ilvl="0">
      <w:lvlJc w:val="left"/>
      <w:lvlText w:val="%1."/>
      <w:numFmt w:val="decimal"/>
      <w:start w:val="16"/>
    </w:lvl>
  </w:abstractNum>
  <w:abstractNum w:abstractNumId="36">
    <w:nsid w:val="2A487CB0"/>
    <w:multiLevelType w:val="hybridMultilevel"/>
    <w:lvl w:ilvl="0">
      <w:lvlJc w:val="left"/>
      <w:lvlText w:val="%1."/>
      <w:numFmt w:val="decimal"/>
      <w:start w:val="17"/>
    </w:lvl>
  </w:abstractNum>
  <w:abstractNum w:abstractNumId="37">
    <w:nsid w:val="1D4ED43B"/>
    <w:multiLevelType w:val="hybridMultilevel"/>
    <w:lvl w:ilvl="0">
      <w:lvlJc w:val="left"/>
      <w:lvlText w:val="(%1)"/>
      <w:numFmt w:val="decimal"/>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
      <w:numFmt w:val="bullet"/>
      <w:start w:val="1"/>
    </w:lvl>
    <w:lvl w:ilvl="1">
      <w:lvlJc w:val="left"/>
      <w:lvlText w:val="%2"/>
      <w:numFmt w:val="decimal"/>
      <w:start w:val="104"/>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lowerLetter"/>
      <w:start w:val="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66" Type="http://schemas.openxmlformats.org/officeDocument/2006/relationships/hyperlink" Target="https://www.sec.gov/Archives/edgar/data/1519449/000110465923004624/tm233575d1_ex3-1.htm" TargetMode="External"/><Relationship Id="rId67" Type="http://schemas.openxmlformats.org/officeDocument/2006/relationships/hyperlink" Target="https://www.sec.gov/Archives/edgar/data/1519449/000110465923004624/tm233575d1_ex3-2.htm" TargetMode="External"/><Relationship Id="rId68" Type="http://schemas.openxmlformats.org/officeDocument/2006/relationships/hyperlink" Target="https://www.sec.gov/Archives/edgar/data/1519449/000110465922117762/tm228594d12_ex4-1.htm" TargetMode="External"/><Relationship Id="rId69" Type="http://schemas.openxmlformats.org/officeDocument/2006/relationships/hyperlink" Target="https://www.sec.gov/Archives/edgar/data/1519449/000151944923000015/exhibit101creditagreement.htm" TargetMode="External"/><Relationship Id="rId70" Type="http://schemas.openxmlformats.org/officeDocument/2006/relationships/hyperlink" Target="https://www.sec.gov/Archives/edgar/data/1519449/000151944923000015/exhibit102guaranty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2023-05-11T14:52:34Z</dcterms:created>
  <dcterms:modified xsi:type="dcterms:W3CDTF">2023-05-11T14:52:34Z</dcterms:modified>
</cp:coreProperties>
</file>