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May 11, 2026</w:t>
      </w:r>
      <w:r>
        <w:rPr>
          <w:color w:val="000000"/>
        </w:rPr>
        <w:t xml:space="preserve"> </w:t>
      </w:r>
      <w:r>
        <w:rPr>
          <w:rFonts w:ascii="Times New Roman;serif" w:hAnsi="Times New Roman;serif"/>
          <w:b w:val="false"/>
          <w:color w:val="000000"/>
          <w:sz w:val="20"/>
        </w:rPr>
        <w:t>(May 5, 2026</w:t>
      </w:r>
      <w:r>
        <w:rPr>
          <w:rFonts w:ascii="Times New Roman;serif" w:hAnsi="Times New Roman;serif"/>
          <w:b/>
          <w:color w:val="000000"/>
          <w:sz w:val="20"/>
        </w:rPr>
        <w: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Skyward Specialty Insurance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120"/>
        <w:jc w:val="left"/>
        <w:rPr/>
      </w:pPr>
      <w:r>
        <w:rPr/>
      </w:r>
    </w:p>
    <w:tbl>
      <w:tblPr>
        <w:tblW w:w="8983" w:type="dxa"/>
        <w:jc w:val="left"/>
        <w:tblInd w:w="0" w:type="dxa"/>
        <w:tblLayout w:type="fixed"/>
        <w:tblCellMar>
          <w:top w:w="28" w:type="dxa"/>
          <w:left w:w="28" w:type="dxa"/>
          <w:bottom w:w="28" w:type="dxa"/>
          <w:right w:w="28" w:type="dxa"/>
        </w:tblCellMar>
      </w:tblPr>
      <w:tblGrid>
        <w:gridCol w:w="1196"/>
        <w:gridCol w:w="1050"/>
        <w:gridCol w:w="1053"/>
        <w:gridCol w:w="764"/>
        <w:gridCol w:w="764"/>
        <w:gridCol w:w="766"/>
        <w:gridCol w:w="992"/>
        <w:gridCol w:w="992"/>
        <w:gridCol w:w="140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001-41591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14-1957288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800 Gessner Road</w:t>
            </w:r>
            <w:r>
              <w:rPr>
                <w:rFonts w:ascii="Helvetica;sans-serif" w:hAnsi="Helvetica;sans-serif"/>
                <w:b/>
                <w:color w:val="3051F2"/>
                <w:sz w:val="20"/>
              </w:rPr>
              <w:t xml:space="preserve">, </w:t>
            </w:r>
            <w:r>
              <w:rPr>
                <w:rFonts w:ascii="Times New Roman;serif" w:hAnsi="Times New Roman;serif"/>
                <w:b/>
                <w:color w:val="000000"/>
                <w:sz w:val="20"/>
              </w:rPr>
              <w:t>Suite 600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(713) 935-4800</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29" w:type="dxa"/>
        <w:jc w:val="left"/>
        <w:tblInd w:w="0" w:type="dxa"/>
        <w:tblLayout w:type="fixed"/>
        <w:tblCellMar>
          <w:top w:w="28" w:type="dxa"/>
          <w:left w:w="28" w:type="dxa"/>
          <w:bottom w:w="28" w:type="dxa"/>
          <w:right w:w="28" w:type="dxa"/>
        </w:tblCellMar>
      </w:tblPr>
      <w:tblGrid>
        <w:gridCol w:w="979"/>
        <w:gridCol w:w="860"/>
        <w:gridCol w:w="860"/>
        <w:gridCol w:w="502"/>
        <w:gridCol w:w="502"/>
        <w:gridCol w:w="502"/>
        <w:gridCol w:w="1120"/>
        <w:gridCol w:w="1120"/>
        <w:gridCol w:w="158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02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Wingdings;sans-serif" w:hAnsi="Wingdings;sans-serif"/>
                <w:b w:val="false"/>
                <w:color w:val="000000"/>
                <w:sz w:val="22"/>
              </w:rPr>
            </w:pPr>
            <w:r>
              <w:rPr>
                <w:rFonts w:ascii="Wingdings;sans-serif" w:hAnsi="Wingdings;sans-serif"/>
                <w:b w:val="false"/>
                <w:color w:val="000000"/>
                <w:sz w:val="22"/>
              </w:rPr>
              <w:t>o</w:t>
            </w:r>
          </w:p>
        </w:tc>
      </w:tr>
    </w:tbl>
    <w:p>
      <w:pPr>
        <w:pStyle w:val="TextBody"/>
        <w:bidi w:val="0"/>
        <w:spacing w:lineRule="auto" w:line="288" w:before="0" w:after="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5.07.    Submission of Matters to a Vote of Security Holders.</w:t>
      </w:r>
    </w:p>
    <w:p>
      <w:pPr>
        <w:pStyle w:val="TextBody"/>
        <w:bidi w:val="0"/>
        <w:spacing w:lineRule="auto" w:line="288" w:before="0" w:after="120"/>
        <w:jc w:val="both"/>
        <w:rPr/>
      </w:pPr>
      <w:r>
        <w:rPr>
          <w:rFonts w:ascii="Times New Roman;serif" w:hAnsi="Times New Roman;serif"/>
          <w:b w:val="false"/>
          <w:color w:val="000000"/>
          <w:sz w:val="20"/>
        </w:rPr>
        <w:t>On May 5, 2026, Skyward Specialty Insurance Group, Inc. (the "Company"), held its Annual Meeting of Shareholders. The following actions were taken at the Annual Meeting, for which proxies were solicited pursuant to Regulation 14A under the Securities Exchange Act of 1934, as amended</w:t>
      </w:r>
      <w:r>
        <w:rPr>
          <w:rFonts w:ascii="Times New Roman;serif" w:hAnsi="Times New Roman;serif"/>
          <w:b w:val="false"/>
          <w:color w:val="000000"/>
          <w:sz w:val="18"/>
        </w:rPr>
        <w:t>.</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director nominees as disclosed in the proxy statement were elected by the vote set forth below: </w:t>
      </w:r>
    </w:p>
    <w:p>
      <w:pPr>
        <w:pStyle w:val="TextBody"/>
        <w:bidi w:val="0"/>
        <w:spacing w:before="0" w:after="2"/>
        <w:jc w:val="left"/>
        <w:rPr/>
      </w:pPr>
      <w:r>
        <w:rPr/>
      </w:r>
    </w:p>
    <w:tbl>
      <w:tblPr>
        <w:tblW w:w="4650" w:type="dxa"/>
        <w:jc w:val="left"/>
        <w:tblInd w:w="0" w:type="dxa"/>
        <w:tblLayout w:type="fixed"/>
        <w:tblCellMar>
          <w:top w:w="28" w:type="dxa"/>
          <w:left w:w="28" w:type="dxa"/>
          <w:bottom w:w="28" w:type="dxa"/>
          <w:right w:w="28" w:type="dxa"/>
        </w:tblCellMar>
      </w:tblPr>
      <w:tblGrid>
        <w:gridCol w:w="456"/>
        <w:gridCol w:w="400"/>
        <w:gridCol w:w="403"/>
        <w:gridCol w:w="304"/>
        <w:gridCol w:w="304"/>
        <w:gridCol w:w="308"/>
        <w:gridCol w:w="304"/>
        <w:gridCol w:w="304"/>
        <w:gridCol w:w="308"/>
        <w:gridCol w:w="455"/>
        <w:gridCol w:w="455"/>
        <w:gridCol w:w="64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Nominee</w:t>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For</w:t>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Withheld</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Broker Non-Votes</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Peter C. Hearn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34,790,416</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901,506</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2,359,528</w:t>
            </w:r>
          </w:p>
        </w:tc>
      </w:tr>
      <w:tr>
        <w:trPr/>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Gena Ashe</w:t>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25,679,644</w:t>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10,012,278</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2,359,528</w:t>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compensation of our named executive officers as disclosed in the proxy statement was approved in an advisory vote, as set forth below:</w:t>
      </w:r>
    </w:p>
    <w:p>
      <w:pPr>
        <w:pStyle w:val="TextBody"/>
        <w:bidi w:val="0"/>
        <w:spacing w:before="0" w:after="2"/>
        <w:jc w:val="left"/>
        <w:rPr/>
      </w:pPr>
      <w:r>
        <w:rPr/>
      </w:r>
    </w:p>
    <w:tbl>
      <w:tblPr>
        <w:tblW w:w="4037" w:type="dxa"/>
        <w:jc w:val="left"/>
        <w:tblInd w:w="0" w:type="dxa"/>
        <w:tblLayout w:type="fixed"/>
        <w:tblCellMar>
          <w:top w:w="28" w:type="dxa"/>
          <w:left w:w="28" w:type="dxa"/>
          <w:bottom w:w="28" w:type="dxa"/>
          <w:right w:w="28" w:type="dxa"/>
        </w:tblCellMar>
      </w:tblPr>
      <w:tblGrid>
        <w:gridCol w:w="335"/>
        <w:gridCol w:w="295"/>
        <w:gridCol w:w="301"/>
        <w:gridCol w:w="274"/>
        <w:gridCol w:w="274"/>
        <w:gridCol w:w="278"/>
        <w:gridCol w:w="240"/>
        <w:gridCol w:w="240"/>
        <w:gridCol w:w="241"/>
        <w:gridCol w:w="455"/>
        <w:gridCol w:w="455"/>
        <w:gridCol w:w="649"/>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For</w:t>
            </w:r>
          </w:p>
        </w:tc>
        <w:tc>
          <w:tcPr>
            <w:tcW w:w="8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Against</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Abstain</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Broker Non-Votes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33,368,427</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2,308,030</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15,465</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2,359,528</w:t>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appointment of Ernst &amp; Young LLP as our independent auditors for the fiscal year ending December 31, 2026 was ratified by the vote set forth below:</w:t>
      </w:r>
    </w:p>
    <w:p>
      <w:pPr>
        <w:pStyle w:val="TextBody"/>
        <w:bidi w:val="0"/>
        <w:spacing w:before="0" w:after="2"/>
        <w:jc w:val="left"/>
        <w:rPr/>
      </w:pPr>
      <w:r>
        <w:rPr/>
      </w:r>
    </w:p>
    <w:tbl>
      <w:tblPr>
        <w:tblW w:w="3917" w:type="dxa"/>
        <w:jc w:val="left"/>
        <w:tblInd w:w="0" w:type="dxa"/>
        <w:tblLayout w:type="fixed"/>
        <w:tblCellMar>
          <w:top w:w="28" w:type="dxa"/>
          <w:left w:w="28" w:type="dxa"/>
          <w:bottom w:w="28" w:type="dxa"/>
          <w:right w:w="28" w:type="dxa"/>
        </w:tblCellMar>
      </w:tblPr>
      <w:tblGrid>
        <w:gridCol w:w="335"/>
        <w:gridCol w:w="295"/>
        <w:gridCol w:w="301"/>
        <w:gridCol w:w="235"/>
        <w:gridCol w:w="235"/>
        <w:gridCol w:w="236"/>
        <w:gridCol w:w="240"/>
        <w:gridCol w:w="240"/>
        <w:gridCol w:w="241"/>
        <w:gridCol w:w="455"/>
        <w:gridCol w:w="455"/>
        <w:gridCol w:w="649"/>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For</w:t>
            </w:r>
          </w:p>
        </w:tc>
        <w:tc>
          <w:tcPr>
            <w:tcW w:w="7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Against</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Abstain</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Broker Non-Votes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37,739,694</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289,410</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22,346</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120"/>
        <w:jc w:val="left"/>
        <w:rPr/>
      </w:pPr>
      <w:r>
        <w:rPr/>
      </w:r>
    </w:p>
    <w:tbl>
      <w:tblPr>
        <w:tblW w:w="7134" w:type="dxa"/>
        <w:jc w:val="right"/>
        <w:tblInd w:w="0" w:type="dxa"/>
        <w:tblLayout w:type="fixed"/>
        <w:tblCellMar>
          <w:top w:w="28" w:type="dxa"/>
          <w:left w:w="28" w:type="dxa"/>
          <w:bottom w:w="28" w:type="dxa"/>
          <w:right w:w="28" w:type="dxa"/>
        </w:tblCellMar>
      </w:tblPr>
      <w:tblGrid>
        <w:gridCol w:w="200"/>
        <w:gridCol w:w="177"/>
        <w:gridCol w:w="178"/>
        <w:gridCol w:w="109"/>
        <w:gridCol w:w="109"/>
        <w:gridCol w:w="109"/>
        <w:gridCol w:w="414"/>
        <w:gridCol w:w="414"/>
        <w:gridCol w:w="417"/>
        <w:gridCol w:w="1544"/>
        <w:gridCol w:w="1544"/>
        <w:gridCol w:w="1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491</Words>
  <Characters>2859</Characters>
  <CharactersWithSpaces>3266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