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09"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11"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color w:val="auto"/>
        </w:rPr>
        <w:t>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620" w:hanging="398"/>
        <w:spacing w:after="0"/>
        <w:tabs>
          <w:tab w:leader="none" w:pos="6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5"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2023</w:t>
      </w:r>
    </w:p>
    <w:p>
      <w:pPr>
        <w:jc w:val="center"/>
        <w:spacing w:after="0"/>
        <w:rPr>
          <w:sz w:val="20"/>
          <w:szCs w:val="20"/>
          <w:color w:val="auto"/>
        </w:rPr>
      </w:pPr>
      <w:r>
        <w:rPr>
          <w:rFonts w:ascii="Arial" w:cs="Arial" w:eastAsia="Arial" w:hAnsi="Arial"/>
          <w:sz w:val="14"/>
          <w:szCs w:val="14"/>
          <w:b w:val="1"/>
          <w:bCs w:val="1"/>
          <w:color w:val="auto"/>
        </w:rPr>
        <w:t>OR</w:t>
      </w:r>
    </w:p>
    <w:p>
      <w:pPr>
        <w:spacing w:after="0" w:line="84" w:lineRule="exact"/>
        <w:rPr>
          <w:sz w:val="24"/>
          <w:szCs w:val="24"/>
          <w:color w:val="auto"/>
        </w:rPr>
      </w:pPr>
    </w:p>
    <w:p>
      <w:pPr>
        <w:ind w:left="660" w:right="1460" w:hanging="438"/>
        <w:spacing w:after="0" w:line="207" w:lineRule="auto"/>
        <w:tabs>
          <w:tab w:leader="none" w:pos="66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 to ____________</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001-41591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SKYWARD SPECIALTY INSURANCE GROUP,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38735</wp:posOffset>
            </wp:positionV>
            <wp:extent cx="1731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14-1957288</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7500" w:type="dxa"/>
            <w:vAlign w:val="bottom"/>
            <w:gridSpan w:val="6"/>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right="17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24"/>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800 Gessner Road, Suite 600</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vMerge w:val="restart"/>
          </w:tcPr>
          <w:p>
            <w:pPr>
              <w:jc w:val="center"/>
              <w:ind w:right="1810"/>
              <w:spacing w:after="0"/>
              <w:rPr>
                <w:sz w:val="20"/>
                <w:szCs w:val="20"/>
                <w:color w:val="auto"/>
              </w:rPr>
            </w:pPr>
            <w:r>
              <w:rPr>
                <w:rFonts w:ascii="Arial" w:cs="Arial" w:eastAsia="Arial" w:hAnsi="Arial"/>
                <w:sz w:val="18"/>
                <w:szCs w:val="18"/>
                <w:b w:val="1"/>
                <w:bCs w:val="1"/>
                <w:color w:val="auto"/>
                <w:w w:val="91"/>
              </w:rPr>
              <w:t>77024-4284</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Houston, Texas</w:t>
            </w: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(713) 935-4800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00" w:type="dxa"/>
            <w:vAlign w:val="bottom"/>
            <w:gridSpan w:val="6"/>
          </w:tcPr>
          <w:p>
            <w:pPr>
              <w:jc w:val="center"/>
              <w:ind w:left="3650"/>
              <w:spacing w:after="0"/>
              <w:rPr>
                <w:sz w:val="20"/>
                <w:szCs w:val="20"/>
                <w:color w:val="auto"/>
              </w:rPr>
            </w:pPr>
            <w:r>
              <w:rPr>
                <w:rFonts w:ascii="Arial" w:cs="Arial" w:eastAsia="Arial" w:hAnsi="Arial"/>
                <w:sz w:val="18"/>
                <w:szCs w:val="18"/>
                <w:color w:val="auto"/>
                <w:w w:val="89"/>
              </w:rPr>
              <w:t>Registrant’s telephone number, including area code</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4"/>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24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6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Trading Symbol(s)</w:t>
            </w:r>
          </w:p>
        </w:tc>
        <w:tc>
          <w:tcPr>
            <w:tcW w:w="48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6"/>
              </w:rPr>
              <w:t>SKWD</w:t>
            </w:r>
          </w:p>
        </w:tc>
        <w:tc>
          <w:tcPr>
            <w:tcW w:w="48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right="26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8" w:lineRule="exact"/>
        <w:rPr>
          <w:sz w:val="24"/>
          <w:szCs w:val="24"/>
          <w:color w:val="auto"/>
        </w:rPr>
      </w:pPr>
    </w:p>
    <w:p>
      <w:pPr>
        <w:jc w:val="both"/>
        <w:ind w:right="300"/>
        <w:spacing w:after="0" w:line="21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400"/>
        <w:spacing w:after="0"/>
        <w:tabs>
          <w:tab w:leader="none" w:pos="10880" w:val="left"/>
        </w:tabs>
        <w:rPr>
          <w:sz w:val="20"/>
          <w:szCs w:val="20"/>
          <w:color w:val="auto"/>
        </w:rPr>
      </w:pPr>
      <w:r>
        <w:rPr>
          <w:rFonts w:ascii="Arial" w:cs="Arial" w:eastAsia="Arial" w:hAnsi="Arial"/>
          <w:sz w:val="18"/>
          <w:szCs w:val="18"/>
          <w:color w:val="auto"/>
        </w:rPr>
        <w:t>Yes</w:t>
        <w:tab/>
        <w:t>No</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21" w:lineRule="exact"/>
        <w:rPr>
          <w:sz w:val="24"/>
          <w:szCs w:val="24"/>
          <w:color w:val="auto"/>
        </w:rPr>
      </w:pPr>
    </w:p>
    <w:p>
      <w:pPr>
        <w:spacing w:after="0" w:line="226" w:lineRule="auto"/>
        <w:rPr>
          <w:sz w:val="20"/>
          <w:szCs w:val="20"/>
          <w:color w:val="auto"/>
        </w:rPr>
      </w:pPr>
      <w:r>
        <w:rPr>
          <w:rFonts w:ascii="Arial" w:cs="Arial" w:eastAsia="Arial" w:hAnsi="Arial"/>
          <w:sz w:val="18"/>
          <w:szCs w:val="18"/>
          <w:color w:val="auto"/>
        </w:rPr>
        <w:t>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9"/>
        </w:trPr>
        <w:tc>
          <w:tcPr>
            <w:tcW w:w="3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800" w:type="dxa"/>
            <w:vAlign w:val="bottom"/>
          </w:tcPr>
          <w:p>
            <w:pPr>
              <w:jc w:val="right"/>
              <w:ind w:right="18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890"/>
              <w:spacing w:after="0"/>
              <w:rPr>
                <w:sz w:val="20"/>
                <w:szCs w:val="20"/>
                <w:color w:val="auto"/>
              </w:rPr>
            </w:pPr>
            <w:r>
              <w:rPr>
                <w:rFonts w:ascii="Arial" w:cs="Arial" w:eastAsia="Arial" w:hAnsi="Arial"/>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1"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 w:lineRule="exact"/>
        <w:rPr>
          <w:sz w:val="24"/>
          <w:szCs w:val="24"/>
          <w:color w:val="auto"/>
        </w:rPr>
      </w:pPr>
    </w:p>
    <w:p>
      <w:pPr>
        <w:spacing w:after="0" w:line="207" w:lineRule="exact"/>
        <w:tabs>
          <w:tab w:leader="none" w:pos="7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2023, the registrant had 37,674,063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01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7780" w:type="dxa"/>
            <w:vAlign w:val="bottom"/>
          </w:tcPr>
          <w:p>
            <w:pPr>
              <w:ind w:left="19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1"/>
              </w:rPr>
              <w:t>Form 10-Q</w:t>
            </w: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rPr>
              <w:t>Item and Description</w:t>
            </w:r>
          </w:p>
        </w:tc>
        <w:tc>
          <w:tcPr>
            <w:tcW w:w="72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1. Financial Statements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 as of June 30, 2023 and December 31, 2022 (unaudited)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80" w:type="dxa"/>
            <w:vAlign w:val="bottom"/>
            <w:gridSpan w:val="4"/>
          </w:tcPr>
          <w:p>
            <w:pPr>
              <w:ind w:left="380"/>
              <w:spacing w:after="0" w:line="189" w:lineRule="exact"/>
              <w:rPr>
                <w:sz w:val="20"/>
                <w:szCs w:val="20"/>
                <w:color w:val="auto"/>
              </w:rPr>
            </w:pPr>
            <w:r>
              <w:rPr>
                <w:rFonts w:ascii="Arial" w:cs="Arial" w:eastAsia="Arial" w:hAnsi="Arial"/>
                <w:sz w:val="18"/>
                <w:szCs w:val="18"/>
                <w:color w:val="auto"/>
              </w:rPr>
              <w:t>Condensed Consolidated Statements of Operations and Comprehensive Income (Loss) for the Three and Six-Month</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rPr>
              <w:t>Periods Ended June 30, 2023 and 2022 (unaudited)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80" w:type="dxa"/>
            <w:vAlign w:val="bottom"/>
            <w:gridSpan w:val="4"/>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Condensed Consolidated Statements of Changes in Stockholders’ Equity for the Three and Six-Month Periods Ended June</w:t>
            </w: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30, 2023 and 2022 (unaudited)</w:t>
            </w:r>
          </w:p>
        </w:tc>
        <w:tc>
          <w:tcPr>
            <w:tcW w:w="3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w w:val="94"/>
              </w:rPr>
              <w:t>Condensed Consolidated Statements of Cash Flows for the Six-Month Periods Ended June 30, 2023 and 2022 (unaudited)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Notes to Condensed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4. Controls and Procedures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1. Legal Proceedings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4. Mine Safety Disclosures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6. Exhibits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2"/>
              </w:rPr>
              <w:t>Signatures</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78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gridSpan w:val="4"/>
          </w:tcPr>
          <w:p>
            <w:pPr>
              <w:ind w:left="47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7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December 31, 2022</w:t>
            </w:r>
          </w:p>
        </w:tc>
        <w:tc>
          <w:tcPr>
            <w:tcW w:w="0" w:type="dxa"/>
            <w:vAlign w:val="bottom"/>
          </w:tcPr>
          <w:p>
            <w:pPr>
              <w:spacing w:after="0"/>
              <w:rPr>
                <w:sz w:val="1"/>
                <w:szCs w:val="1"/>
                <w:color w:val="auto"/>
              </w:rPr>
            </w:pPr>
          </w:p>
        </w:tc>
      </w:tr>
      <w:tr>
        <w:trPr>
          <w:trHeight w:val="188"/>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16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16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Fixed maturity securities, available-for-sale, at fair value (amortized cost of $819,762 and $662,616,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767,491</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6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40"/>
              <w:spacing w:after="0" w:line="189" w:lineRule="exact"/>
              <w:rPr>
                <w:sz w:val="20"/>
                <w:szCs w:val="20"/>
                <w:color w:val="auto"/>
              </w:rPr>
            </w:pPr>
            <w:r>
              <w:rPr>
                <w:rFonts w:ascii="Arial" w:cs="Arial" w:eastAsia="Arial" w:hAnsi="Arial"/>
                <w:sz w:val="18"/>
                <w:szCs w:val="18"/>
                <w:color w:val="auto"/>
                <w:w w:val="93"/>
              </w:rPr>
              <w:t>Fixed maturity securities, held-to-maturity, at amortized cost (net of allowance for credit losses of $332 as of</w:t>
            </w:r>
          </w:p>
        </w:tc>
        <w:tc>
          <w:tcPr>
            <w:tcW w:w="1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47,172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June 30, 2023)</w:t>
            </w: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52,467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Mortgage loans (at fair value as of June 30, 2023; at amortized cost as of December 31, 2022)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32,762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51,859</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investments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124,845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129,142</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Short-term investments, at fair value</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190,670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121,158</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1,290,801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67,506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45,438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79,573</w:t>
            </w:r>
          </w:p>
        </w:tc>
        <w:tc>
          <w:tcPr>
            <w:tcW w:w="0" w:type="dxa"/>
            <w:vAlign w:val="bottom"/>
          </w:tcPr>
          <w:p>
            <w:pPr>
              <w:spacing w:after="0"/>
              <w:rPr>
                <w:sz w:val="1"/>
                <w:szCs w:val="1"/>
                <w:color w:val="auto"/>
              </w:rPr>
            </w:pPr>
          </w:p>
        </w:tc>
      </w:tr>
      <w:tr>
        <w:trPr>
          <w:trHeight w:val="239"/>
        </w:trPr>
        <w:tc>
          <w:tcPr>
            <w:tcW w:w="8160" w:type="dxa"/>
            <w:vAlign w:val="bottom"/>
          </w:tcPr>
          <w:p>
            <w:pPr>
              <w:ind w:left="20"/>
              <w:spacing w:after="0"/>
              <w:rPr>
                <w:sz w:val="20"/>
                <w:szCs w:val="20"/>
                <w:color w:val="auto"/>
              </w:rPr>
            </w:pPr>
            <w:r>
              <w:rPr>
                <w:rFonts w:ascii="Arial" w:cs="Arial" w:eastAsia="Arial" w:hAnsi="Arial"/>
                <w:sz w:val="18"/>
                <w:szCs w:val="18"/>
                <w:color w:val="auto"/>
              </w:rPr>
              <w:t>Premiums receivable, net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266,345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139,215</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recoverables, net</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582,922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581,359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Ceded unearned premium</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267,672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157,645</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93,364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68,938</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36,188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83,011</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2,807,172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Reserves for losses and loss adjustment expenses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1,224,127</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1,141,757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591,237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Deferred ceding commission</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54,191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29,849</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and premium payables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198,948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Funds held for others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41,152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46,189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Subordinated debt, net of 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78,650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78,609</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2,284,494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1,941,777</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40"/>
              <w:spacing w:after="0" w:line="189" w:lineRule="exact"/>
              <w:rPr>
                <w:sz w:val="20"/>
                <w:szCs w:val="20"/>
                <w:color w:val="auto"/>
              </w:rPr>
            </w:pPr>
            <w:r>
              <w:rPr>
                <w:rFonts w:ascii="Arial" w:cs="Arial" w:eastAsia="Arial" w:hAnsi="Arial"/>
                <w:sz w:val="18"/>
                <w:szCs w:val="18"/>
                <w:color w:val="auto"/>
                <w:w w:val="95"/>
              </w:rPr>
              <w:t>Series A preferred stock, $0.01 par value; 10,000,000 and 2,000,000 shares authorized, 0 and 1,969,660</w:t>
            </w:r>
          </w:p>
        </w:tc>
        <w:tc>
          <w:tcPr>
            <w:tcW w:w="16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$0.01 par value, 500,000,000 and 168,000,000 shares authorized, 37,674,063 and 16,832,955</w:t>
            </w:r>
          </w:p>
        </w:tc>
        <w:tc>
          <w:tcPr>
            <w:tcW w:w="1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respectively</w:t>
            </w:r>
          </w:p>
        </w:tc>
        <w:tc>
          <w:tcPr>
            <w:tcW w:w="1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Treasury stock, $0.01 par value, 0 and 233,289 shares, respectively</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642,988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Stock notes receivable</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(6,718)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(72,685)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522,678</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421,662</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2,807,172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 (UNAUDITED)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color w:val="auto"/>
              </w:rPr>
              <w:t>Net earned premiums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194,347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146,076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377,178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287,803</w:t>
            </w:r>
          </w:p>
        </w:tc>
      </w:tr>
      <w:tr>
        <w:trPr>
          <w:trHeight w:val="23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Commission and fee income</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8,583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25,679</w:t>
            </w:r>
          </w:p>
        </w:tc>
      </w:tr>
      <w:tr>
        <w:trPr>
          <w:trHeight w:val="22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investment gains (losses)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(18,812)</w:t>
            </w:r>
          </w:p>
        </w:tc>
      </w:tr>
      <w:tr>
        <w:trPr>
          <w:trHeight w:val="237"/>
        </w:trPr>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210,521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400,451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296,960</w:t>
            </w: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124,405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239,305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181,790</w:t>
            </w:r>
          </w:p>
        </w:tc>
      </w:tr>
      <w:tr>
        <w:trPr>
          <w:trHeight w:val="23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Underwriting, acquisition and insurance expenses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56,683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84,918</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2,542</w:t>
            </w:r>
          </w:p>
        </w:tc>
      </w:tr>
      <w:tr>
        <w:trPr>
          <w:trHeight w:val="243"/>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185,505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355,713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270,023</w:t>
            </w:r>
          </w:p>
        </w:tc>
      </w:tr>
      <w:tr>
        <w:trPr>
          <w:trHeight w:val="232"/>
        </w:trPr>
        <w:tc>
          <w:tcPr>
            <w:tcW w:w="4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25,016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44,738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26,937</w:t>
            </w:r>
          </w:p>
        </w:tc>
      </w:tr>
      <w:tr>
        <w:trPr>
          <w:trHeight w:val="23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21,376</w:t>
            </w: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participating securities</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19,452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5,065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35,008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21,376</w:t>
            </w:r>
          </w:p>
        </w:tc>
      </w:tr>
      <w:tr>
        <w:trPr>
          <w:trHeight w:val="223"/>
        </w:trPr>
        <w:tc>
          <w:tcPr>
            <w:tcW w:w="4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39" w:right="339" w:bottom="1440" w:gutter="0" w:footer="0" w:header="0"/>
        </w:sectPr>
      </w:pPr>
    </w:p>
    <w:p>
      <w:pPr>
        <w:ind w:left="240"/>
        <w:spacing w:after="0"/>
        <w:rPr>
          <w:sz w:val="20"/>
          <w:szCs w:val="20"/>
          <w:color w:val="auto"/>
        </w:rPr>
      </w:pPr>
      <w:r>
        <w:rPr>
          <w:rFonts w:ascii="Arial" w:cs="Arial" w:eastAsia="Arial" w:hAnsi="Arial"/>
          <w:sz w:val="18"/>
          <w:szCs w:val="18"/>
          <w:color w:val="auto"/>
        </w:rPr>
        <w:t>Unrealized gains and losses on investments:</w:t>
      </w:r>
    </w:p>
    <w:p>
      <w:pPr>
        <w:spacing w:after="0" w:line="35" w:lineRule="exact"/>
        <w:rPr>
          <w:sz w:val="20"/>
          <w:szCs w:val="20"/>
          <w:color w:val="auto"/>
        </w:rPr>
      </w:pPr>
    </w:p>
    <w:p>
      <w:pPr>
        <w:ind w:left="540" w:right="440" w:hanging="188"/>
        <w:spacing w:after="0" w:line="277" w:lineRule="auto"/>
        <w:rPr>
          <w:sz w:val="20"/>
          <w:szCs w:val="20"/>
          <w:color w:val="auto"/>
        </w:rPr>
      </w:pPr>
      <w:r>
        <w:rPr>
          <w:rFonts w:ascii="Arial" w:cs="Arial" w:eastAsia="Arial" w:hAnsi="Arial"/>
          <w:sz w:val="18"/>
          <w:szCs w:val="18"/>
          <w:color w:val="auto"/>
        </w:rPr>
        <w:t>Net change in unrealized (losses) gains on investments, net of tax</w:t>
      </w:r>
    </w:p>
    <w:p>
      <w:pPr>
        <w:spacing w:after="0" w:line="8" w:lineRule="exact"/>
        <w:rPr>
          <w:sz w:val="20"/>
          <w:szCs w:val="20"/>
          <w:color w:val="auto"/>
        </w:rPr>
      </w:pPr>
    </w:p>
    <w:p>
      <w:pPr>
        <w:ind w:left="540" w:right="480" w:hanging="188"/>
        <w:spacing w:after="0" w:line="277" w:lineRule="auto"/>
        <w:rPr>
          <w:sz w:val="20"/>
          <w:szCs w:val="20"/>
          <w:color w:val="auto"/>
        </w:rPr>
      </w:pPr>
      <w:r>
        <w:rPr>
          <w:rFonts w:ascii="Arial" w:cs="Arial" w:eastAsia="Arial" w:hAnsi="Arial"/>
          <w:sz w:val="18"/>
          <w:szCs w:val="18"/>
          <w:color w:val="auto"/>
        </w:rPr>
        <w:t>Reclassification adjustment for (losses) gains on securities no longer held,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w w:val="87"/>
              </w:rPr>
              <w:t>(4,375)</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(14,797)</w:t>
            </w: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rPr>
              <w:t>3,413</w:t>
            </w:r>
          </w:p>
        </w:tc>
        <w:tc>
          <w:tcPr>
            <w:tcW w:w="1140" w:type="dxa"/>
            <w:vAlign w:val="bottom"/>
          </w:tcPr>
          <w:p>
            <w:pPr>
              <w:jc w:val="right"/>
              <w:spacing w:after="0"/>
              <w:rPr>
                <w:sz w:val="20"/>
                <w:szCs w:val="20"/>
                <w:color w:val="auto"/>
              </w:rPr>
            </w:pPr>
            <w:r>
              <w:rPr>
                <w:rFonts w:ascii="Arial" w:cs="Arial" w:eastAsia="Arial" w:hAnsi="Arial"/>
                <w:sz w:val="18"/>
                <w:szCs w:val="18"/>
                <w:color w:val="auto"/>
              </w:rPr>
              <w:t>(31,502)</w:t>
            </w:r>
          </w:p>
        </w:tc>
      </w:tr>
      <w:tr>
        <w:trPr>
          <w:trHeight w:val="473"/>
        </w:trPr>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w w:val="87"/>
              </w:rPr>
              <w:t>(1,165)</w:t>
            </w: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30</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(1,212)</w:t>
            </w: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-608330</wp:posOffset>
            </wp:positionV>
            <wp:extent cx="71323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5040" w:space="720"/>
            <w:col w:w="5480"/>
          </w:cols>
          <w:pgMar w:left="320" w:top="139"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47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(loss) income</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(5,540)</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(31,171)</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37,209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0.97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36,603,779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16,449,810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34,746,874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16,449,810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38,143,585</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32,660,316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37,503,914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32,600,247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34"/>
              <w:spacing w:after="0" w:line="157" w:lineRule="exact"/>
              <w:rPr>
                <w:sz w:val="20"/>
                <w:szCs w:val="20"/>
                <w:color w:val="auto"/>
              </w:rPr>
            </w:pPr>
            <w:r>
              <w:rPr>
                <w:rFonts w:ascii="Arial" w:cs="Arial" w:eastAsia="Arial" w:hAnsi="Arial"/>
                <w:sz w:val="14"/>
                <w:szCs w:val="14"/>
                <w:color w:val="auto"/>
                <w:w w:val="93"/>
              </w:rPr>
              <w:t>Accumulated</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13"/>
              <w:spacing w:after="0"/>
              <w:rPr>
                <w:sz w:val="20"/>
                <w:szCs w:val="20"/>
                <w:color w:val="auto"/>
              </w:rPr>
            </w:pPr>
            <w:r>
              <w:rPr>
                <w:rFonts w:ascii="Arial" w:cs="Arial" w:eastAsia="Arial" w:hAnsi="Arial"/>
                <w:sz w:val="14"/>
                <w:szCs w:val="14"/>
                <w:color w:val="auto"/>
                <w:w w:val="92"/>
              </w:rPr>
              <w:t>Stock Notes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4"/>
              <w:spacing w:after="0" w:line="141"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3"/>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980" w:type="dxa"/>
            <w:vAlign w:val="bottom"/>
            <w:gridSpan w:val="2"/>
          </w:tcPr>
          <w:p>
            <w:pPr>
              <w:ind w:left="40"/>
              <w:spacing w:after="0"/>
              <w:rPr>
                <w:sz w:val="20"/>
                <w:szCs w:val="20"/>
                <w:color w:val="auto"/>
              </w:rPr>
            </w:pPr>
            <w:r>
              <w:rPr>
                <w:rFonts w:ascii="Arial" w:cs="Arial" w:eastAsia="Arial" w:hAnsi="Arial"/>
                <w:sz w:val="14"/>
                <w:szCs w:val="14"/>
                <w:color w:val="auto"/>
                <w:w w:val="94"/>
              </w:rPr>
              <w:t>Preferred Stock</w:t>
            </w:r>
          </w:p>
        </w:tc>
        <w:tc>
          <w:tcPr>
            <w:tcW w:w="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w w:val="96"/>
              </w:rPr>
              <w:t>Common Stock</w:t>
            </w:r>
          </w:p>
        </w:tc>
        <w:tc>
          <w:tcPr>
            <w:tcW w:w="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w w:val="95"/>
              </w:rPr>
              <w:t>Treasury Stock</w:t>
            </w: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Paid-in 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color w:val="auto"/>
                <w:w w:val="92"/>
              </w:rPr>
              <w:t>Receivable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color w:val="auto"/>
                <w:w w:val="94"/>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6"/>
        </w:trPr>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9"/>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577,289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421,662</w:t>
            </w:r>
          </w:p>
        </w:tc>
        <w:tc>
          <w:tcPr>
            <w:tcW w:w="0" w:type="dxa"/>
            <w:vAlign w:val="bottom"/>
          </w:tcPr>
          <w:p>
            <w:pPr>
              <w:spacing w:after="0"/>
              <w:rPr>
                <w:sz w:val="1"/>
                <w:szCs w:val="1"/>
                <w:color w:val="auto"/>
              </w:rPr>
            </w:pPr>
          </w:p>
        </w:tc>
      </w:tr>
      <w:tr>
        <w:trPr>
          <w:trHeight w:val="176"/>
        </w:trPr>
        <w:tc>
          <w:tcPr>
            <w:tcW w:w="2780" w:type="dxa"/>
            <w:vAlign w:val="bottom"/>
          </w:tcPr>
          <w:p>
            <w:pPr>
              <w:ind w:left="160"/>
              <w:spacing w:after="0" w:line="176" w:lineRule="exact"/>
              <w:rPr>
                <w:sz w:val="20"/>
                <w:szCs w:val="20"/>
                <w:color w:val="auto"/>
              </w:rPr>
            </w:pPr>
            <w:r>
              <w:rPr>
                <w:rFonts w:ascii="Arial" w:cs="Arial" w:eastAsia="Arial" w:hAnsi="Arial"/>
                <w:sz w:val="18"/>
                <w:szCs w:val="18"/>
                <w:color w:val="auto"/>
              </w:rPr>
              <w:t>Cumulative effect on adoption of</w:t>
            </w:r>
          </w:p>
        </w:tc>
        <w:tc>
          <w:tcPr>
            <w:tcW w:w="380" w:type="dxa"/>
            <w:vAlign w:val="bottom"/>
          </w:tcPr>
          <w:p>
            <w:pPr>
              <w:spacing w:after="0"/>
              <w:rPr>
                <w:sz w:val="15"/>
                <w:szCs w:val="15"/>
                <w:color w:val="auto"/>
              </w:rPr>
            </w:pPr>
          </w:p>
        </w:tc>
        <w:tc>
          <w:tcPr>
            <w:tcW w:w="6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(2,276)</w:t>
            </w:r>
          </w:p>
        </w:tc>
        <w:tc>
          <w:tcPr>
            <w:tcW w:w="0" w:type="dxa"/>
            <w:vAlign w:val="bottom"/>
          </w:tcPr>
          <w:p>
            <w:pPr>
              <w:spacing w:after="0"/>
              <w:rPr>
                <w:sz w:val="1"/>
                <w:szCs w:val="1"/>
                <w:color w:val="auto"/>
              </w:rPr>
            </w:pPr>
          </w:p>
        </w:tc>
      </w:tr>
      <w:tr>
        <w:trPr>
          <w:trHeight w:val="237"/>
        </w:trPr>
        <w:tc>
          <w:tcPr>
            <w:tcW w:w="2780" w:type="dxa"/>
            <w:vAlign w:val="bottom"/>
          </w:tcPr>
          <w:p>
            <w:pPr>
              <w:ind w:left="160"/>
              <w:spacing w:after="0"/>
              <w:rPr>
                <w:sz w:val="20"/>
                <w:szCs w:val="20"/>
                <w:color w:val="auto"/>
              </w:rPr>
            </w:pPr>
            <w:r>
              <w:rPr>
                <w:rFonts w:ascii="Arial" w:cs="Arial" w:eastAsia="Arial" w:hAnsi="Arial"/>
                <w:sz w:val="18"/>
                <w:szCs w:val="18"/>
                <w:color w:val="auto"/>
              </w:rPr>
              <w:t>ASU No. 2016-13</w:t>
            </w:r>
          </w:p>
        </w:tc>
        <w:tc>
          <w:tcPr>
            <w:tcW w:w="3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2,057</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Preferred stock conversion to</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80" w:type="dxa"/>
            <w:vAlign w:val="bottom"/>
          </w:tcPr>
          <w:p>
            <w:pPr>
              <w:ind w:left="140"/>
              <w:spacing w:after="0"/>
              <w:rPr>
                <w:sz w:val="20"/>
                <w:szCs w:val="20"/>
                <w:color w:val="auto"/>
              </w:rPr>
            </w:pPr>
            <w:r>
              <w:rPr>
                <w:rFonts w:ascii="Arial" w:cs="Arial" w:eastAsia="Arial" w:hAnsi="Arial"/>
                <w:sz w:val="18"/>
                <w:szCs w:val="18"/>
                <w:color w:val="auto"/>
              </w:rPr>
              <w:t>common shares</w:t>
            </w:r>
          </w:p>
        </w:tc>
        <w:tc>
          <w:tcPr>
            <w:tcW w:w="380" w:type="dxa"/>
            <w:vAlign w:val="bottom"/>
          </w:tcPr>
          <w:p>
            <w:pPr>
              <w:spacing w:after="0"/>
              <w:rPr>
                <w:sz w:val="21"/>
                <w:szCs w:val="21"/>
                <w:color w:val="auto"/>
              </w:rPr>
            </w:pPr>
          </w:p>
        </w:tc>
        <w:tc>
          <w:tcPr>
            <w:tcW w:w="60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initial public</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net</w:t>
            </w: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62,358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62,406</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Other comprehensive income, net</w:t>
            </w:r>
          </w:p>
        </w:tc>
        <w:tc>
          <w:tcPr>
            <w:tcW w:w="3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380" w:type="dxa"/>
            <w:vAlign w:val="bottom"/>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480" w:type="dxa"/>
            <w:vAlign w:val="bottom"/>
            <w:gridSpan w:val="2"/>
          </w:tcPr>
          <w:p>
            <w:pPr>
              <w:jc w:val="right"/>
              <w:ind w:right="21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641,368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(6,718)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(35,744)</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(92,137)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507,146</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Expenses from initial public</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780" w:type="dxa"/>
            <w:vAlign w:val="bottom"/>
          </w:tcPr>
          <w:p>
            <w:pPr>
              <w:ind w:left="14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tcPr>
          <w:p>
            <w:pPr>
              <w:spacing w:after="0"/>
              <w:rPr>
                <w:sz w:val="15"/>
                <w:szCs w:val="15"/>
                <w:color w:val="auto"/>
              </w:rPr>
            </w:pPr>
          </w:p>
        </w:tc>
        <w:tc>
          <w:tcPr>
            <w:tcW w:w="6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(5,540)</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48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642,988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(72,685)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522,678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4"/>
              <w:spacing w:after="0" w:line="137"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2"/>
              <w:spacing w:after="0" w:line="141"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3"/>
              <w:spacing w:after="0" w:line="141" w:lineRule="exact"/>
              <w:rPr>
                <w:sz w:val="20"/>
                <w:szCs w:val="20"/>
                <w:color w:val="auto"/>
              </w:rPr>
            </w:pPr>
            <w:r>
              <w:rPr>
                <w:rFonts w:ascii="Arial" w:cs="Arial" w:eastAsia="Arial" w:hAnsi="Arial"/>
                <w:sz w:val="14"/>
                <w:szCs w:val="14"/>
                <w:color w:val="auto"/>
                <w:w w:val="92"/>
              </w:rPr>
              <w:t>Stock Notes</w:t>
            </w:r>
          </w:p>
        </w:tc>
        <w:tc>
          <w:tcPr>
            <w:tcW w:w="80" w:type="dxa"/>
            <w:vAlign w:val="bottom"/>
          </w:tcPr>
          <w:p>
            <w:pPr>
              <w:spacing w:after="0"/>
              <w:rPr>
                <w:sz w:val="12"/>
                <w:szCs w:val="12"/>
                <w:color w:val="auto"/>
              </w:rPr>
            </w:pPr>
          </w:p>
        </w:tc>
        <w:tc>
          <w:tcPr>
            <w:tcW w:w="104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3"/>
              <w:spacing w:after="0" w:line="141"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4"/>
              </w:rPr>
              <w:t>Preferred Stock</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Common Stock</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Treasury Stock</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Paid-in 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2"/>
              </w:rPr>
              <w:t>Receivable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4"/>
              </w:rPr>
              <w:t>Loss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426,080</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tcPr>
          <w:p>
            <w:pPr>
              <w:spacing w:after="0"/>
              <w:rPr>
                <w:sz w:val="20"/>
                <w:szCs w:val="20"/>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5"/>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stock notes</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to other assets</w:t>
            </w: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575,661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(11,764)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(128,502)</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428,619</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June 30, 2022</w:t>
            </w: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89"/>
              </w:rPr>
              <w:t>20</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480" w:type="dxa"/>
            <w:vAlign w:val="bottom"/>
            <w:gridSpan w:val="2"/>
          </w:tcPr>
          <w:p>
            <w:pPr>
              <w:jc w:val="right"/>
              <w:ind w:right="21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576,331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(26,531)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(123,437)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419,607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80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35,008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21,376</w:t>
            </w:r>
          </w:p>
        </w:tc>
      </w:tr>
      <w:tr>
        <w:trPr>
          <w:trHeight w:val="234"/>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42,640</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108,477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8020" w:type="dxa"/>
            <w:vAlign w:val="bottom"/>
          </w:tcPr>
          <w:p>
            <w:pPr>
              <w:ind w:left="140"/>
              <w:spacing w:after="0"/>
              <w:rPr>
                <w:sz w:val="20"/>
                <w:szCs w:val="20"/>
                <w:color w:val="auto"/>
              </w:rPr>
            </w:pPr>
            <w:r>
              <w:rPr>
                <w:rFonts w:ascii="Arial" w:cs="Arial" w:eastAsia="Arial" w:hAnsi="Arial"/>
                <w:sz w:val="18"/>
                <w:szCs w:val="18"/>
                <w:color w:val="auto"/>
              </w:rPr>
              <w:t>Purchase of fixed maturity securities, available-for-sale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(192,749)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(129,636)</w:t>
            </w:r>
          </w:p>
        </w:tc>
      </w:tr>
      <w:tr>
        <w:trPr>
          <w:trHeight w:val="234"/>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illiquid investments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Purchase of equity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(19,192)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(33,899)</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intangible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Proceeds from (investment in) direct and indirect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(14,411)</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9"/>
        </w:trPr>
        <w:tc>
          <w:tcPr>
            <w:tcW w:w="8020" w:type="dxa"/>
            <w:vAlign w:val="bottom"/>
          </w:tcPr>
          <w:p>
            <w:pPr>
              <w:ind w:left="140"/>
              <w:spacing w:after="0"/>
              <w:rPr>
                <w:sz w:val="20"/>
                <w:szCs w:val="20"/>
                <w:color w:val="auto"/>
              </w:rPr>
            </w:pPr>
            <w:r>
              <w:rPr>
                <w:rFonts w:ascii="Arial" w:cs="Arial" w:eastAsia="Arial" w:hAnsi="Arial"/>
                <w:sz w:val="18"/>
                <w:szCs w:val="18"/>
                <w:color w:val="auto"/>
              </w:rPr>
              <w:t>Sales and maturities of investment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60,075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51,891</w:t>
            </w:r>
          </w:p>
        </w:tc>
      </w:tr>
      <w:tr>
        <w:trPr>
          <w:trHeight w:val="234"/>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equity method investments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Change in short-term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(69,512)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45,251</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 for securities sold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Cash provided by deposit accounting</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r>
      <w:tr>
        <w:trPr>
          <w:trHeight w:val="237"/>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investment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(198,084)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(75,676)</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share purchases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Draw on revolving line of credit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term loan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initial public offering</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(23,152)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(9,510)</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125,011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101,859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5,194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federal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8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7540" w:firstLine="8"/>
        <w:spacing w:after="0" w:line="377"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2022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2016, the FASB issued ASU 2016-13, Measurement of Credit Losses on Financial Instruments. ASU 2016-13 requires organizations to estimate credit losses on certain types of financial instruments, including receivables and fixed maturity securities, by introducing an approach based on expected losses. The expected loss approach required entities to incorporate considerations of historical information, current information, and reasonable and supportable forecasts. The Company adopted ASU 2016-13 effective January 1, 2023 using the modified retrospective approach, by which a cumulative-effect adjustment was made to retained earnings as of the date of adoption. In connection with the adoption of ASU 2016-13, the Company elected the fair value option in accounting for mortgage loans effective January 1, 2023 as targeted transition relief. The adoption of ASU 2016-13 resulted in a $2.3 million increase in accumulated deficit,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Updates to Significant Accounting Policies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accounting policies have been updated to reflect the Company's adoption of ASU 2016-13, Measurement of Credit Losses on Financial Instruments as described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Investments in fixed maturities that are classified as available-for-sale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were met, the amortized cost of the security is written down to fair value with the losses recognized in net investment gains (losses) on the consolidated statements of operations. If neither of the these criteria were met, the Company determines whether unrealized losses are due to credit-related factors. If the unrealized losses are due to credit-related factors, an allowance for credit losses is determined using a present value of cash flows compared to the amortized cost of the security. The allowance for credit losses is limited to the amount by which fair value is below amortized cost. Changes in the allowance for credit losses are recognized in net investment income on the consolidated statements of operations. Credit losses that are limited by the fair value of the security are recognized in stockholders’ equity, net of taxes, as a component of accumulated other comprehensive (loss) income. Unrealized losses that are not credit-related continue to be recognized in stockholders’ equity, net of taxes, as a component of accumulated other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Investments in fixed maturity securities that are held-to-maturity are carried at amortized cost net of an allowance for credit losses. The allowance for credit losses represents the current estimate of expected credit losses. The Company develops a historical loss rate from Moody’s table of estimated multi-year cumulative loss rates for asset backed securities. This historical loss rate is adjusted for current conditions and reasonable and supportable forecasts. Changes in the allowance for credit losses are recognized in net investment income on the consolidated statements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elected the fair value option in accounting for mortgage loans effective January 1, 2023 as targeted transition relief. Under the fair value option, mortgage loans are measured at fair value, and changes in unrealized gains and losses on mortgage loans are reported in net investment gains (losses) on the condensed consolidated statements of operations. Interest income and amortization continue to be recognized in net investment income on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This historical loss rate is adjusted for current conditions and reasonable and supportable forecasts and consideration of current economic conditions. Changes in the allowance for credit losses are recognized in underwriting, acquisition and insurance expenses on the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Premium receivables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amortized cost and the fair value by investment category at June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w w:val="87"/>
              </w:rPr>
              <w:t>Gross</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310"/>
              <w:spacing w:after="0" w:line="189" w:lineRule="exact"/>
              <w:rPr>
                <w:sz w:val="20"/>
                <w:szCs w:val="20"/>
                <w:color w:val="auto"/>
              </w:rPr>
            </w:pPr>
            <w:r>
              <w:rPr>
                <w:rFonts w:ascii="Arial" w:cs="Arial" w:eastAsia="Arial" w:hAnsi="Arial"/>
                <w:sz w:val="18"/>
                <w:szCs w:val="18"/>
                <w:color w:val="auto"/>
                <w:w w:val="83"/>
              </w:rPr>
              <w:t>Gross</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110"/>
              <w:spacing w:after="0" w:line="189"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5"/>
            <w:vMerge w:val="restart"/>
          </w:tcPr>
          <w:p>
            <w:pPr>
              <w:jc w:val="right"/>
              <w:ind w:right="10"/>
              <w:spacing w:after="0"/>
              <w:rPr>
                <w:sz w:val="20"/>
                <w:szCs w:val="20"/>
                <w:color w:val="auto"/>
              </w:rPr>
            </w:pPr>
            <w:r>
              <w:rPr>
                <w:rFonts w:ascii="Arial" w:cs="Arial" w:eastAsia="Arial" w:hAnsi="Arial"/>
                <w:sz w:val="18"/>
                <w:szCs w:val="18"/>
                <w:color w:val="auto"/>
              </w:rPr>
              <w:t>Allowance for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6"/>
              </w:rPr>
              <w:t>Amortized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130"/>
              <w:spacing w:after="0" w:line="189" w:lineRule="exact"/>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center"/>
              <w:ind w:right="110"/>
              <w:spacing w:after="0" w:line="189"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1"/>
              </w:rPr>
              <w:t>Cost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84"/>
              </w:rPr>
              <w:t>Gains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7"/>
              </w:rPr>
              <w:t>Losses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89"/>
              </w:rPr>
              <w:t>Credit Losses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45,979</w:t>
            </w:r>
          </w:p>
        </w:tc>
        <w:tc>
          <w:tcPr>
            <w:tcW w:w="5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44,483</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313,127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293,560</w:t>
            </w: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(6,584)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70,973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214,187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(17,385)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196,946</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19,805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(1,826)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149,195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(5,766)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143,550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819,762</w:t>
            </w:r>
          </w:p>
        </w:tc>
        <w:tc>
          <w:tcPr>
            <w:tcW w:w="5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(53,424)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767,491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47,504</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(4,585)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42,587</w:t>
            </w:r>
          </w:p>
        </w:tc>
        <w:tc>
          <w:tcPr>
            <w:tcW w:w="0" w:type="dxa"/>
            <w:vAlign w:val="bottom"/>
          </w:tcPr>
          <w:p>
            <w:pPr>
              <w:spacing w:after="0"/>
              <w:rPr>
                <w:sz w:val="1"/>
                <w:szCs w:val="1"/>
                <w:color w:val="auto"/>
              </w:rPr>
            </w:pP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maturity securities, held-to-maturity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47,504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(4,585)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450"/>
              <w:spacing w:after="0" w:line="169" w:lineRule="exact"/>
              <w:rPr>
                <w:sz w:val="20"/>
                <w:szCs w:val="20"/>
                <w:color w:val="auto"/>
              </w:rPr>
            </w:pPr>
            <w:r>
              <w:rPr>
                <w:rFonts w:ascii="Arial" w:cs="Arial" w:eastAsia="Arial" w:hAnsi="Arial"/>
                <w:sz w:val="18"/>
                <w:szCs w:val="18"/>
                <w:color w:val="auto"/>
                <w:w w:val="87"/>
              </w:rPr>
              <w:t>Gross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90"/>
              <w:spacing w:after="0" w:line="169" w:lineRule="exact"/>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6"/>
              </w:rPr>
              <w:t>Amortized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Cost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9"/>
              </w:rPr>
              <w:t>Gains</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89"/>
              </w:rPr>
              <w:t>Loss</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82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255,116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235,129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0" w:type="dxa"/>
            <w:vAlign w:val="bottom"/>
          </w:tcPr>
          <w:p>
            <w:pPr>
              <w:spacing w:after="0"/>
              <w:rPr>
                <w:sz w:val="1"/>
                <w:szCs w:val="1"/>
                <w:color w:val="auto"/>
              </w:rPr>
            </w:pPr>
          </w:p>
        </w:tc>
      </w:tr>
      <w:tr>
        <w:trPr>
          <w:trHeight w:val="237"/>
        </w:trPr>
        <w:tc>
          <w:tcPr>
            <w:tcW w:w="470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134,844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119,856</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116,275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662,616</w:t>
            </w:r>
          </w:p>
        </w:tc>
        <w:tc>
          <w:tcPr>
            <w:tcW w:w="82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52,467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37"/>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maturity securities, held-to-maturity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52,467</w:t>
            </w:r>
          </w:p>
        </w:tc>
        <w:tc>
          <w:tcPr>
            <w:tcW w:w="82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amortized cost and fair value of available-for-sale fixed maturity securities by contractual maturity at June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0"/>
              <w:spacing w:after="0" w:line="189" w:lineRule="exact"/>
              <w:rPr>
                <w:sz w:val="20"/>
                <w:szCs w:val="20"/>
                <w:color w:val="auto"/>
              </w:rPr>
            </w:pPr>
            <w:r>
              <w:rPr>
                <w:rFonts w:ascii="Arial" w:cs="Arial" w:eastAsia="Arial" w:hAnsi="Arial"/>
                <w:sz w:val="18"/>
                <w:szCs w:val="18"/>
                <w:color w:val="auto"/>
              </w:rPr>
              <w:t>Amortized</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less than one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27,565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26,980</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233,387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221,664</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114,920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45,452</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233,992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214,925</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149,195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143,550</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819,762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767,491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fixed maturity securities, held-to-maturity, at June 30, 2023 consisted entirely of asset backed securities that were not due at a single maturity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gross unrealized losses and the corresponding fair values of investments, aggregated by length of time that individual securities had been in a continuous unrealized loss position as of June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4"/>
          </w:tcPr>
          <w:p>
            <w:pPr>
              <w:jc w:val="right"/>
              <w:ind w:right="572"/>
              <w:spacing w:after="0"/>
              <w:rPr>
                <w:sz w:val="20"/>
                <w:szCs w:val="20"/>
                <w:color w:val="auto"/>
              </w:rPr>
            </w:pPr>
            <w:r>
              <w:rPr>
                <w:rFonts w:ascii="Arial" w:cs="Arial" w:eastAsia="Arial" w:hAnsi="Arial"/>
                <w:sz w:val="14"/>
                <w:szCs w:val="14"/>
                <w:color w:val="auto"/>
              </w:rPr>
              <w:t>Less than 12 Months</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4"/>
          </w:tcPr>
          <w:p>
            <w:pPr>
              <w:jc w:val="right"/>
              <w:ind w:right="592"/>
              <w:spacing w:after="0"/>
              <w:rPr>
                <w:sz w:val="20"/>
                <w:szCs w:val="20"/>
                <w:color w:val="auto"/>
              </w:rPr>
            </w:pPr>
            <w:r>
              <w:rPr>
                <w:rFonts w:ascii="Arial" w:cs="Arial" w:eastAsia="Arial" w:hAnsi="Arial"/>
                <w:sz w:val="14"/>
                <w:szCs w:val="14"/>
                <w:color w:val="auto"/>
              </w:rPr>
              <w:t>12 Months or More</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bottom w:val="single" w:sz="8" w:color="auto"/>
            </w:tcBorders>
          </w:tcPr>
          <w:p>
            <w:pPr>
              <w:spacing w:after="0"/>
              <w:rPr>
                <w:sz w:val="17"/>
                <w:szCs w:val="17"/>
                <w:color w:val="auto"/>
              </w:rPr>
            </w:pPr>
          </w:p>
        </w:tc>
      </w:tr>
      <w:tr>
        <w:trPr>
          <w:trHeight w:val="140"/>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
              <w:spacing w:after="0" w:line="140"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
              <w:spacing w:after="0" w:line="140" w:lineRule="exact"/>
              <w:rPr>
                <w:sz w:val="20"/>
                <w:szCs w:val="20"/>
                <w:color w:val="auto"/>
              </w:rPr>
            </w:pPr>
            <w:r>
              <w:rPr>
                <w:rFonts w:ascii="Arial" w:cs="Arial" w:eastAsia="Arial" w:hAnsi="Arial"/>
                <w:sz w:val="14"/>
                <w:szCs w:val="14"/>
                <w:color w:val="auto"/>
                <w:w w:val="99"/>
              </w:rPr>
              <w:t>Gross Unrealized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3"/>
              <w:spacing w:after="0" w:line="140" w:lineRule="exact"/>
              <w:rPr>
                <w:sz w:val="20"/>
                <w:szCs w:val="20"/>
                <w:color w:val="auto"/>
              </w:rPr>
            </w:pPr>
            <w:r>
              <w:rPr>
                <w:rFonts w:ascii="Arial" w:cs="Arial" w:eastAsia="Arial" w:hAnsi="Arial"/>
                <w:sz w:val="14"/>
                <w:szCs w:val="14"/>
                <w:color w:val="auto"/>
                <w:w w:val="90"/>
              </w:rPr>
              <w:t>Gross Unrealized</w:t>
            </w:r>
          </w:p>
        </w:tc>
      </w:tr>
      <w:tr>
        <w:trPr>
          <w:trHeight w:val="182"/>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color w:val="auto"/>
              </w:rPr>
              <w:t>Losses</w:t>
            </w:r>
          </w:p>
        </w:tc>
      </w:tr>
      <w:tr>
        <w:trPr>
          <w:trHeight w:val="25"/>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w w:val="98"/>
              </w:rPr>
              <w:t>Fixed maturity securities, available-for-sale: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18,718</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25,765</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126,693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(16,571)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257,673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(20,367)</w:t>
            </w: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(6,584)</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76,276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(17,385)</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(1,826)</w:t>
            </w:r>
          </w:p>
        </w:tc>
      </w:tr>
      <w:tr>
        <w:trPr>
          <w:trHeight w:val="24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72,084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134,586</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(5,766)</w:t>
            </w:r>
          </w:p>
        </w:tc>
      </w:tr>
      <w:tr>
        <w:trPr>
          <w:trHeight w:val="20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Total fixed maturity securities, available-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367,302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339,814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(42,885)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707,116</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(53,424)</w:t>
            </w:r>
          </w:p>
        </w:tc>
      </w:tr>
      <w:tr>
        <w:trPr>
          <w:trHeight w:val="217"/>
        </w:trPr>
        <w:tc>
          <w:tcPr>
            <w:tcW w:w="346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40,742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(4,585)</w:t>
            </w:r>
          </w:p>
        </w:tc>
      </w:tr>
      <w:tr>
        <w:trPr>
          <w:trHeight w:val="209"/>
        </w:trPr>
        <w:tc>
          <w:tcPr>
            <w:tcW w:w="3460" w:type="dxa"/>
            <w:vAlign w:val="bottom"/>
          </w:tcPr>
          <w:p>
            <w:pPr>
              <w:ind w:left="240"/>
              <w:spacing w:after="0"/>
              <w:rPr>
                <w:sz w:val="20"/>
                <w:szCs w:val="20"/>
                <w:color w:val="auto"/>
              </w:rPr>
            </w:pPr>
            <w:r>
              <w:rPr>
                <w:rFonts w:ascii="Arial" w:cs="Arial" w:eastAsia="Arial" w:hAnsi="Arial"/>
                <w:sz w:val="18"/>
                <w:szCs w:val="18"/>
                <w:color w:val="auto"/>
              </w:rPr>
              <w:t>Total fixed maturity securities, held-to-</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w:t>
            </w:r>
          </w:p>
        </w:tc>
      </w:tr>
      <w:tr>
        <w:trPr>
          <w:trHeight w:val="248"/>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749,703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(58,009)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572"/>
              <w:spacing w:after="0"/>
              <w:rPr>
                <w:sz w:val="20"/>
                <w:szCs w:val="20"/>
                <w:color w:val="auto"/>
              </w:rPr>
            </w:pPr>
            <w:r>
              <w:rPr>
                <w:rFonts w:ascii="Arial" w:cs="Arial" w:eastAsia="Arial" w:hAnsi="Arial"/>
                <w:sz w:val="14"/>
                <w:szCs w:val="14"/>
                <w:color w:val="auto"/>
              </w:rPr>
              <w:t>Less than 12 Months</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jc w:val="right"/>
              <w:ind w:right="612"/>
              <w:spacing w:after="0"/>
              <w:rPr>
                <w:sz w:val="20"/>
                <w:szCs w:val="20"/>
                <w:color w:val="auto"/>
              </w:rPr>
            </w:pPr>
            <w:r>
              <w:rPr>
                <w:rFonts w:ascii="Arial" w:cs="Arial" w:eastAsia="Arial" w:hAnsi="Arial"/>
                <w:sz w:val="14"/>
                <w:szCs w:val="14"/>
                <w:color w:val="auto"/>
              </w:rPr>
              <w:t>12 Months or More</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2"/>
              <w:spacing w:after="0" w:line="129"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32"/>
              <w:spacing w:after="0" w:line="129"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3"/>
              <w:spacing w:after="0" w:line="129" w:lineRule="exact"/>
              <w:rPr>
                <w:sz w:val="20"/>
                <w:szCs w:val="20"/>
                <w:color w:val="auto"/>
              </w:rPr>
            </w:pPr>
            <w:r>
              <w:rPr>
                <w:rFonts w:ascii="Arial" w:cs="Arial" w:eastAsia="Arial" w:hAnsi="Arial"/>
                <w:sz w:val="14"/>
                <w:szCs w:val="14"/>
                <w:color w:val="auto"/>
                <w:w w:val="90"/>
              </w:rPr>
              <w:t>Gross Unrealized</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Fair Value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w w:val="98"/>
              </w:rPr>
              <w:t>Fixed maturity securities, available-for-sale: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7"/>
        </w:trPr>
        <w:tc>
          <w:tcPr>
            <w:tcW w:w="346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205,789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40"/>
              <w:spacing w:after="0" w:line="169" w:lineRule="exact"/>
              <w:rPr>
                <w:sz w:val="20"/>
                <w:szCs w:val="20"/>
                <w:color w:val="auto"/>
              </w:rPr>
            </w:pPr>
            <w:r>
              <w:rPr>
                <w:rFonts w:ascii="Arial" w:cs="Arial" w:eastAsia="Arial" w:hAnsi="Arial"/>
                <w:sz w:val="18"/>
                <w:szCs w:val="18"/>
                <w:color w:val="auto"/>
                <w:w w:val="99"/>
              </w:rPr>
              <w:t>Total fixed maturity securities, available-</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408,939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552,669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168"/>
        </w:trPr>
        <w:tc>
          <w:tcPr>
            <w:tcW w:w="3460" w:type="dxa"/>
            <w:vAlign w:val="bottom"/>
          </w:tcPr>
          <w:p>
            <w:pPr>
              <w:ind w:left="240"/>
              <w:spacing w:after="0" w:line="168" w:lineRule="exact"/>
              <w:rPr>
                <w:sz w:val="20"/>
                <w:szCs w:val="20"/>
                <w:color w:val="auto"/>
              </w:rPr>
            </w:pPr>
            <w:r>
              <w:rPr>
                <w:rFonts w:ascii="Arial" w:cs="Arial" w:eastAsia="Arial" w:hAnsi="Arial"/>
                <w:sz w:val="18"/>
                <w:szCs w:val="18"/>
                <w:color w:val="auto"/>
              </w:rPr>
              <w:t>Total fixed maturity securities, held-to-</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46,771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June 30, 2023, the Company had 735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net investment gains (losses) for the three and six months ended June 30,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17"/>
        </w:trPr>
        <w:tc>
          <w:tcPr>
            <w:tcW w:w="478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43"/>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(19,883)</w:t>
            </w:r>
          </w:p>
        </w:tc>
      </w:tr>
      <w:tr>
        <w:trPr>
          <w:trHeight w:val="229"/>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Mortgage loans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Net investment gains (losses)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5,351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(14,374)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(18,812)</w:t>
            </w: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proceeds from sales of available-for-sale fixed maturity securities and equity securities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 sale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34"/>
        </w:trPr>
        <w:tc>
          <w:tcPr>
            <w:tcW w:w="8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17,583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19,981</w:t>
            </w:r>
          </w:p>
        </w:tc>
      </w:tr>
      <w:tr>
        <w:trPr>
          <w:trHeight w:val="49"/>
        </w:trPr>
        <w:tc>
          <w:tcPr>
            <w:tcW w:w="8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net investment income for the three and six months ended June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7,583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3,967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14,259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43"/>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1,739</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w:t>
            </w:r>
          </w:p>
        </w:tc>
      </w:tr>
      <w:tr>
        <w:trPr>
          <w:trHeight w:val="239"/>
        </w:trPr>
        <w:tc>
          <w:tcPr>
            <w:tcW w:w="4780" w:type="dxa"/>
            <w:vAlign w:val="bottom"/>
          </w:tcPr>
          <w:p>
            <w:pPr>
              <w:ind w:left="140"/>
              <w:spacing w:after="0"/>
              <w:rPr>
                <w:sz w:val="20"/>
                <w:szCs w:val="20"/>
                <w:color w:val="auto"/>
              </w:rPr>
            </w:pPr>
            <w:r>
              <w:rPr>
                <w:rFonts w:ascii="Arial" w:cs="Arial" w:eastAsia="Arial" w:hAnsi="Arial"/>
                <w:sz w:val="18"/>
                <w:szCs w:val="18"/>
                <w:color w:val="auto"/>
              </w:rPr>
              <w:t>Mortgage loans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3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Indirect loans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Short-term investments and cash</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investment income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30,453</w:t>
            </w:r>
          </w:p>
        </w:tc>
      </w:tr>
      <w:tr>
        <w:trPr>
          <w:trHeight w:val="22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8,583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10,530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13,229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25,679</w:t>
            </w: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change in net unrealized (losses) gains on the Company’s investment portfolio, net of deferred income taxes, included in other comprehensive (loss) income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center"/>
              <w:ind w:left="590"/>
              <w:spacing w:after="0"/>
              <w:rPr>
                <w:sz w:val="20"/>
                <w:szCs w:val="20"/>
                <w:color w:val="auto"/>
              </w:rPr>
            </w:pPr>
            <w:r>
              <w:rPr>
                <w:rFonts w:ascii="Arial" w:cs="Arial" w:eastAsia="Arial" w:hAnsi="Arial"/>
                <w:sz w:val="18"/>
                <w:szCs w:val="18"/>
                <w:b w:val="1"/>
                <w:bCs w:val="1"/>
                <w:color w:val="auto"/>
                <w:w w:val="94"/>
              </w:rPr>
              <w:t>(7,013)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(39,457)</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88"/>
              </w:rPr>
              <w:t>1,473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w:t>
            </w:r>
          </w:p>
        </w:tc>
      </w:tr>
      <w:tr>
        <w:trPr>
          <w:trHeight w:val="257"/>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center"/>
              <w:ind w:left="590"/>
              <w:spacing w:after="0"/>
              <w:rPr>
                <w:sz w:val="20"/>
                <w:szCs w:val="20"/>
                <w:color w:val="auto"/>
              </w:rPr>
            </w:pPr>
            <w:r>
              <w:rPr>
                <w:rFonts w:ascii="Arial" w:cs="Arial" w:eastAsia="Arial" w:hAnsi="Arial"/>
                <w:sz w:val="18"/>
                <w:szCs w:val="18"/>
                <w:b w:val="1"/>
                <w:bCs w:val="1"/>
                <w:color w:val="auto"/>
                <w:w w:val="94"/>
              </w:rPr>
              <w:t>(5,540)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77" w:lineRule="auto"/>
        <w:rPr>
          <w:sz w:val="20"/>
          <w:szCs w:val="20"/>
          <w:color w:val="auto"/>
        </w:rPr>
      </w:pPr>
      <w:r>
        <w:rPr>
          <w:rFonts w:ascii="Arial" w:cs="Arial" w:eastAsia="Arial" w:hAnsi="Arial"/>
          <w:sz w:val="18"/>
          <w:szCs w:val="18"/>
          <w:color w:val="auto"/>
        </w:rPr>
        <w:t>Level 1 - Inputs are unadjusted, quoted prices for identical assets or liabilities in active markets at the measurement date.</w:t>
      </w:r>
    </w:p>
    <w:p>
      <w:pPr>
        <w:spacing w:after="0" w:line="62" w:lineRule="exact"/>
        <w:rPr>
          <w:sz w:val="20"/>
          <w:szCs w:val="20"/>
          <w:color w:val="auto"/>
        </w:rPr>
      </w:pPr>
    </w:p>
    <w:p>
      <w:pPr>
        <w:ind w:left="1060" w:right="2560" w:hanging="728"/>
        <w:spacing w:after="0" w:line="277" w:lineRule="auto"/>
        <w:rPr>
          <w:sz w:val="20"/>
          <w:szCs w:val="20"/>
          <w:color w:val="auto"/>
        </w:rPr>
      </w:pPr>
      <w:r>
        <w:rPr>
          <w:rFonts w:ascii="Arial" w:cs="Arial" w:eastAsia="Arial" w:hAnsi="Arial"/>
          <w:sz w:val="18"/>
          <w:szCs w:val="18"/>
          <w:color w:val="auto"/>
        </w:rPr>
        <w:t>Level 2 - Inputs are other than quoted prices included in Level 1 that are observable for the asset or liability through corroboration with market data at the measurement date.</w:t>
      </w:r>
    </w:p>
    <w:p>
      <w:pPr>
        <w:spacing w:after="0" w:line="62" w:lineRule="exact"/>
        <w:rPr>
          <w:sz w:val="20"/>
          <w:szCs w:val="20"/>
          <w:color w:val="auto"/>
        </w:rPr>
      </w:pPr>
    </w:p>
    <w:p>
      <w:pPr>
        <w:ind w:left="1060" w:right="2860" w:hanging="728"/>
        <w:spacing w:after="0" w:line="277" w:lineRule="auto"/>
        <w:rPr>
          <w:sz w:val="20"/>
          <w:szCs w:val="20"/>
          <w:color w:val="auto"/>
        </w:rPr>
      </w:pPr>
      <w:r>
        <w:rPr>
          <w:rFonts w:ascii="Arial" w:cs="Arial" w:eastAsia="Arial" w:hAnsi="Arial"/>
          <w:sz w:val="18"/>
          <w:szCs w:val="18"/>
          <w:color w:val="auto"/>
        </w:rPr>
        <w:t>Level 3 - Unobservable inputs that reflect management’s best estimate of what market participants would use in pricing the asset or liability at the measurement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in estimating the fair value disclosures for financial instruments in the accompanying consolidated financial statements and in these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securities, mutual funds and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uses unadjusted quoted prices for identical instruments in an active exchange to measure fair value which represent Level 1 inputs.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stocks, municipal securities, corporate securities and miscellaneous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mortgage-backed securities, residential mortgage-backed securities and asset-backed securities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range and weighted average, weighted by relative fair value, of the spread as of June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tcBorders>
              <w:top w:val="single" w:sz="8" w:color="auto"/>
              <w:bottom w:val="single" w:sz="8" w:color="CCEEFF"/>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June 30, 2023</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14.53 %</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Low</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5.15 %</w:t>
            </w:r>
          </w:p>
        </w:tc>
      </w:tr>
      <w:tr>
        <w:trPr>
          <w:trHeight w:val="24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7.14 %</w:t>
            </w:r>
          </w:p>
        </w:tc>
      </w:tr>
      <w:tr>
        <w:trPr>
          <w:trHeight w:val="40"/>
        </w:trPr>
        <w:tc>
          <w:tcPr>
            <w:tcW w:w="9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Company’s investments within the fair value hierarchy at June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1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44,483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44,483</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293,560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293,560</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70,973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70,973</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196,946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196,946</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17,979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17,979</w:t>
            </w:r>
          </w:p>
        </w:tc>
      </w:tr>
      <w:tr>
        <w:trPr>
          <w:trHeight w:val="230"/>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143,550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143,550</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44,483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723,008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767,491</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42,587</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42,587</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14,792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14,792</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3,008</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20,890</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11,501</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3,599</w:t>
            </w: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3,706</w:t>
            </w:r>
          </w:p>
        </w:tc>
      </w:tr>
      <w:tr>
        <w:trPr>
          <w:trHeight w:val="24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2,215</w:t>
            </w:r>
          </w:p>
        </w:tc>
      </w:tr>
      <w:tr>
        <w:trPr>
          <w:trHeight w:val="223"/>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61,674</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4,746</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w:t>
            </w:r>
          </w:p>
        </w:tc>
      </w:tr>
      <w:tr>
        <w:trPr>
          <w:trHeight w:val="23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6,947</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53,549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53,549</w:t>
            </w:r>
          </w:p>
        </w:tc>
      </w:tr>
      <w:tr>
        <w:trPr>
          <w:trHeight w:val="230"/>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r>
      <w:tr>
        <w:trPr>
          <w:trHeight w:val="236"/>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59,240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59,240</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120,914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127,861</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32,762</w:t>
            </w: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190,670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190,670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729,955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1,161,371</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December 31, 2022</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48,541</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57,727</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36,495</w:t>
            </w:r>
          </w:p>
        </w:tc>
      </w:tr>
      <w:tr>
        <w:trPr>
          <w:trHeight w:val="229"/>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109,824</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559,031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607,572</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46,771</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12,036</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22,636</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4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r>
        <w:trPr>
          <w:trHeight w:val="223"/>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7,085</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3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49,773</w:t>
            </w:r>
          </w:p>
        </w:tc>
      </w:tr>
      <w:tr>
        <w:trPr>
          <w:trHeight w:val="229"/>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55,402</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948,512</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changes in the fair value of instruments carried at fair value with a Level 3 measurement during the three months ended June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Mortgage Loans</w:t>
            </w:r>
          </w:p>
        </w:tc>
        <w:tc>
          <w:tcPr>
            <w:tcW w:w="0" w:type="dxa"/>
            <w:vAlign w:val="bottom"/>
          </w:tcPr>
          <w:p>
            <w:pPr>
              <w:spacing w:after="0"/>
              <w:rPr>
                <w:sz w:val="1"/>
                <w:szCs w:val="1"/>
                <w:color w:val="auto"/>
              </w:rPr>
            </w:pPr>
          </w:p>
        </w:tc>
      </w:tr>
      <w:tr>
        <w:trPr>
          <w:trHeight w:val="23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52,842</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0" w:type="dxa"/>
            <w:vAlign w:val="bottom"/>
          </w:tcPr>
          <w:p>
            <w:pPr>
              <w:spacing w:after="0"/>
              <w:rPr>
                <w:sz w:val="1"/>
                <w:szCs w:val="1"/>
                <w:color w:val="auto"/>
              </w:rPr>
            </w:pPr>
          </w:p>
        </w:tc>
      </w:tr>
      <w:tr>
        <w:trPr>
          <w:trHeight w:val="24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(11,421)</w:t>
            </w:r>
          </w:p>
        </w:tc>
        <w:tc>
          <w:tcPr>
            <w:tcW w:w="0" w:type="dxa"/>
            <w:vAlign w:val="bottom"/>
          </w:tcPr>
          <w:p>
            <w:pPr>
              <w:spacing w:after="0"/>
              <w:rPr>
                <w:sz w:val="1"/>
                <w:szCs w:val="1"/>
                <w:color w:val="auto"/>
              </w:rPr>
            </w:pP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42,335</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6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1"/>
        </w:trPr>
        <w:tc>
          <w:tcPr>
            <w:tcW w:w="9460" w:type="dxa"/>
            <w:vAlign w:val="bottom"/>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4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(9,582)</w:t>
            </w:r>
          </w:p>
        </w:tc>
        <w:tc>
          <w:tcPr>
            <w:tcW w:w="0" w:type="dxa"/>
            <w:vAlign w:val="bottom"/>
          </w:tcPr>
          <w:p>
            <w:pPr>
              <w:spacing w:after="0"/>
              <w:rPr>
                <w:sz w:val="1"/>
                <w:szCs w:val="1"/>
                <w:color w:val="auto"/>
              </w:rPr>
            </w:pP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32,762</w:t>
            </w:r>
          </w:p>
        </w:tc>
        <w:tc>
          <w:tcPr>
            <w:tcW w:w="0" w:type="dxa"/>
            <w:vAlign w:val="bottom"/>
          </w:tcPr>
          <w:p>
            <w:pPr>
              <w:spacing w:after="0"/>
              <w:rPr>
                <w:sz w:val="1"/>
                <w:szCs w:val="1"/>
                <w:color w:val="auto"/>
              </w:rPr>
            </w:pPr>
          </w:p>
        </w:tc>
      </w:tr>
      <w:tr>
        <w:trPr>
          <w:trHeight w:val="20"/>
        </w:trPr>
        <w:tc>
          <w:tcPr>
            <w:tcW w:w="9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Total losses for the period recognized in net investment gains (losses) attributable to the change in unrealized gains or losses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6"/>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in estimating the fair value disclosures of other financial instruments: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maturity securities, held-to-maturity: </w:t>
      </w:r>
      <w:r>
        <w:rPr>
          <w:rFonts w:ascii="Arial" w:cs="Arial" w:eastAsia="Arial" w:hAnsi="Arial"/>
          <w:sz w:val="16"/>
          <w:szCs w:val="16"/>
          <w:color w:val="auto"/>
        </w:rPr>
        <w:t>Fixed maturity securities, held-to-maturity consists of senior and junior notes with target rates of return. As</w:t>
      </w:r>
      <w:r>
        <w:rPr>
          <w:rFonts w:ascii="Arial" w:cs="Arial" w:eastAsia="Arial" w:hAnsi="Arial"/>
          <w:sz w:val="16"/>
          <w:szCs w:val="16"/>
          <w:i w:val="1"/>
          <w:iCs w:val="1"/>
          <w:color w:val="auto"/>
        </w:rPr>
        <w:t xml:space="preserve"> </w:t>
      </w:r>
      <w:r>
        <w:rPr>
          <w:rFonts w:ascii="Arial" w:cs="Arial" w:eastAsia="Arial" w:hAnsi="Arial"/>
          <w:sz w:val="16"/>
          <w:szCs w:val="16"/>
          <w:color w:val="auto"/>
        </w:rPr>
        <w:t>of June 30, 2023, the Company determined the fair value of these instruments using the income approach utilizing inputs that are unobservable (Level 3).</w:t>
      </w:r>
    </w:p>
    <w:p>
      <w:pPr>
        <w:spacing w:after="0" w:line="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The carrying value approximates the estimated fair value for notes payable as the notes payable accrue interest at current market rates</w:t>
      </w:r>
      <w:r>
        <w:rPr>
          <w:rFonts w:ascii="Arial" w:cs="Arial" w:eastAsia="Arial" w:hAnsi="Arial"/>
          <w:sz w:val="17"/>
          <w:szCs w:val="17"/>
          <w:i w:val="1"/>
          <w:iCs w:val="1"/>
          <w:color w:val="auto"/>
        </w:rPr>
        <w:t xml:space="preserve"> </w:t>
      </w:r>
      <w:r>
        <w:rPr>
          <w:rFonts w:ascii="Arial" w:cs="Arial" w:eastAsia="Arial" w:hAnsi="Arial"/>
          <w:sz w:val="17"/>
          <w:szCs w:val="17"/>
          <w:color w:val="auto"/>
        </w:rPr>
        <w:t>plus a spread. The Company determines fair value using the income approach utilizing inputs that are available (Level 2).</w:t>
      </w: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Subordinated debt: </w:t>
      </w:r>
      <w:r>
        <w:rPr>
          <w:rFonts w:ascii="Arial" w:cs="Arial" w:eastAsia="Arial" w:hAnsi="Arial"/>
          <w:sz w:val="17"/>
          <w:szCs w:val="17"/>
          <w:color w:val="auto"/>
        </w:rPr>
        <w:t>Subordinated debt consists of two debt instruments, the Junior Subordinated Interest Debentures, due September 15, 2036, and</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Company’s carrying and fair values of notes payable and subordinated debt as of June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 2023</w:t>
            </w: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December 31, 2022</w:t>
            </w:r>
          </w:p>
        </w:tc>
      </w:tr>
      <w:tr>
        <w:trPr>
          <w:trHeight w:val="178"/>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490"/>
              <w:spacing w:after="0" w:line="177"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30"/>
              <w:spacing w:after="0" w:line="177"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0"/>
              <w:spacing w:after="0" w:line="177" w:lineRule="exact"/>
              <w:rPr>
                <w:sz w:val="20"/>
                <w:szCs w:val="20"/>
                <w:color w:val="auto"/>
              </w:rPr>
            </w:pPr>
            <w:r>
              <w:rPr>
                <w:rFonts w:ascii="Arial" w:cs="Arial" w:eastAsia="Arial" w:hAnsi="Arial"/>
                <w:sz w:val="18"/>
                <w:szCs w:val="18"/>
                <w:color w:val="auto"/>
              </w:rPr>
              <w:t>Fair</w:t>
            </w:r>
          </w:p>
        </w:tc>
      </w:tr>
      <w:tr>
        <w:trPr>
          <w:trHeight w:val="23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Term loan, due December 31, 2024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Junior subordinated interest debentures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59,162</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59,794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59,137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59,794</w:t>
            </w:r>
          </w:p>
        </w:tc>
      </w:tr>
      <w:tr>
        <w:trPr>
          <w:trHeight w:val="24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Unsecured subordinated notes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18,278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18,934</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Subordinated debt, net of debt issuance costs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78,728</w:t>
            </w: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Separately Managed Accounts (“SMA1” and “SMA2”), managed by Arena Investors, LP (“Arena”), which is affiliated with The Westaim Corporation (“Westaim”) who, directly and through Westaim HIIG LP (a limited partnership controlled by Westaim), is the Company’s largest stockholder. As of June 30, 2023 and December 31, 2022, the Company held direct investments in mortgage loans from various creditors through SMA1 and SMA2.</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mortgage loan portfolios are primarily senior loans on real estate across the U.S. The loans earn interest at a fixed spread above a prime rate, mature in approximately 1 to 2 years from loan origination and the principal amounts of the loans range between 61% to 80% property’s appraised value at the time the loans were made. Mortgage loan participations are carried at fair value as of June 30, 2023 and cost adjusted for unamortized premiums, discounts, and loan fees as of December 31, 2022.</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mortgage loans as of June 30,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top w:val="single" w:sz="8" w:color="auto"/>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9,201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16,516</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Hospitality</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4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gross investment income for mortgage loans for the three months ended June 30, 2023 and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Hospitality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Office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six months ended June 30, 2023 and 2022.</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and December 31, 2022, approximately $0.0 million and $6.4 million of mortgage loans, respectively, were in the process of foreclosure. The carrying value of the mortgage loans in foreclosure is the lower of cost adjusted for unamortized premiums, discounts, and loan fees or the fair value of the collateral less costs to sell.</w:t>
      </w:r>
    </w:p>
    <w:p>
      <w:pPr>
        <w:spacing w:after="0" w:line="7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ownership interests in most of its equity method investments range from approximately 3% to less than 50% where the Company has significant influence but not control.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equity method investments as of June 30,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41,364</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JVM Funds LLC units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21,190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RISCOM</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4,342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4,037</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Hudson Ventures Fund 2 LP units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Dowling Capital Partners LP units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Universa Black Swan LP units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Brewer Lane Ventures Fund II LP units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0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79,390</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net investment (loss) income from equity method investments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top w:val="single" w:sz="8" w:color="auto"/>
              <w:bottom w:val="single" w:sz="8" w:color="auto"/>
            </w:tcBorders>
          </w:tcPr>
          <w:p>
            <w:pPr>
              <w:spacing w:after="0"/>
              <w:rPr>
                <w:sz w:val="21"/>
                <w:szCs w:val="21"/>
                <w:color w:val="auto"/>
              </w:rPr>
            </w:pPr>
          </w:p>
        </w:tc>
      </w:tr>
      <w:tr>
        <w:trPr>
          <w:trHeight w:val="232"/>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0"/>
                <w:szCs w:val="20"/>
                <w:color w:val="auto"/>
              </w:rPr>
            </w:pPr>
          </w:p>
        </w:tc>
      </w:tr>
      <w:tr>
        <w:trPr>
          <w:trHeight w:val="22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Dowling Capital Partners LP units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RISCOM</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Hudson Ventures Fund II LP units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JVM Funds LLC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Universa Black Swan LP units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(1,550)</w:t>
            </w: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r>
      <w:tr>
        <w:trPr>
          <w:trHeight w:val="252"/>
        </w:trPr>
        <w:tc>
          <w:tcPr>
            <w:tcW w:w="4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11,475</w:t>
            </w:r>
          </w:p>
        </w:tc>
      </w:tr>
      <w:tr>
        <w:trPr>
          <w:trHeight w:val="20"/>
        </w:trPr>
        <w:tc>
          <w:tcPr>
            <w:tcW w:w="47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gridSpan w:val="7"/>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84"/>
        </w:trPr>
        <w:tc>
          <w:tcPr>
            <w:tcW w:w="10680" w:type="dxa"/>
            <w:vAlign w:val="bottom"/>
            <w:gridSpan w:val="14"/>
          </w:tcPr>
          <w:p>
            <w:pPr>
              <w:ind w:left="340"/>
              <w:spacing w:after="0"/>
              <w:rPr>
                <w:sz w:val="20"/>
                <w:szCs w:val="20"/>
                <w:color w:val="auto"/>
              </w:rPr>
            </w:pPr>
            <w:r>
              <w:rPr>
                <w:rFonts w:ascii="Arial" w:cs="Arial" w:eastAsia="Arial" w:hAnsi="Arial"/>
                <w:sz w:val="18"/>
                <w:szCs w:val="18"/>
                <w:color w:val="auto"/>
                <w:w w:val="98"/>
              </w:rPr>
              <w:t>The following table sets forth the unfunded commitment of equity method investments as of June 30, 2023 and December 31, 2022:</w:t>
            </w:r>
          </w:p>
        </w:tc>
        <w:tc>
          <w:tcPr>
            <w:tcW w:w="560" w:type="dxa"/>
            <w:vAlign w:val="bottom"/>
          </w:tcPr>
          <w:p>
            <w:pPr>
              <w:spacing w:after="0"/>
              <w:rPr>
                <w:sz w:val="24"/>
                <w:szCs w:val="24"/>
                <w:color w:val="auto"/>
              </w:rPr>
            </w:pPr>
          </w:p>
        </w:tc>
      </w:tr>
      <w:tr>
        <w:trPr>
          <w:trHeight w:val="135"/>
        </w:trPr>
        <w:tc>
          <w:tcPr>
            <w:tcW w:w="47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spacing w:after="0"/>
              <w:rPr>
                <w:sz w:val="11"/>
                <w:szCs w:val="1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June 30, 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December 31, 2022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 units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4,610</w:t>
            </w: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Hudson Ventures Fund 2 LP units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3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Dowling Capital Partners LP units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3"/>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6,307</w:t>
            </w:r>
          </w:p>
        </w:tc>
        <w:tc>
          <w:tcPr>
            <w:tcW w:w="20" w:type="dxa"/>
            <w:vAlign w:val="bottom"/>
          </w:tcPr>
          <w:p>
            <w:pPr>
              <w:spacing w:after="0"/>
              <w:rPr>
                <w:sz w:val="19"/>
                <w:szCs w:val="19"/>
                <w:color w:val="auto"/>
              </w:rPr>
            </w:pPr>
          </w:p>
        </w:tc>
        <w:tc>
          <w:tcPr>
            <w:tcW w:w="1080" w:type="dxa"/>
            <w:vAlign w:val="bottom"/>
            <w:gridSpan w:val="3"/>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6,982</w:t>
            </w:r>
          </w:p>
        </w:tc>
      </w:tr>
      <w:tr>
        <w:trPr>
          <w:trHeight w:val="21"/>
        </w:trPr>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Company’s recorded investment in RISCOM compared to its share of underlying equity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June 30, 2023</w:t>
            </w:r>
          </w:p>
        </w:tc>
        <w:tc>
          <w:tcPr>
            <w:tcW w:w="80" w:type="dxa"/>
            <w:vAlign w:val="bottom"/>
            <w:tcBorders>
              <w:top w:val="single" w:sz="8" w:color="auto"/>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RISCOM:</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2,719</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6"/>
        </w:trPr>
        <w:tc>
          <w:tcPr>
            <w:tcW w:w="804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4,342</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4,037</w:t>
            </w:r>
          </w:p>
        </w:tc>
      </w:tr>
      <w:tr>
        <w:trPr>
          <w:trHeight w:val="20"/>
        </w:trPr>
        <w:tc>
          <w:tcPr>
            <w:tcW w:w="8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recorded investment in JVM Funds LLC compared to its share of underlying equity as of June 30,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JVM Funds LLC:</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20,358</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21,565</w:t>
            </w:r>
          </w:p>
        </w:tc>
      </w:tr>
      <w:tr>
        <w:trPr>
          <w:trHeight w:val="24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804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21,190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w:t>
            </w:r>
          </w:p>
        </w:tc>
      </w:tr>
      <w:tr>
        <w:trPr>
          <w:trHeight w:val="20"/>
        </w:trPr>
        <w:tc>
          <w:tcPr>
            <w:tcW w:w="8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Bank Holding Company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carries its investment in Captex Bancshares at cost, less impairment or observable changes in price. The Company reviews this investment for impairment or observable changes in price during each reporting period. There were no impairments or observable changes in price during the six months ended June 30, 2023 and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Indirect Loans and Loan Collateral</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and December 31, 2022, the Company held indirect investments in collateralized loans and loan collateral through SMA1 and SMA2.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and unfunded commitment of the SMA1 and SMA2 as of June 30,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ind w:left="700"/>
              <w:spacing w:after="0"/>
              <w:rPr>
                <w:sz w:val="20"/>
                <w:szCs w:val="20"/>
                <w:color w:val="auto"/>
              </w:rPr>
            </w:pPr>
            <w:r>
              <w:rPr>
                <w:rFonts w:ascii="Arial" w:cs="Arial" w:eastAsia="Arial" w:hAnsi="Arial"/>
                <w:sz w:val="18"/>
                <w:szCs w:val="18"/>
                <w:color w:val="auto"/>
              </w:rPr>
              <w:t>December 31, 2022</w:t>
            </w:r>
          </w:p>
        </w:tc>
      </w:tr>
      <w:tr>
        <w:trPr>
          <w:trHeight w:val="182"/>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Unfunded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2"/>
              </w:rPr>
              <w:t>Unfunded</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Carrying Value</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Commitment</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Carrying 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Commitment</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SMA2</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8,779</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 in indirect loans and loan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41,646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Trust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carries its investment in the common stock of the Delos Capital Trust n/k/a HIIG Capital Trust I (“Trust”) at cost. There were no impairments or observable changes in price during the six months ended June 30, 2023 and 2022.</w:t>
      </w:r>
    </w:p>
    <w:p>
      <w:pPr>
        <w:spacing w:after="0" w:line="5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Receivable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changes in the allowance for expected credit losses on premiums receivable for the six months ended June 30,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right"/>
              <w:ind w:right="170"/>
              <w:spacing w:after="0" w:line="189" w:lineRule="exact"/>
              <w:rPr>
                <w:sz w:val="20"/>
                <w:szCs w:val="20"/>
                <w:color w:val="auto"/>
              </w:rPr>
            </w:pPr>
            <w:r>
              <w:rPr>
                <w:rFonts w:ascii="Arial" w:cs="Arial" w:eastAsia="Arial" w:hAnsi="Arial"/>
                <w:sz w:val="18"/>
                <w:szCs w:val="18"/>
                <w:b w:val="1"/>
                <w:bCs w:val="1"/>
                <w:color w:val="auto"/>
                <w:w w:val="94"/>
              </w:rPr>
              <w:t>Allowance for Credit</w:t>
            </w:r>
          </w:p>
        </w:tc>
        <w:tc>
          <w:tcPr>
            <w:tcW w:w="0" w:type="dxa"/>
            <w:vAlign w:val="bottom"/>
          </w:tcPr>
          <w:p>
            <w:pPr>
              <w:spacing w:after="0"/>
              <w:rPr>
                <w:sz w:val="1"/>
                <w:szCs w:val="1"/>
                <w:color w:val="auto"/>
              </w:rPr>
            </w:pPr>
          </w:p>
        </w:tc>
      </w:tr>
      <w:tr>
        <w:trPr>
          <w:trHeight w:val="230"/>
        </w:trPr>
        <w:tc>
          <w:tcPr>
            <w:tcW w:w="91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36"/>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30"/>
        </w:trPr>
        <w:tc>
          <w:tcPr>
            <w:tcW w:w="912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2016-13 at January 1, 2023</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premiums</w:t>
            </w: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43"/>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Write-offs of uncollectible premiums receivable</w:t>
            </w:r>
          </w:p>
        </w:tc>
        <w:tc>
          <w:tcPr>
            <w:tcW w:w="1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Current period change for estimated uncollectible premiums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3"/>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of uncollectible premiums receivable</w:t>
            </w:r>
          </w:p>
        </w:tc>
        <w:tc>
          <w:tcPr>
            <w:tcW w:w="18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30"/>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amounts previously written off</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updated throughout the year as A.M. Best provides updates on ratings and outlooks. The Company assesses the adequacy of various forms of credit enhancements such as reinsurance payables, letters of credit and funds held. A summary of the Company’s reinsurance recoverables net of credit enhancements by A.M. Best rating as of June 30, 2023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 Best Rating</w:t>
            </w:r>
          </w:p>
        </w:tc>
        <w:tc>
          <w:tcPr>
            <w:tcW w:w="2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r>
      <w:tr>
        <w:trPr>
          <w:trHeight w:val="23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and above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B++ to B+</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1.4</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rated</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r>
      <w:tr>
        <w:trPr>
          <w:trHeight w:val="54"/>
        </w:trPr>
        <w:tc>
          <w:tcPr>
            <w:tcW w:w="91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reinsurance balances to be past due when they are 90 days past due. The following table sets forth the changes in the allowance for estimated uncollectible reinsurance for the six months ended June 30,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5"/>
              </w:rPr>
              <w:t>Allowance for Credit</w:t>
            </w:r>
          </w:p>
        </w:tc>
        <w:tc>
          <w:tcPr>
            <w:tcW w:w="0" w:type="dxa"/>
            <w:vAlign w:val="bottom"/>
          </w:tcPr>
          <w:p>
            <w:pPr>
              <w:spacing w:after="0"/>
              <w:rPr>
                <w:sz w:val="1"/>
                <w:szCs w:val="1"/>
                <w:color w:val="auto"/>
              </w:rPr>
            </w:pPr>
          </w:p>
        </w:tc>
      </w:tr>
      <w:tr>
        <w:trPr>
          <w:trHeight w:val="234"/>
        </w:trPr>
        <w:tc>
          <w:tcPr>
            <w:tcW w:w="91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914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2016-13 at January 1, 2023</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34"/>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Write-offs of uncollectible reinsurance recoverables</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0"/>
        </w:trPr>
        <w:tc>
          <w:tcPr>
            <w:tcW w:w="91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Write-offs of uncollectible reinsurance recoverables</w:t>
            </w: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14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Notes Payable</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entered into an agreement to obtain a new unsecured revolving credit facility (the “Revolving Credit Facility”) with a syndicate of participating banks during the six months ended June 30, 2023. The Revolving Credit Facility provided the Company with up to a $150.0 million revolving credit facility, with an accordion that can increase the capacity by $50.0 million, and a letter of credit sub-facility of up to $30.0 million.</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2023, the Company drew $50.0 million on the Revolving Credit Facility and used the proceeds to pay off the principal on its existing term loan. The Company subsequently terminated the existing term loan and revolving line of credit.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June 30, 2023, the six-month SOFR on the Revolving Credit Facility was 4.66%, plus a margin of 1.60%.</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subject to covenants on the Revolving Credit Facility based on minimum net worth, maximum debt to capital ratio, minimum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 Rating and minimum liquidity. As of June 30, 2023, the Company was in compliance with all covenants.</w:t>
      </w:r>
    </w:p>
    <w:p>
      <w:pPr>
        <w:spacing w:after="0" w:line="9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23, 2022, the Board of Directors approved a 4-for-1 reverse stock split of the Company’s common stock. The reverse stock split became effective January 3, 2023. All share and per share information included in the accompanying consolidated financial statements and notes to the consolidated financial statements have been retroactively adjusted to reflect the reverse stock split of common stock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4, 2023, the Company announced the launch of its initial public offering (“IPO”) of its common stock. On January 12, 2023, the Company priced its IPO of 8,952,383 shares of its common stock, with 4,750,000 shares offered by the Company and 4,202,383 shares sold by selling stockholders, at a public price of $15.00 per share. The shares began trading on January 13, 2023 on the Nasdaq Global Select Market under the ticker symbol “SKWD.”</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completed its IPO on January 18, 2023. The underwriters exercised in full their option to purchase 1,342,857 additional shares of common stock from the selling stockholders, at a price per share of $15.00. The Company’s net proceeds from the IPO were approximately $62.0 million, after deducting underwriting discounts and specific incremental expenses directly attributable to the IPO.</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 Conversion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Preferred Shares had preference in liquidation over common stock in the amount of the face value of $50.00 per share and any declared but unpaid dividends to related common shares at the applicable conversion rate. The Preferred Shares provided the holder the option at any time to convert the Preferred Shares into common stock based on the Option Conversion Rate. At December 31, 2022, the Company had 1,969,660 Preferred Shares that could be converted to 16,305,113 common shares based on a conversion price equal to $6.04 per common share.</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Preferred Shares were subject to mandatory conversion upon the closing of an IPO at the Mandatory Conversion Rate. At December 31, 2022, the Mandatory Conversion Rate allowed the holder of the Preferred Shares the right to convert into common stock based on a conversion price equal to $6.04 per common share. On January 18, 2023, the 1,969,660 Preferred Shares converted to 16,305,113 shares of common stock upon the Company’s closing of its IPO.</w:t>
      </w:r>
    </w:p>
    <w:p>
      <w:pPr>
        <w:spacing w:after="0" w:line="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Company’s income tax expense and effective tax rates for the three and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96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2"/>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5,561</w:t>
            </w:r>
          </w:p>
        </w:tc>
      </w:tr>
      <w:tr>
        <w:trPr>
          <w:trHeight w:val="234"/>
        </w:trPr>
        <w:tc>
          <w:tcPr>
            <w:tcW w:w="44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49"/>
        </w:trPr>
        <w:tc>
          <w:tcPr>
            <w:tcW w:w="4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tax rate will differ from the statutory rate of 21 percent due to permanent differences for disallowed expenses for tax and beneficial adjustments for tax-exempt income and dividends-received deduction.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paid federal income taxes of $4.2 million during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reconciliation of unpaid losses and loss adjustment expenses (“LAE”) as reported in the condensed consolidated balance sheets as of and for the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979,549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reinsurance recoverable on unpaid claims,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(435,986)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(381,338)</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 net of reinsurance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705,771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598,211</w:t>
            </w: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Incurred, net of reinsurance,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240,010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181,790</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net of reinsurance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240,010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Paid, net of reinsurance,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110,318</w:t>
            </w: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paid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141,183</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color w:val="auto"/>
              </w:rPr>
              <w:t>Net reserves for losses and LAE, end of period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782,900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638,818</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claims, end of period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441,227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397,567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Reserves for losses and LAE,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1,224,127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1,036,385</w:t>
            </w:r>
          </w:p>
        </w:tc>
      </w:tr>
      <w:tr>
        <w:trPr>
          <w:trHeight w:val="20"/>
        </w:trPr>
        <w:tc>
          <w:tcPr>
            <w:tcW w:w="8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disaggregated revenues from contracts with customers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9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3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SUA commission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SUA fee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commission and fee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2,240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3,732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contract assets from commission and fee income as of June 30, 2023 and December 31, 2022 were $1.7 million and $1.3 million, respectively. Contract assets were $1.5 million and $1.2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underwriting, acquisition and insurance expenses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28,135</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33,547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56,783</w:t>
            </w:r>
          </w:p>
        </w:tc>
      </w:tr>
      <w:tr>
        <w:trPr>
          <w:trHeight w:val="257"/>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underwriting, acquisition and insurance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56,683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108,338</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effects of reinsurance on written and earned premiums and losses and loss adjustment expenses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Three months ended June 30,</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spacing w:after="0"/>
              <w:rPr>
                <w:sz w:val="19"/>
                <w:szCs w:val="19"/>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Written</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Earned</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Written</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Earned</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premiums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332,062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283,762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Assumed premiums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89,932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48,213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25,933</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premiums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(208,257)</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(137,628)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(137,496)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(110,060)</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213,737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194,347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146,076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4"/>
        </w:trPr>
        <w:tc>
          <w:tcPr>
            <w:tcW w:w="5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23"/>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spacing w:after="0"/>
              <w:rPr>
                <w:sz w:val="19"/>
                <w:szCs w:val="19"/>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Written</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Earned</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Written</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Earned</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premiums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546,419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452,840</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Assumed premiums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142,217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87,345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83,540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52,529</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premiums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(366,614)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(256,586)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(217,566)</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415,878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377,178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287,803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164,775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129,587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reinsurance recoverables and ceded unearned premium as of June 30, 2023 and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unpaid losses and LAE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441,227</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435,986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Ceded paid losses and LAE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115,672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107,228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portfolio transfer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38,145</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582,922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Ceded unearned premium</w:t>
            </w: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267,672</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157,645</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June 30, 2023, the market value of these accounts was approximately $134.2 million. The agreements provide that, as was customary in the past, the reinsurer will continue claim payment reimbursements without disturbing the trust balances. The trust amount will be adjusted periodically, by mutual agreement, based on loss reserve recoverables.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ceded reinsurance contracts that transfer only significant timing risk and do not transfer sufficient underwriting risk are accounted for using the deposit method of accounting. The Company’s deposit asset at June 30, 2023 and December 31, 2022 was $34.3 million and $41.8 million, respectively, and was included in other assets on the condensed consolidated balance sheets.</w:t>
      </w:r>
    </w:p>
    <w:p>
      <w:pPr>
        <w:spacing w:after="0" w:line="7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Based Compensation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23, 2022, the Compensation Committee of the Company’s Board of Directors (“Compensation Committee”) approved the Company’s 2022 Long-Term Incentive Plan (the “2022 Plan”), which became effective on January 12, 2023. The 2022 Plan provides for the granting of restricted stock, restricted stock units, performance stock units, stock options as well as cash-based performance awards, to select employees and non-employee directors of the Company. The 2022 Plan stated that 3,200,516 shares of common stock were available for issuance.</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23, 2022, the Compensation Committee approved the Company’s 2022 Employee Stock Purchase Plan (the “ESPP”), which became effective on May 15, 2023. Under the ESPP, employees are granted options to purchase shares at the lower of 85% of the fair market value at the time of grant or 85% of the fair market value at the time of exercise through payroll withholding. Options to purchase shares are granted twice yearly or on or about June 1 and December 1, and are exercisable on or about the succeeding November 30 and May 31, respectively. The ESPP stated that 376,531 shares of common stock were available for issuance.</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the Compensation Committee approved a Long Term Incentive Plan (the “2021 Plan”). The 2021 Plan provides for the granting of restricted stock, restricted stock units and performance stock units (collectively “restricted stock units” or “stock units”), as well as cash-based performance awards, to select employees and non-employee directors of the Company.</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Compensation Committee granted 1,092,554 and 192,411 restricted stock and restricted stock units during the six months ended June 30, 2023 and 2022, under the 2022 Plan and 2021 Plans, respectively. Members of the Board of Directors were granted 19,284 and 15,196 restricted stock during the six months ended June 30, 2023 and 2022, respectively, with a service period of 1 year. 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Compensation Committee granted 759,990 stock options during the six months ended June 30, 2023. The grant date fair value of the options under the 2022 Plan was determined using the Black-Scholes model where the term was the contractual term of 10 years less the weighted average service period. The volatility was determined based on the historical volatility of comparable publicly traded insurance companies.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grant date fair value of options under the ESPP was determined using the Black-Scholes model where the term was the length of time between the grant date and the date the options are exercisable of 6 months. The volatility was determined based on the historical volatility of comparable publicly traded insurance companies.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restricted stock and restricted stock units granted to employees and the Board of Directors during the six months ended June 30, 2023 and 2022 were valued at approximately $17.5 million and $2.5 million, respectively, based on the grant date fair value. The stock options granted to employees during the six months ended June 30, 2023 were valued at approximately $4.4 million based on the grant date fair value.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equity awards, target payout ranges and authorized target restricted stock and stock units for the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Award</w:t>
            </w:r>
          </w:p>
        </w:tc>
        <w:tc>
          <w:tcPr>
            <w:tcW w:w="1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left="170"/>
              <w:spacing w:after="0" w:line="189" w:lineRule="exact"/>
              <w:rPr>
                <w:sz w:val="20"/>
                <w:szCs w:val="20"/>
                <w:color w:val="auto"/>
              </w:rPr>
            </w:pPr>
            <w:r>
              <w:rPr>
                <w:rFonts w:ascii="Arial" w:cs="Arial" w:eastAsia="Arial" w:hAnsi="Arial"/>
                <w:sz w:val="18"/>
                <w:szCs w:val="18"/>
                <w:b w:val="1"/>
                <w:bCs w:val="1"/>
                <w:color w:val="auto"/>
                <w:w w:val="88"/>
              </w:rPr>
              <w:t>Requisite</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630"/>
              <w:spacing w:after="0" w:line="189" w:lineRule="exact"/>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Range</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89"/>
              </w:rPr>
              <w:t>Service Period</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5"/>
              </w:rPr>
              <w:t>Stock and Stock Units</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0%–150%</w:t>
            </w:r>
          </w:p>
        </w:tc>
        <w:tc>
          <w:tcPr>
            <w:tcW w:w="100" w:type="dxa"/>
            <w:vAlign w:val="bottom"/>
          </w:tcPr>
          <w:p>
            <w:pPr>
              <w:spacing w:after="0"/>
              <w:rPr>
                <w:sz w:val="20"/>
                <w:szCs w:val="20"/>
                <w:color w:val="auto"/>
              </w:rPr>
            </w:pPr>
          </w:p>
        </w:tc>
        <w:tc>
          <w:tcPr>
            <w:tcW w:w="17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6"/>
              </w:rPr>
              <w:t>3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37,622</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0%–150%</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86"/>
              </w:rPr>
              <w:t>3 years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92,904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Service condition awards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17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7"/>
              </w:rPr>
              <w:t>1–4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962,028</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7"/>
              </w:rPr>
              <w:t>3–4 years</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759,990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1,852,544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Six months ended June 30, 2022</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0%–150%</w:t>
            </w:r>
          </w:p>
        </w:tc>
        <w:tc>
          <w:tcPr>
            <w:tcW w:w="100" w:type="dxa"/>
            <w:vAlign w:val="bottom"/>
          </w:tcPr>
          <w:p>
            <w:pPr>
              <w:spacing w:after="0"/>
              <w:rPr>
                <w:sz w:val="20"/>
                <w:szCs w:val="20"/>
                <w:color w:val="auto"/>
              </w:rPr>
            </w:pPr>
          </w:p>
        </w:tc>
        <w:tc>
          <w:tcPr>
            <w:tcW w:w="170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3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28,495</w:t>
            </w: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0%–150%</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3 years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Service condition awards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8"/>
              </w:rPr>
              <w:t>1–3 years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137,706</w:t>
            </w: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192,411</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40" w:type="dxa"/>
            <w:vAlign w:val="bottom"/>
            <w:gridSpan w:val="2"/>
          </w:tcPr>
          <w:p>
            <w:pPr>
              <w:ind w:left="340"/>
              <w:spacing w:after="0"/>
              <w:rPr>
                <w:sz w:val="20"/>
                <w:szCs w:val="20"/>
                <w:color w:val="auto"/>
              </w:rPr>
            </w:pPr>
            <w:r>
              <w:rPr>
                <w:rFonts w:ascii="Arial" w:cs="Arial" w:eastAsia="Arial" w:hAnsi="Arial"/>
                <w:sz w:val="18"/>
                <w:szCs w:val="18"/>
                <w:color w:val="auto"/>
              </w:rPr>
              <w:t>The following table sets forth option activity for the six months ended June 30, 2023: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4"/>
          </w:tcPr>
          <w:p>
            <w:pPr>
              <w:jc w:val="right"/>
              <w:spacing w:after="0" w:line="169" w:lineRule="exact"/>
              <w:rPr>
                <w:sz w:val="20"/>
                <w:szCs w:val="20"/>
                <w:color w:val="auto"/>
              </w:rPr>
            </w:pPr>
            <w:r>
              <w:rPr>
                <w:rFonts w:ascii="Arial" w:cs="Arial" w:eastAsia="Arial" w:hAnsi="Arial"/>
                <w:sz w:val="18"/>
                <w:szCs w:val="18"/>
                <w:b w:val="1"/>
                <w:bCs w:val="1"/>
                <w:color w:val="auto"/>
                <w:w w:val="93"/>
              </w:rPr>
              <w:t>Weighted-Average</w:t>
            </w:r>
          </w:p>
        </w:tc>
        <w:tc>
          <w:tcPr>
            <w:tcW w:w="80" w:type="dxa"/>
            <w:vAlign w:val="bottom"/>
          </w:tcPr>
          <w:p>
            <w:pPr>
              <w:spacing w:after="0"/>
              <w:rPr>
                <w:sz w:val="14"/>
                <w:szCs w:val="14"/>
                <w:color w:val="auto"/>
              </w:rPr>
            </w:pP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39"/>
        </w:trPr>
        <w:tc>
          <w:tcPr>
            <w:tcW w:w="520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Exercise Price</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40" w:type="dxa"/>
            <w:vAlign w:val="bottom"/>
          </w:tcPr>
          <w:p>
            <w:pPr>
              <w:spacing w:after="0"/>
              <w:rPr>
                <w:sz w:val="19"/>
                <w:szCs w:val="19"/>
                <w:color w:val="auto"/>
              </w:rPr>
            </w:pPr>
          </w:p>
        </w:tc>
        <w:tc>
          <w:tcPr>
            <w:tcW w:w="18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15.00</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759,990</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June 30, 2023</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759,990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intrinsic value of each option is determined based on the difference between the fair value of the underlying share and the exercise price of the underlying option. The aggregate intrinsic value of options outstanding at June 30, 2023 was $7.9 million. The weighted-average remaining contractual life of the options outstanding at June 30, 2023 was 9.5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Company’s restricted stock and restricted stock units activity for the six months ended June 30,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110"/>
              <w:spacing w:after="0" w:line="18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r>
      <w:tr>
        <w:trPr>
          <w:trHeight w:val="184"/>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4"/>
              </w:rPr>
              <w:t>Grant-Date</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34"/>
        </w:trPr>
        <w:tc>
          <w:tcPr>
            <w:tcW w:w="7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Stock and Stock Units</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419,896</w:t>
            </w:r>
          </w:p>
        </w:tc>
      </w:tr>
      <w:tr>
        <w:trPr>
          <w:trHeight w:val="239"/>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1,092,554</w:t>
            </w:r>
          </w:p>
        </w:tc>
      </w:tr>
      <w:tr>
        <w:trPr>
          <w:trHeight w:val="234"/>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(32,496)</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(25,176)</w:t>
            </w:r>
          </w:p>
        </w:tc>
      </w:tr>
      <w:tr>
        <w:trPr>
          <w:trHeight w:val="25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15.08</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1,454,778</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375,643</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192,411</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(113,625)</w:t>
            </w: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12.69</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(1,950)</w:t>
            </w: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452,479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vested at June 30, 2023 and 2022 were $0.8 million and $1.8 million, respectively.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2023 the total unrecognized compensation cost related to non-vested, share-based compensation awards was $20.3 million and the weighted average period over which that cost is expected to be recognized is 1.9 years. For the three and six months ended June 30, 2023, the Company recognized $2.0 million and $3.9 million of stock based compensation expense, respectively. For the three and six months ended June 30, 2022, the Company recognized $0.7 million and $1.2 million, of stock based compensation expense,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 reconciliation of the numerator and denominator of basic and diluted earnings per share computations contained in the period-ended consolidated financial statements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for share and per share amounts)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19,452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5,065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35,008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21,376</w:t>
            </w: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Undistributed income allocated to participating</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w w:val="94"/>
              </w:rPr>
              <w:t>Net income attributable to common stockholders (numerator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60" w:type="dxa"/>
            <w:vAlign w:val="bottom"/>
          </w:tcPr>
          <w:p>
            <w:pPr>
              <w:ind w:left="440"/>
              <w:spacing w:after="0"/>
              <w:rPr>
                <w:sz w:val="20"/>
                <w:szCs w:val="20"/>
                <w:color w:val="auto"/>
              </w:rPr>
            </w:pPr>
            <w:r>
              <w:rPr>
                <w:rFonts w:ascii="Arial" w:cs="Arial" w:eastAsia="Arial" w:hAnsi="Arial"/>
                <w:sz w:val="18"/>
                <w:szCs w:val="18"/>
                <w:color w:val="auto"/>
              </w:rPr>
              <w:t>for basic earnings per share)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33,606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11,093</w:t>
            </w:r>
          </w:p>
        </w:tc>
        <w:tc>
          <w:tcPr>
            <w:tcW w:w="0" w:type="dxa"/>
            <w:vAlign w:val="bottom"/>
          </w:tcPr>
          <w:p>
            <w:pPr>
              <w:spacing w:after="0"/>
              <w:rPr>
                <w:sz w:val="1"/>
                <w:szCs w:val="1"/>
                <w:color w:val="auto"/>
              </w:rPr>
            </w:pPr>
          </w:p>
        </w:tc>
      </w:tr>
      <w:tr>
        <w:trPr>
          <w:trHeight w:val="235"/>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 back: Undistributed income allocated to</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participating securities</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22"/>
        </w:trPr>
        <w:tc>
          <w:tcPr>
            <w:tcW w:w="4760" w:type="dxa"/>
            <w:vAlign w:val="bottom"/>
          </w:tcPr>
          <w:p>
            <w:pPr>
              <w:ind w:left="240"/>
              <w:spacing w:after="0"/>
              <w:rPr>
                <w:sz w:val="20"/>
                <w:szCs w:val="20"/>
                <w:color w:val="auto"/>
              </w:rPr>
            </w:pPr>
            <w:r>
              <w:rPr>
                <w:rFonts w:ascii="Arial" w:cs="Arial" w:eastAsia="Arial" w:hAnsi="Arial"/>
                <w:sz w:val="18"/>
                <w:szCs w:val="18"/>
                <w:color w:val="auto"/>
                <w:w w:val="94"/>
              </w:rPr>
              <w:t>Net income (numerator for diluted earnings per share under</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19,452</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5,065</w:t>
            </w:r>
          </w:p>
        </w:tc>
        <w:tc>
          <w:tcPr>
            <w:tcW w:w="44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35,008</w:t>
            </w:r>
          </w:p>
        </w:tc>
        <w:tc>
          <w:tcPr>
            <w:tcW w:w="44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21,376</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the two-class method)</w:t>
            </w:r>
          </w:p>
        </w:tc>
        <w:tc>
          <w:tcPr>
            <w:tcW w:w="2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Basic weighted-average common shares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36,603,779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16,449,810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34,746,874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16,449,810</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Preferred shares (if converted method)</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15,249,373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1,449,343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15,249,373</w:t>
            </w:r>
          </w:p>
        </w:tc>
        <w:tc>
          <w:tcPr>
            <w:tcW w:w="0" w:type="dxa"/>
            <w:vAlign w:val="bottom"/>
          </w:tcPr>
          <w:p>
            <w:pPr>
              <w:spacing w:after="0"/>
              <w:rPr>
                <w:sz w:val="1"/>
                <w:szCs w:val="1"/>
                <w:color w:val="auto"/>
              </w:rPr>
            </w:pPr>
          </w:p>
        </w:tc>
      </w:tr>
      <w:tr>
        <w:trPr>
          <w:trHeight w:val="229"/>
        </w:trPr>
        <w:tc>
          <w:tcPr>
            <w:tcW w:w="4760" w:type="dxa"/>
            <w:vAlign w:val="bottom"/>
          </w:tcPr>
          <w:p>
            <w:pPr>
              <w:ind w:left="460"/>
              <w:spacing w:after="0"/>
              <w:rPr>
                <w:sz w:val="20"/>
                <w:szCs w:val="20"/>
                <w:color w:val="auto"/>
              </w:rPr>
            </w:pPr>
            <w:r>
              <w:rPr>
                <w:rFonts w:ascii="Arial" w:cs="Arial" w:eastAsia="Arial" w:hAnsi="Arial"/>
                <w:sz w:val="18"/>
                <w:szCs w:val="18"/>
                <w:color w:val="auto"/>
              </w:rPr>
              <w:t>Contingently issuable instruments (treasury stock</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760" w:type="dxa"/>
            <w:vAlign w:val="bottom"/>
          </w:tcPr>
          <w:p>
            <w:pPr>
              <w:ind w:left="460"/>
              <w:spacing w:after="0"/>
              <w:rPr>
                <w:sz w:val="20"/>
                <w:szCs w:val="20"/>
                <w:color w:val="auto"/>
              </w:rPr>
            </w:pPr>
            <w:r>
              <w:rPr>
                <w:rFonts w:ascii="Arial" w:cs="Arial" w:eastAsia="Arial" w:hAnsi="Arial"/>
                <w:sz w:val="18"/>
                <w:szCs w:val="18"/>
                <w:color w:val="auto"/>
              </w:rPr>
              <w:t>method)</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763,590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740,396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527,525</w:t>
            </w: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 condition awards (contingently issuable)</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99,393</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rPr>
                <w:sz w:val="20"/>
                <w:szCs w:val="20"/>
                <w:color w:val="auto"/>
              </w:rPr>
            </w:pPr>
            <w:r>
              <w:rPr>
                <w:rFonts w:ascii="Arial" w:cs="Arial" w:eastAsia="Arial" w:hAnsi="Arial"/>
                <w:sz w:val="18"/>
                <w:szCs w:val="18"/>
                <w:color w:val="auto"/>
              </w:rPr>
              <w:t>Performance awards (contingently issuable)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73,087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41,348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stock units (treasury stock method)</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525,999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397,950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224,771</w:t>
            </w:r>
          </w:p>
        </w:tc>
        <w:tc>
          <w:tcPr>
            <w:tcW w:w="0" w:type="dxa"/>
            <w:vAlign w:val="bottom"/>
          </w:tcPr>
          <w:p>
            <w:pPr>
              <w:spacing w:after="0"/>
              <w:rPr>
                <w:sz w:val="1"/>
                <w:szCs w:val="1"/>
                <w:color w:val="auto"/>
              </w:rPr>
            </w:pPr>
          </w:p>
        </w:tc>
      </w:tr>
      <w:tr>
        <w:trPr>
          <w:trHeight w:val="230"/>
        </w:trPr>
        <w:tc>
          <w:tcPr>
            <w:tcW w:w="4760" w:type="dxa"/>
            <w:vAlign w:val="bottom"/>
          </w:tcPr>
          <w:p>
            <w:pPr>
              <w:ind w:left="460"/>
              <w:spacing w:after="0"/>
              <w:rPr>
                <w:sz w:val="20"/>
                <w:szCs w:val="20"/>
                <w:color w:val="auto"/>
              </w:rPr>
            </w:pPr>
            <w:r>
              <w:rPr>
                <w:rFonts w:ascii="Arial" w:cs="Arial" w:eastAsia="Arial" w:hAnsi="Arial"/>
                <w:sz w:val="18"/>
                <w:szCs w:val="18"/>
                <w:color w:val="auto"/>
              </w:rPr>
              <w:t>Options (treasury stock method)</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91,151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54,970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4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5"/>
              </w:rPr>
              <w:t>Diluted weighted-average common share equivalents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38,143,585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32,660,316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37,503,914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32,600,247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0.97</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54"/>
        </w:trPr>
        <w:tc>
          <w:tcPr>
            <w:tcW w:w="4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Anti-dilutive instruments are excluded from the calculation of diluted weighted-average common share equivalents as they would have an anti-dilutive impact. The following table sets forth the weighted-average instruments that were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excluded from the calculation of diluted weighted-average common share equivalents during the three and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7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2022</w:t>
            </w:r>
          </w:p>
        </w:tc>
      </w:tr>
      <w:tr>
        <w:trPr>
          <w:trHeight w:val="26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Contingently issuable instruments (treasury stock method)</w:t>
            </w:r>
          </w:p>
        </w:tc>
        <w:tc>
          <w:tcPr>
            <w:tcW w:w="1820" w:type="dxa"/>
            <w:vAlign w:val="bottom"/>
            <w:gridSpan w:val="3"/>
            <w:shd w:val="clear" w:color="auto" w:fill="CCEEFF"/>
          </w:tcPr>
          <w:p>
            <w:pPr>
              <w:jc w:val="right"/>
              <w:ind w:right="12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w:t>
            </w:r>
          </w:p>
        </w:tc>
      </w:tr>
      <w:tr>
        <w:trPr>
          <w:trHeight w:val="22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Market condition awards (contingently issuable)</w:t>
            </w:r>
          </w:p>
        </w:tc>
        <w:tc>
          <w:tcPr>
            <w:tcW w:w="1820" w:type="dxa"/>
            <w:vAlign w:val="bottom"/>
            <w:gridSpan w:val="3"/>
          </w:tcPr>
          <w:p>
            <w:pPr>
              <w:jc w:val="right"/>
              <w:ind w:right="12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25,774</w:t>
            </w:r>
          </w:p>
        </w:tc>
        <w:tc>
          <w:tcPr>
            <w:tcW w:w="100" w:type="dxa"/>
            <w:vAlign w:val="bottom"/>
          </w:tcPr>
          <w:p>
            <w:pPr>
              <w:spacing w:after="0"/>
              <w:rPr>
                <w:sz w:val="19"/>
                <w:szCs w:val="19"/>
                <w:color w:val="auto"/>
              </w:rPr>
            </w:pP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r>
      <w:tr>
        <w:trPr>
          <w:trHeight w:val="23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awards (contingently issuable)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68,585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w:t>
            </w:r>
          </w:p>
        </w:tc>
      </w:tr>
      <w:tr>
        <w:trPr>
          <w:trHeight w:val="23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Restricted stock units (treasury stock method)</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237,125</w:t>
            </w:r>
          </w:p>
        </w:tc>
        <w:tc>
          <w:tcPr>
            <w:tcW w:w="100" w:type="dxa"/>
            <w:vAlign w:val="bottom"/>
          </w:tcPr>
          <w:p>
            <w:pPr>
              <w:spacing w:after="0"/>
              <w:rPr>
                <w:sz w:val="20"/>
                <w:szCs w:val="20"/>
                <w:color w:val="auto"/>
              </w:rPr>
            </w:pP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r>
      <w:tr>
        <w:trPr>
          <w:trHeight w:val="234"/>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(treasury stock method)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357,059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9"/>
              </w:rPr>
              <w:t>—</w:t>
            </w:r>
          </w:p>
        </w:tc>
      </w:tr>
      <w:tr>
        <w:trPr>
          <w:trHeight w:val="40"/>
        </w:trPr>
        <w:tc>
          <w:tcPr>
            <w:tcW w:w="47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common and preferred shares financed by stock notes are contingently issuable instruments where the holder must return, all or part of, the shares if the stock notes are not paid off. The following table sets forth common share equivalents of contingently issuable instruments (in shares) that were excluded from basic earnings per share for the three and six months ended June 30,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78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2022</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Preferred shares, if converted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1,059,601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1,059,601</w:t>
            </w:r>
          </w:p>
        </w:tc>
      </w:tr>
      <w:tr>
        <w:trPr>
          <w:trHeight w:val="257"/>
        </w:trPr>
        <w:tc>
          <w:tcPr>
            <w:tcW w:w="4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1,143,412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1,143,412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impact of the contingently issuable instruments on diluted earnings per share was calculated using the treasury stock method and included in the reconciliation of the denominator of the basic and diluted earnings per share computations for the three and six months ended June 30, 2023 and 2022.</w:t>
      </w:r>
    </w:p>
    <w:p>
      <w:pPr>
        <w:spacing w:after="0" w:line="12" w:lineRule="exact"/>
        <w:rPr>
          <w:sz w:val="20"/>
          <w:szCs w:val="20"/>
          <w:color w:val="auto"/>
        </w:rPr>
      </w:pPr>
    </w:p>
    <w:p>
      <w:pPr>
        <w:ind w:right="8820" w:firstLine="8"/>
        <w:spacing w:after="0" w:line="378" w:lineRule="auto"/>
        <w:tabs>
          <w:tab w:leader="none" w:pos="3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 Westaim</w:t>
      </w:r>
    </w:p>
    <w:p>
      <w:pPr>
        <w:ind w:left="340"/>
        <w:spacing w:after="0"/>
        <w:rPr>
          <w:sz w:val="20"/>
          <w:szCs w:val="20"/>
          <w:color w:val="auto"/>
        </w:rPr>
      </w:pPr>
      <w:r>
        <w:rPr>
          <w:rFonts w:ascii="Arial" w:cs="Arial" w:eastAsia="Arial" w:hAnsi="Arial"/>
          <w:sz w:val="16"/>
          <w:szCs w:val="16"/>
          <w:color w:val="auto"/>
        </w:rPr>
        <w:t>As of June 30, 2023 and December 31, 2022, Westaim and Westaim HIIG LP owned 28.4% and 44.5%, respectively,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ownership percentage were primarily due to the IPO, conversion of preferred stock to common stock, and secondary offering.</w:t>
      </w:r>
    </w:p>
    <w:p>
      <w:pPr>
        <w:spacing w:after="0" w:line="1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investment in Westaim was included in equity securities on the consolidated balance sheets. The unrealized loss on this investment as of June 30, 2023 and December 31, 2022 were $1.1 million and $2.3 million, respectively.</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closing of the IPO, Westaim performed consulting and certain other services for the Company pursuant to a Management Services Agreement. This agreement terminated pursuant to its terms upon the closing of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RISCOM</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RISCOM provides the Company with wholesale brokerage services. RISCOM and the Company also have a managing general agency agreement. The Company holds a 20% ownership interest in RISCOM.</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earned premium and gross commission expense related to these agreements for the three and six months ended June 30, 2023 and 2022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32"/>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43,526</w:t>
            </w:r>
          </w:p>
        </w:tc>
      </w:tr>
      <w:tr>
        <w:trPr>
          <w:trHeight w:val="234"/>
        </w:trPr>
        <w:tc>
          <w:tcPr>
            <w:tcW w:w="478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13,002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13,107</w:t>
            </w:r>
          </w:p>
        </w:tc>
      </w:tr>
      <w:tr>
        <w:trPr>
          <w:trHeight w:val="49"/>
        </w:trPr>
        <w:tc>
          <w:tcPr>
            <w:tcW w:w="4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Premiums receivable as of June 30, 2023 and December 31, 2022 were $17.0 million and $9.9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reinsurance agreements with Everest Re, an affiliate of Mt. Whitney Securities, LLC, which was a limited partner of Westaim HIIG LP through November 30, 2022, and holder of preferred shares. During the three and six months ended June 30, 2023, Mt. Whitney Securities divested their entire ownership of the Company’s equity securities. Reinsurance premiums ceded during the three and six months ended June 30, 2022 related to the agreement were $22.6 million and $42.2 million, respectively. Reinsurance recoverable from Everest Re, net of premium payables at December 31, 2022 were $177.5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Advisory and professional services fees and expense reimbursements paid to various affiliated stockholders and directors for the three and six months ended June 30, 2023 were $0.5 million and $2.6 million, respectively, compared to $1.5 million and $2.2 million, respectively, for the three and six months ended June 30, 2022.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and 5 for investments involving affiliated companies and additional related party transactions.</w:t>
      </w:r>
    </w:p>
    <w:p>
      <w:pPr>
        <w:spacing w:after="0" w:line="113" w:lineRule="exact"/>
        <w:rPr>
          <w:sz w:val="20"/>
          <w:szCs w:val="20"/>
          <w:color w:val="auto"/>
        </w:rPr>
      </w:pPr>
    </w:p>
    <w:p>
      <w:pPr>
        <w:ind w:right="8360" w:firstLine="8"/>
        <w:spacing w:after="0" w:line="378" w:lineRule="auto"/>
        <w:tabs>
          <w:tab w:leader="none" w:pos="3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 Litigation</w:t>
      </w:r>
    </w:p>
    <w:p>
      <w:pPr>
        <w:jc w:val="both"/>
        <w:ind w:firstLine="324"/>
        <w:spacing w:after="0" w:line="254" w:lineRule="auto"/>
        <w:rPr>
          <w:sz w:val="20"/>
          <w:szCs w:val="20"/>
          <w:color w:val="auto"/>
        </w:rPr>
      </w:pPr>
      <w:r>
        <w:rPr>
          <w:rFonts w:ascii="Arial" w:cs="Arial" w:eastAsia="Arial" w:hAnsi="Arial"/>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“second quarter” as used below refers to the three and six months ended June 30 for the time period then ended. Select insurance and accounting terms for Skyward Specialty are defined in the section entitled “Select Insurance and Financial Terms” included in our Annual Report on Form 10-K for the year ended December 31, 2022 (the “2022 Form 10-K”).</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discussion and analysis below include certain forward-looking statements that are subject to risks, uncertainties and other factors described in "Risk Factors" in our Annual Report on Form 10-K for the year ended December 31, 2022. Our actual results could differ materially from those anticipated in these forward-looking statements as a result of many factors.</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The results of operations for the three and six months ended June 30,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for the year ended December 31, 2022.</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76" w:lineRule="exact"/>
        <w:rPr>
          <w:sz w:val="20"/>
          <w:szCs w:val="20"/>
          <w:color w:val="auto"/>
        </w:rPr>
      </w:pPr>
    </w:p>
    <w:p>
      <w:pPr>
        <w:ind w:right="560" w:firstLine="324"/>
        <w:spacing w:after="0" w:line="375" w:lineRule="auto"/>
        <w:rPr>
          <w:sz w:val="20"/>
          <w:szCs w:val="20"/>
          <w:color w:val="auto"/>
        </w:rPr>
      </w:pPr>
      <w:r>
        <w:rPr>
          <w:rFonts w:ascii="Arial" w:cs="Arial" w:eastAsia="Arial" w:hAnsi="Arial"/>
          <w:sz w:val="18"/>
          <w:szCs w:val="18"/>
          <w:color w:val="auto"/>
        </w:rPr>
        <w:t xml:space="preserve">All of our insurance company subsidiaries are group rated and have financial strength ratings of “A-” (Excellent) from the A.M. Best Company. </w:t>
      </w:r>
      <w:r>
        <w:rPr>
          <w:rFonts w:ascii="Arial" w:cs="Arial" w:eastAsia="Arial" w:hAnsi="Arial"/>
          <w:sz w:val="18"/>
          <w:szCs w:val="18"/>
          <w:b w:val="1"/>
          <w:bCs w:val="1"/>
          <w:color w:val="auto"/>
        </w:rPr>
        <w:t>Key Operating and Financial Metrics</w:t>
      </w:r>
    </w:p>
    <w:p>
      <w:pPr>
        <w:spacing w:after="0" w:line="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retention</w:t>
      </w:r>
      <w:r>
        <w:rPr>
          <w:rFonts w:ascii="Arial" w:cs="Arial" w:eastAsia="Arial" w:hAnsi="Arial"/>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(loss) </w:t>
      </w:r>
      <w:r>
        <w:rPr>
          <w:rFonts w:ascii="Arial" w:cs="Arial" w:eastAsia="Arial" w:hAnsi="Arial"/>
          <w:sz w:val="18"/>
          <w:szCs w:val="18"/>
          <w:color w:val="auto"/>
        </w:rPr>
        <w:t>is a non-GAAP financial measure defined as income (loss) before income taxes excluding net investment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and unrealized gains and losses on investments,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and LAE ratio</w:t>
      </w:r>
      <w:r>
        <w:rPr>
          <w:rFonts w:ascii="Arial" w:cs="Arial" w:eastAsia="Arial" w:hAnsi="Arial"/>
          <w:sz w:val="18"/>
          <w:szCs w:val="18"/>
          <w:color w:val="auto"/>
        </w:rPr>
        <w:t>, expressed as a percentage, is the ratio of losses and LAE to net earned premiums.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Expense ratio</w:t>
      </w:r>
      <w:r>
        <w:rPr>
          <w:rFonts w:ascii="Arial" w:cs="Arial" w:eastAsia="Arial" w:hAnsi="Arial"/>
          <w:sz w:val="17"/>
          <w:szCs w:val="17"/>
          <w:color w:val="auto"/>
        </w:rPr>
        <w:t>, expressed as a percentage, is the ratio of underwriting, acquisition and insurance expenses less commission and fee income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premiums. In certain instances, fee income relates to business placed with other insurers as part of our packaged solution.</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Combined ratio </w:t>
      </w:r>
      <w:r>
        <w:rPr>
          <w:rFonts w:ascii="Arial" w:cs="Arial" w:eastAsia="Arial" w:hAnsi="Arial"/>
          <w:sz w:val="18"/>
          <w:szCs w:val="18"/>
          <w:color w:val="auto"/>
        </w:rPr>
        <w:t>is the sum of loss ratio and expense ratio. A combined ratio under 100% indicates an underwriting profit. A combined ratio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indicates an underwriting loss.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Adjusted loss and LAE ratio</w:t>
      </w:r>
      <w:r>
        <w:rPr>
          <w:rFonts w:ascii="Arial" w:cs="Arial" w:eastAsia="Arial" w:hAnsi="Arial"/>
          <w:sz w:val="18"/>
          <w:szCs w:val="18"/>
          <w:color w:val="auto"/>
        </w:rPr>
        <w:t>, expressed as a percentage, is a non-GAAP financial measure defined as the ratio of losses and LAE, excluding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LAE related to the loss portfolio transfer (“LPT”) and all development on reserves fully or partially covered by the LPT, to net earned premiums. See “Reconciliation of Non-GAAP Financial Measures” for a reconciliation of adjusted loss ratio to loss ratio, which is the most directly comparable financial metric prepared in accordance with GAAP.</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Adjusted combined ratio </w:t>
      </w:r>
      <w:r>
        <w:rPr>
          <w:rFonts w:ascii="Arial" w:cs="Arial" w:eastAsia="Arial" w:hAnsi="Arial"/>
          <w:sz w:val="18"/>
          <w:szCs w:val="18"/>
          <w:color w:val="auto"/>
        </w:rPr>
        <w:t>is a non-GAAP financial measure defined as the sum of the adjusted loss ratio and the expense ratio. See “Reconciliation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Financial Measures” for a reconciliation of adjusted combined ratio to combined ratio, which is the most directly comparable financial metric prepared in accordance with GAAP.</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Adjusted operating income (loss) </w:t>
      </w:r>
      <w:r>
        <w:rPr>
          <w:rFonts w:ascii="Arial" w:cs="Arial" w:eastAsia="Arial" w:hAnsi="Arial"/>
          <w:sz w:val="18"/>
          <w:szCs w:val="18"/>
          <w:color w:val="auto"/>
        </w:rPr>
        <w:t>is a non-GAAP financial measure defined as net income excluding the net impact of the LPT, net realized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unrealized gains or losses on investments, goodwill impairment charges and other income and expenses. See “Reconciliation of Non-GAAP Financial Measures” for a reconciliation of adjusted operating income (loss) to net income (loss),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Return on equity </w:t>
      </w:r>
      <w:r>
        <w:rPr>
          <w:rFonts w:ascii="Arial" w:cs="Arial" w:eastAsia="Arial" w:hAnsi="Arial"/>
          <w:sz w:val="18"/>
          <w:szCs w:val="18"/>
          <w:color w:val="auto"/>
        </w:rPr>
        <w:t>is annualized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Adjusted return on equity </w:t>
      </w:r>
      <w:r>
        <w:rPr>
          <w:rFonts w:ascii="Arial" w:cs="Arial" w:eastAsia="Arial" w:hAnsi="Arial"/>
          <w:sz w:val="17"/>
          <w:szCs w:val="17"/>
          <w:color w:val="auto"/>
        </w:rPr>
        <w:t>is a non-GAAP financial measure defined as annualized adjusted operating income as a percentage of average beginning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ending stockholders’ equity during the applicable period. See “Reconciliation of Non-GAAP Financial Measures” for a reconciliation of adjusted return on equity to return on equity, which is the most directly comparable financial metric prepared in accordance with GAAP.</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Tangible stockholders’ equity </w:t>
      </w:r>
      <w:r>
        <w:rPr>
          <w:rFonts w:ascii="Arial" w:cs="Arial" w:eastAsia="Arial" w:hAnsi="Arial"/>
          <w:sz w:val="18"/>
          <w:szCs w:val="18"/>
          <w:color w:val="auto"/>
        </w:rPr>
        <w:t>is a non-GAAP financial measure defined as stockholders’ equity less goodwill and intangible assets.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 of Non-GAAP Financial Measures” for a reconciliation of tangible stockholders’ equity to stockholders’ equity, which is the most directly comparable financial metric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Return on tangible equity </w:t>
      </w:r>
      <w:r>
        <w:rPr>
          <w:rFonts w:ascii="Arial" w:cs="Arial" w:eastAsia="Arial" w:hAnsi="Arial"/>
          <w:sz w:val="17"/>
          <w:szCs w:val="17"/>
          <w:color w:val="auto"/>
        </w:rPr>
        <w:t>is a non-GAAP financial measure defined as annualized net income as a percentage of average beginning and ending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tangible stockholders’ equity during the applicable period. See “Reconciliation of Non-GAAP Financial Measures” for a reconciliation of return on tangible equity to return on equity, which is the most comparable financial metric prepared in accordance with GAAP.</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Adjusted return on tangible equity </w:t>
      </w:r>
      <w:r>
        <w:rPr>
          <w:rFonts w:ascii="Arial" w:cs="Arial" w:eastAsia="Arial" w:hAnsi="Arial"/>
          <w:sz w:val="18"/>
          <w:szCs w:val="18"/>
          <w:color w:val="auto"/>
        </w:rPr>
        <w:t>is a non-GAAP financial measure defined as annualized adjusted operating income as a percentage of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and ending tangible stockholders’ equity during the applicable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for the three and six months ended June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32"/>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421,994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326,227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782,492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608,869</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Ceded written premiums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(208,257)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(137,496)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(366,614)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(284,737)</w:t>
            </w: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written premiums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213,737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188,731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415,878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324,132</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34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rPr>
              <w:t>194,347</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146,076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rPr>
              <w:t>377,178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287,803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 and fee income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39"/>
        </w:trPr>
        <w:tc>
          <w:tcPr>
            <w:tcW w:w="4440" w:type="dxa"/>
            <w:vAlign w:val="bottom"/>
          </w:tcPr>
          <w:p>
            <w:pPr>
              <w:ind w:left="20"/>
              <w:spacing w:after="0"/>
              <w:rPr>
                <w:sz w:val="20"/>
                <w:szCs w:val="20"/>
                <w:color w:val="auto"/>
              </w:rPr>
            </w:pPr>
            <w:r>
              <w:rPr>
                <w:rFonts w:ascii="Arial" w:cs="Arial" w:eastAsia="Arial" w:hAnsi="Arial"/>
                <w:sz w:val="18"/>
                <w:szCs w:val="18"/>
                <w:color w:val="auto"/>
              </w:rPr>
              <w:t>Losses and LAE</w:t>
            </w:r>
          </w:p>
        </w:tc>
        <w:tc>
          <w:tcPr>
            <w:tcW w:w="3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124,405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91,801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239,305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181,790</w:t>
            </w: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56,683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44,383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108,338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84,918</w:t>
            </w:r>
          </w:p>
        </w:tc>
        <w:tc>
          <w:tcPr>
            <w:tcW w:w="0" w:type="dxa"/>
            <w:vAlign w:val="bottom"/>
          </w:tcPr>
          <w:p>
            <w:pPr>
              <w:spacing w:after="0"/>
              <w:rPr>
                <w:sz w:val="1"/>
                <w:szCs w:val="1"/>
                <w:color w:val="auto"/>
              </w:rPr>
            </w:pPr>
          </w:p>
        </w:tc>
      </w:tr>
      <w:tr>
        <w:trPr>
          <w:trHeight w:val="223"/>
        </w:trPr>
        <w:tc>
          <w:tcPr>
            <w:tcW w:w="4440" w:type="dxa"/>
            <w:vAlign w:val="bottom"/>
          </w:tcPr>
          <w:p>
            <w:pPr>
              <w:ind w:left="240"/>
              <w:spacing w:after="0" w:line="223" w:lineRule="exact"/>
              <w:rPr>
                <w:sz w:val="20"/>
                <w:szCs w:val="20"/>
                <w:color w:val="auto"/>
              </w:rPr>
            </w:pPr>
            <w:r>
              <w:rPr>
                <w:rFonts w:ascii="Arial" w:cs="Arial" w:eastAsia="Arial" w:hAnsi="Arial"/>
                <w:sz w:val="18"/>
                <w:szCs w:val="18"/>
                <w:color w:val="auto"/>
              </w:rPr>
              <w:t>Underwriting income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15,499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33,267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48"/>
        </w:trPr>
        <w:tc>
          <w:tcPr>
            <w:tcW w:w="4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8,583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10,530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13,229</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25,679</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5,351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(14,374)</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6,312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25,016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6,357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44,738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26,937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19,452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5,065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35,008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21,376</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16,017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16,420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31,503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36,237</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LAE ratio</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63.4 %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Expense ratio</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28.7 %</w:t>
            </w: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91.1 %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4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Adjusted loss and LAE ratio</w:t>
            </w:r>
            <w:r>
              <w:rPr>
                <w:rFonts w:ascii="Arial" w:cs="Arial" w:eastAsia="Arial" w:hAnsi="Arial"/>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63.6 %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63.2 %</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Expense ratio</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28.7 %</w:t>
            </w:r>
          </w:p>
        </w:tc>
      </w:tr>
      <w:tr>
        <w:trPr>
          <w:trHeight w:val="243"/>
        </w:trPr>
        <w:tc>
          <w:tcPr>
            <w:tcW w:w="4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combined ratio</w:t>
            </w:r>
            <w:r>
              <w:rPr>
                <w:rFonts w:ascii="Arial" w:cs="Arial" w:eastAsia="Arial" w:hAnsi="Arial"/>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91.3 %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equity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Annualized return on tangible equity</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18.3 %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12.9 %</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Annualized adjusted return on equity</w:t>
            </w:r>
            <w:r>
              <w:rPr>
                <w:rFonts w:ascii="Arial" w:cs="Arial" w:eastAsia="Arial" w:hAnsi="Arial"/>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95"/>
        </w:trPr>
        <w:tc>
          <w:tcPr>
            <w:tcW w:w="4440" w:type="dxa"/>
            <w:vAlign w:val="bottom"/>
          </w:tcPr>
          <w:p>
            <w:pPr>
              <w:ind w:left="20"/>
              <w:spacing w:after="0"/>
              <w:rPr>
                <w:sz w:val="20"/>
                <w:szCs w:val="20"/>
                <w:color w:val="auto"/>
              </w:rPr>
            </w:pPr>
            <w:r>
              <w:rPr>
                <w:rFonts w:ascii="Arial" w:cs="Arial" w:eastAsia="Arial" w:hAnsi="Arial"/>
                <w:sz w:val="18"/>
                <w:szCs w:val="18"/>
                <w:color w:val="auto"/>
              </w:rPr>
              <w:t>Annualized adjusted return on tangible equity</w:t>
            </w:r>
            <w:r>
              <w:rPr>
                <w:rFonts w:ascii="Arial" w:cs="Arial" w:eastAsia="Arial" w:hAnsi="Arial"/>
                <w:sz w:val="23"/>
                <w:szCs w:val="23"/>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15.1 %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16.5 %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21.8 %</w:t>
            </w:r>
          </w:p>
        </w:tc>
      </w:tr>
    </w:tbl>
    <w:p>
      <w:pPr>
        <w:ind w:left="180" w:hanging="154"/>
        <w:spacing w:after="0" w:line="207" w:lineRule="auto"/>
        <w:tabs>
          <w:tab w:leader="none" w:pos="180"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adjusted operating income to net income for the three and six months ended June 30,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89"/>
              </w:rPr>
              <w:t>Three months ended June 30,</w:t>
            </w: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12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88"/>
              </w:rPr>
              <w:t>Six months ended June 30,</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96"/>
              </w:rPr>
              <w:t>Pre-tax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Pre-tax</w:t>
            </w:r>
          </w:p>
        </w:tc>
        <w:tc>
          <w:tcPr>
            <w:tcW w:w="14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w w:val="96"/>
              </w:rPr>
              <w:t>Pre-tax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96"/>
              </w:rPr>
              <w:t>Pre-tax</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6"/>
              </w:rPr>
              <w:t>After-tax</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0" w:type="dxa"/>
            <w:vAlign w:val="bottom"/>
          </w:tcPr>
          <w:p>
            <w:pPr>
              <w:spacing w:after="0"/>
              <w:rPr>
                <w:sz w:val="1"/>
                <w:szCs w:val="1"/>
                <w:color w:val="auto"/>
              </w:rPr>
            </w:pPr>
          </w:p>
        </w:tc>
      </w:tr>
      <w:tr>
        <w:trPr>
          <w:trHeight w:val="237"/>
        </w:trPr>
        <w:tc>
          <w:tcPr>
            <w:tcW w:w="2500" w:type="dxa"/>
            <w:vAlign w:val="bottom"/>
          </w:tcPr>
          <w:p>
            <w:pPr>
              <w:ind w:left="2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impact of loss portfolio</w:t>
            </w: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4,227</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w:t>
            </w:r>
          </w:p>
        </w:tc>
        <w:tc>
          <w:tcPr>
            <w:tcW w:w="0" w:type="dxa"/>
            <w:vAlign w:val="bottom"/>
          </w:tcPr>
          <w:p>
            <w:pPr>
              <w:spacing w:after="0"/>
              <w:rPr>
                <w:sz w:val="1"/>
                <w:szCs w:val="1"/>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40,301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Income (Loss)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underwriting income (loss) to income (loss) before federal income tax for the three and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44,738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26,937</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(18,812)</w:t>
            </w: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Underwriting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15,499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33,267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Loss Ratio / Adjusted Combined Ratio</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adjusted loss and LAE ratio and adjusted combined ratio to the loss and LAE ratio and combined ratio for the three and six months ended June 30,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4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0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96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2"/>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287,803</w:t>
            </w:r>
          </w:p>
        </w:tc>
      </w:tr>
      <w:tr>
        <w:trPr>
          <w:trHeight w:val="229"/>
        </w:trPr>
        <w:tc>
          <w:tcPr>
            <w:tcW w:w="4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124,405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239,305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181,790</w:t>
            </w: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Pre-tax net impact of loss portfolio transfer</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losses and LAE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124,867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w:t>
            </w:r>
          </w:p>
        </w:tc>
      </w:tr>
      <w:tr>
        <w:trPr>
          <w:trHeight w:val="236"/>
        </w:trPr>
        <w:tc>
          <w:tcPr>
            <w:tcW w:w="4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64.0 %</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63.2 %</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Less: Net impact of LPT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Loss Ratio</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4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impact of LPT</w:t>
            </w:r>
          </w:p>
        </w:tc>
        <w:tc>
          <w:tcPr>
            <w:tcW w:w="3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Combined Ratio</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Stockholders’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tangible stockholders’ equity to stockholders’ equity for the periods ended June 30, 2023 and 2022:</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80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419,607</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Less: Goodwill and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90,603</w:t>
            </w:r>
          </w:p>
        </w:tc>
      </w:tr>
      <w:tr>
        <w:trPr>
          <w:trHeight w:val="25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Tangible 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433,497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329,004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annualized adjusted return on equity to annualized return on equity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3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annualized adjusted operating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64,068</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65,682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63,006</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72,475</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Denominator: average stockholders’ equity</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514,912</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424,113</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471,143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422,844</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adjusted return on equity</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54"/>
        </w:trPr>
        <w:tc>
          <w:tcPr>
            <w:tcW w:w="4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Tangible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Annualized return on tangible equity for the three and six months ended June 30, 2023 and 2022 reconciles to annualized return on equity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annualized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77,808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20,260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70,016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42,752</w:t>
            </w:r>
          </w:p>
        </w:tc>
      </w:tr>
      <w:tr>
        <w:trPr>
          <w:trHeight w:val="232"/>
        </w:trPr>
        <w:tc>
          <w:tcPr>
            <w:tcW w:w="444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425,570</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333,327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381,251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331,874</w:t>
            </w:r>
          </w:p>
        </w:tc>
      </w:tr>
      <w:tr>
        <w:trPr>
          <w:trHeight w:val="23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tangible equity</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54"/>
        </w:trPr>
        <w:tc>
          <w:tcPr>
            <w:tcW w:w="4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Tangible Equity</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Annualized adjusted return on tangible equity for the three and six months ended June 30, 2023 and 2022 reconciles to annualized return on equity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w w:val="96"/>
              </w:rPr>
              <w:t>Three months ended June 30,</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960" w:type="dxa"/>
            <w:vAlign w:val="bottom"/>
            <w:tcBorders>
              <w:top w:val="single" w:sz="8" w:color="auto"/>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2"/>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annualized adjusted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64,068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65,682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63,006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72,475</w:t>
            </w: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425,570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333,327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381,251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331,874</w:t>
            </w: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adjusted return on tangible equity</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29"/>
        </w:trPr>
        <w:tc>
          <w:tcPr>
            <w:tcW w:w="4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15.1 %</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gross written premiums by underwriting division for the three months ended June 30,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top w:val="single" w:sz="8" w:color="auto"/>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Property &amp; Agriculture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48.5 %</w:t>
            </w: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Industry Solutions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79,249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3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Captives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7,162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22.3 %</w:t>
            </w: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Professional Lines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82.8 %</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57.4 %</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Surety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36.0 %</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continuing business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422,304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Exited business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(117.7 %)</w:t>
            </w:r>
          </w:p>
        </w:tc>
      </w:tr>
      <w:tr>
        <w:trPr>
          <w:trHeight w:val="25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written premiums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421,994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gross written premiums by underwriting division for the six months ended June 30,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top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Property &amp; Agriculture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198,420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136,757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45.1 %</w:t>
            </w: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Industry Solutions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146,882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6.9 %</w:t>
            </w:r>
          </w:p>
        </w:tc>
      </w:tr>
      <w:tr>
        <w:trPr>
          <w:trHeight w:val="23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101,297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Captives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15,197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21.7 %</w:t>
            </w: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Professional Lines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66,161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89.5 %</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E&amp;S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92.3 %</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Surety</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50,922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43.3 %</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continuing business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782,559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178,239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Exited business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(101.5 %)</w:t>
            </w:r>
          </w:p>
        </w:tc>
      </w:tr>
      <w:tr>
        <w:trPr>
          <w:trHeight w:val="25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written premiums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782,492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608,869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173,623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second quarter and first half of 2023 increase in gross written premiums, when compared to the same 2022 periods, was primarily driven by double-digit premium growth in our transactional E&amp;S, global property and agriculture,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professional lines, surety and captives underwriting divisions</w:t>
      </w:r>
      <w:r>
        <w:rPr>
          <w:rFonts w:ascii="Arial" w:cs="Arial" w:eastAsia="Arial" w:hAnsi="Arial"/>
          <w:sz w:val="21"/>
          <w:szCs w:val="21"/>
          <w:color w:val="auto"/>
        </w:rPr>
        <w:t>.</w:t>
      </w:r>
      <w:r>
        <w:rPr>
          <w:rFonts w:ascii="Arial" w:cs="Arial" w:eastAsia="Arial" w:hAnsi="Arial"/>
          <w:sz w:val="18"/>
          <w:szCs w:val="18"/>
          <w:color w:val="auto"/>
        </w:rPr>
        <w:t xml:space="preserve"> The gross written premium increases were primarily driven by new business and rate increases. During the first half of 2023, we added new teams and products in our surety, captives, professional lines and global property and agriculture underwriting divisions.</w:t>
      </w:r>
    </w:p>
    <w:p>
      <w:pPr>
        <w:spacing w:after="0" w:line="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earned premiums for the second quarter of 2023 were $194.3 million compared to $146.1 million for the same 2022 period, an increase of $48.2 million or 33.0%. Net earned premiums for the first half of 2023 were $377.2 million compared to $287.8 million for the same 2022 period, an increase of $89.4 million or 31.1%. The increase in net earned premiums was primarily driven by the same reasons that drove the increases in gross written premiums discussed above. For additional information regarding our reinsurance programs, see the “Reinsurance” discussion included in this Item 2</w:t>
      </w:r>
      <w:r>
        <w:rPr>
          <w:rFonts w:ascii="Arial" w:cs="Arial" w:eastAsia="Arial" w:hAnsi="Arial"/>
          <w:sz w:val="16"/>
          <w:szCs w:val="16"/>
          <w:i w:val="1"/>
          <w:iCs w:val="1"/>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LAE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the loss and LAE ratio and adjusted loss and LAE ratio for the three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vMerge w:val="restart"/>
          </w:tcPr>
          <w:p>
            <w:pPr>
              <w:jc w:val="center"/>
              <w:ind w:right="580"/>
              <w:spacing w:after="0"/>
              <w:rPr>
                <w:sz w:val="20"/>
                <w:szCs w:val="20"/>
                <w:color w:val="auto"/>
              </w:rPr>
            </w:pPr>
            <w:r>
              <w:rPr>
                <w:rFonts w:ascii="Arial" w:cs="Arial" w:eastAsia="Arial" w:hAnsi="Arial"/>
                <w:sz w:val="18"/>
                <w:szCs w:val="18"/>
                <w:color w:val="auto"/>
                <w:w w:val="87"/>
              </w:rPr>
              <w:t>Losses</w:t>
            </w:r>
          </w:p>
        </w:tc>
        <w:tc>
          <w:tcPr>
            <w:tcW w:w="1220" w:type="dxa"/>
            <w:vAlign w:val="bottom"/>
          </w:tcPr>
          <w:p>
            <w:pPr>
              <w:jc w:val="center"/>
              <w:ind w:right="170"/>
              <w:spacing w:after="0" w:line="173" w:lineRule="exact"/>
              <w:rPr>
                <w:sz w:val="20"/>
                <w:szCs w:val="20"/>
                <w:color w:val="auto"/>
              </w:rPr>
            </w:pPr>
            <w:r>
              <w:rPr>
                <w:rFonts w:ascii="Arial" w:cs="Arial" w:eastAsia="Arial" w:hAnsi="Arial"/>
                <w:sz w:val="18"/>
                <w:szCs w:val="18"/>
                <w:color w:val="auto"/>
                <w:w w:val="99"/>
              </w:rPr>
              <w:t>%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73"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7"/>
              </w:rPr>
              <w:t>Net Earned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20"/>
                <w:szCs w:val="20"/>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and LAE</w:t>
            </w: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8"/>
              </w:rPr>
              <w:t>Premiums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and LAE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Premiums</w:t>
            </w:r>
          </w:p>
        </w:tc>
        <w:tc>
          <w:tcPr>
            <w:tcW w:w="0" w:type="dxa"/>
            <w:vAlign w:val="bottom"/>
          </w:tcPr>
          <w:p>
            <w:pPr>
              <w:spacing w:after="0"/>
              <w:rPr>
                <w:sz w:val="1"/>
                <w:szCs w:val="1"/>
                <w:color w:val="auto"/>
              </w:rPr>
            </w:pPr>
          </w:p>
        </w:tc>
      </w:tr>
      <w:tr>
        <w:trPr>
          <w:trHeight w:val="236"/>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118,062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60.7 %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91,801</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63"/>
        </w:trPr>
        <w:tc>
          <w:tcPr>
            <w:tcW w:w="5320" w:type="dxa"/>
            <w:vAlign w:val="bottom"/>
          </w:tcPr>
          <w:p>
            <w:pPr>
              <w:ind w:left="140"/>
              <w:spacing w:after="0"/>
              <w:rPr>
                <w:sz w:val="20"/>
                <w:szCs w:val="20"/>
                <w:color w:val="auto"/>
              </w:rPr>
            </w:pPr>
            <w:r>
              <w:rPr>
                <w:rFonts w:ascii="Arial" w:cs="Arial" w:eastAsia="Arial" w:hAnsi="Arial"/>
                <w:sz w:val="18"/>
                <w:szCs w:val="18"/>
                <w:color w:val="auto"/>
              </w:rPr>
              <w:t>Prior accident year development - LPT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4"/>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LAE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124,405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Adjusted losses and LAE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adjusted losses and LAE</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21"/>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Current accident year</w:t>
      </w:r>
    </w:p>
    <w:p>
      <w:pPr>
        <w:spacing w:after="0" w:line="32" w:lineRule="exact"/>
        <w:rPr>
          <w:rFonts w:ascii="Arial" w:cs="Arial" w:eastAsia="Arial" w:hAnsi="Arial"/>
          <w:sz w:val="16"/>
          <w:szCs w:val="16"/>
          <w:i w:val="1"/>
          <w:iCs w:val="1"/>
          <w:color w:val="auto"/>
          <w:vertAlign w:val="superscript"/>
        </w:rPr>
      </w:pPr>
    </w:p>
    <w:p>
      <w:pPr>
        <w:ind w:left="180" w:hanging="154"/>
        <w:spacing w:after="0" w:line="197" w:lineRule="auto"/>
        <w:tabs>
          <w:tab w:leader="none" w:pos="180" w:val="left"/>
        </w:tabs>
        <w:numPr>
          <w:ilvl w:val="0"/>
          <w:numId w:val="2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the loss and LAE ratio and adjusted loss and LAE ratio for the six months ended June 30,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center"/>
              <w:ind w:right="600"/>
              <w:spacing w:after="0" w:line="176" w:lineRule="exact"/>
              <w:rPr>
                <w:sz w:val="20"/>
                <w:szCs w:val="20"/>
                <w:color w:val="auto"/>
              </w:rPr>
            </w:pPr>
            <w:r>
              <w:rPr>
                <w:rFonts w:ascii="Arial" w:cs="Arial" w:eastAsia="Arial" w:hAnsi="Arial"/>
                <w:sz w:val="18"/>
                <w:szCs w:val="18"/>
                <w:color w:val="auto"/>
                <w:w w:val="84"/>
              </w:rPr>
              <w:t>Losses</w:t>
            </w:r>
          </w:p>
        </w:tc>
        <w:tc>
          <w:tcPr>
            <w:tcW w:w="122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0"/>
              </w:rPr>
              <w:t>Net Earned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Losses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9"/>
                <w:szCs w:val="19"/>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and LAE</w:t>
            </w: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8"/>
              </w:rPr>
              <w:t>Premiums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and LAE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Premiums</w:t>
            </w: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229,964</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60.9 %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181,790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10,045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63"/>
        </w:trPr>
        <w:tc>
          <w:tcPr>
            <w:tcW w:w="5320" w:type="dxa"/>
            <w:vAlign w:val="bottom"/>
          </w:tcPr>
          <w:p>
            <w:pPr>
              <w:ind w:left="140"/>
              <w:spacing w:after="0"/>
              <w:rPr>
                <w:sz w:val="20"/>
                <w:szCs w:val="20"/>
                <w:color w:val="auto"/>
              </w:rPr>
            </w:pPr>
            <w:r>
              <w:rPr>
                <w:rFonts w:ascii="Arial" w:cs="Arial" w:eastAsia="Arial" w:hAnsi="Arial"/>
                <w:sz w:val="18"/>
                <w:szCs w:val="18"/>
                <w:color w:val="auto"/>
              </w:rPr>
              <w:t>Prior accident year development - LPT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5"/>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LAE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239,305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Adjusted losses and LAE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229,964</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60.9 %</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181,790</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10,045</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adjusted losses and LAE</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181,790</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2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Current accident year</w:t>
      </w:r>
    </w:p>
    <w:p>
      <w:pPr>
        <w:spacing w:after="0" w:line="32" w:lineRule="exact"/>
        <w:rPr>
          <w:rFonts w:ascii="Arial" w:cs="Arial" w:eastAsia="Arial" w:hAnsi="Arial"/>
          <w:sz w:val="16"/>
          <w:szCs w:val="16"/>
          <w:i w:val="1"/>
          <w:iCs w:val="1"/>
          <w:color w:val="auto"/>
          <w:vertAlign w:val="superscript"/>
        </w:rPr>
      </w:pPr>
    </w:p>
    <w:p>
      <w:pPr>
        <w:ind w:left="180" w:hanging="154"/>
        <w:spacing w:after="0" w:line="197" w:lineRule="auto"/>
        <w:tabs>
          <w:tab w:leader="none" w:pos="180" w:val="left"/>
        </w:tabs>
        <w:numPr>
          <w:ilvl w:val="0"/>
          <w:numId w:val="2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loss ratio for the second quarter of 2023 increased 1.2 points when compared to the same 2022 period. Catastrophe losses from three large convective storm losses in the South in our global property and transactional E&amp;S divisions added 3.5 points to the current quarter loss ratio, compared to the second quarter of 2022 which was not impacted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catastrophe losses. The non-cat loss and LAE ratio improved 2.1 points when compared to the same 2022 period primarily driven by the shift in the mix of business and continued run-off of exited business.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ratio for the first half of 2023 increased 0.2 points when compared to the same 2022 period. Catastrophe losses from second quarter convective storms and first quarter wind and hail events, including tornadoes, added 2.7 points to the loss ratio compared to the first half of 2022, which was not impacted by catastrophe losses. The non-cat loss and LAE ratio improved 2.3 points when compared to the same 2022 period primarily driven by the shift in the mix of business and continued run-off of exited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the expense ratio for the three months ended June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3"/>
          </w:tcPr>
          <w:p>
            <w:pPr>
              <w:ind w:left="1080"/>
              <w:spacing w:after="0"/>
              <w:rPr>
                <w:sz w:val="20"/>
                <w:szCs w:val="20"/>
                <w:color w:val="auto"/>
              </w:rPr>
            </w:pPr>
            <w:r>
              <w:rPr>
                <w:rFonts w:ascii="Arial" w:cs="Arial" w:eastAsia="Arial" w:hAnsi="Arial"/>
                <w:sz w:val="18"/>
                <w:szCs w:val="18"/>
                <w:color w:val="auto"/>
                <w:w w:val="99"/>
              </w:rPr>
              <w:t>2022</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rPr>
              <w:t>Expenses</w:t>
            </w:r>
          </w:p>
        </w:tc>
        <w:tc>
          <w:tcPr>
            <w:tcW w:w="8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Premiums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policy acquisition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23,136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11.9 %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14,714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0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8"/>
                <w:szCs w:val="18"/>
                <w:b w:val="1"/>
                <w:bCs w:val="1"/>
                <w:color w:val="auto"/>
                <w:w w:val="98"/>
              </w:rPr>
              <w:t>33,547</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ind w:left="540"/>
              <w:spacing w:after="0"/>
              <w:rPr>
                <w:sz w:val="20"/>
                <w:szCs w:val="20"/>
                <w:color w:val="auto"/>
              </w:rPr>
            </w:pPr>
            <w:r>
              <w:rPr>
                <w:rFonts w:ascii="Arial" w:cs="Arial" w:eastAsia="Arial" w:hAnsi="Arial"/>
                <w:sz w:val="18"/>
                <w:szCs w:val="18"/>
                <w:color w:val="auto"/>
              </w:rPr>
              <w:t>29,669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56,683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44,383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Less: commission and fee income</w:t>
            </w:r>
          </w:p>
        </w:tc>
        <w:tc>
          <w:tcPr>
            <w:tcW w:w="200" w:type="dxa"/>
            <w:vAlign w:val="bottom"/>
          </w:tcPr>
          <w:p>
            <w:pPr>
              <w:spacing w:after="0"/>
              <w:rPr>
                <w:sz w:val="21"/>
                <w:szCs w:val="21"/>
                <w:color w:val="auto"/>
              </w:rPr>
            </w:pPr>
          </w:p>
        </w:tc>
        <w:tc>
          <w:tcPr>
            <w:tcW w:w="1100" w:type="dxa"/>
            <w:vAlign w:val="bottom"/>
          </w:tcPr>
          <w:p>
            <w:pPr>
              <w:ind w:left="560"/>
              <w:spacing w:after="0"/>
              <w:rPr>
                <w:sz w:val="20"/>
                <w:szCs w:val="20"/>
                <w:color w:val="auto"/>
              </w:rPr>
            </w:pPr>
            <w:r>
              <w:rPr>
                <w:rFonts w:ascii="Arial" w:cs="Arial" w:eastAsia="Arial" w:hAnsi="Arial"/>
                <w:sz w:val="18"/>
                <w:szCs w:val="18"/>
                <w:b w:val="1"/>
                <w:bCs w:val="1"/>
                <w:color w:val="auto"/>
                <w:w w:val="91"/>
              </w:rPr>
              <w:t>(2,240)</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w w:val="94"/>
              </w:rPr>
              <w:t>(2,060)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98"/>
              </w:rPr>
              <w:t>54,443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42,323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the expense ratio for the six months ended June 30,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3"/>
          </w:tcPr>
          <w:p>
            <w:pPr>
              <w:ind w:left="1080"/>
              <w:spacing w:after="0"/>
              <w:rPr>
                <w:sz w:val="20"/>
                <w:szCs w:val="20"/>
                <w:color w:val="auto"/>
              </w:rPr>
            </w:pPr>
            <w:r>
              <w:rPr>
                <w:rFonts w:ascii="Arial" w:cs="Arial" w:eastAsia="Arial" w:hAnsi="Arial"/>
                <w:sz w:val="18"/>
                <w:szCs w:val="18"/>
                <w:color w:val="auto"/>
                <w:w w:val="99"/>
              </w:rPr>
              <w:t>2022</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center"/>
              <w:ind w:right="190"/>
              <w:spacing w:after="0" w:line="182"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w w:val="98"/>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ind w:left="120"/>
              <w:spacing w:after="0"/>
              <w:rPr>
                <w:sz w:val="20"/>
                <w:szCs w:val="20"/>
                <w:color w:val="auto"/>
              </w:rPr>
            </w:pPr>
            <w:r>
              <w:rPr>
                <w:rFonts w:ascii="Arial" w:cs="Arial" w:eastAsia="Arial" w:hAnsi="Arial"/>
                <w:sz w:val="18"/>
                <w:szCs w:val="18"/>
                <w:color w:val="auto"/>
              </w:rPr>
              <w:t>Expenses</w:t>
            </w:r>
          </w:p>
        </w:tc>
        <w:tc>
          <w:tcPr>
            <w:tcW w:w="8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Premiums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policy acquisition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44,371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11.7 %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28,135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17.0 %</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56,783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108,338</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84,918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Less: commission and fee income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(3,732)</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w w:val="94"/>
              </w:rPr>
              <w:t>(2,290)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104,606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82,628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expense ratios for the second quarter and first half of 2023 improved 1.0 point, respectively, when compared to the same 2022 periods, primarily driven by improvements in the other operating and general expenses ratios due to the increase in earned premiums. Partially offsetting the improvements were increases in the net policy acquisition expense ratios due to the shift in our mix of business.</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expense ratios for the second quarter and first half of 2023 exclude the impact of IPO related stock compensation and secondary offering expenses, which are reported in other expenses in our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net investment income and net investment gains (losses) for the three months ended June 30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8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2"/>
              </w:rPr>
              <w:t>Net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90"/>
              <w:spacing w:after="0" w:line="176" w:lineRule="exact"/>
              <w:rPr>
                <w:sz w:val="20"/>
                <w:szCs w:val="20"/>
                <w:color w:val="auto"/>
              </w:rPr>
            </w:pPr>
            <w:r>
              <w:rPr>
                <w:rFonts w:ascii="Arial" w:cs="Arial" w:eastAsia="Arial" w:hAnsi="Arial"/>
                <w:sz w:val="18"/>
                <w:szCs w:val="18"/>
                <w:color w:val="auto"/>
              </w:rPr>
              <w:t>Annualized Net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5"/>
                <w:szCs w:val="15"/>
                <w:color w:val="auto"/>
              </w:rPr>
            </w:pPr>
          </w:p>
        </w:tc>
        <w:tc>
          <w:tcPr>
            <w:tcW w:w="14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Annualized Net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Income</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Yield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6,967</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902</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3"/>
                <w:szCs w:val="23"/>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unrealized gains (losses) on securities still held</w:t>
            </w: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8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5,017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(14,514)</w:t>
            </w: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gains</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Net investment gains (losses)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Excludes operating cash of $1 and $5,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234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net investment income and net investment gains (losses) for the six months ended June 30,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50"/>
              <w:spacing w:after="0" w:line="173" w:lineRule="exact"/>
              <w:rPr>
                <w:sz w:val="20"/>
                <w:szCs w:val="20"/>
                <w:color w:val="auto"/>
              </w:rPr>
            </w:pPr>
            <w:r>
              <w:rPr>
                <w:rFonts w:ascii="Arial" w:cs="Arial" w:eastAsia="Arial" w:hAnsi="Arial"/>
                <w:sz w:val="18"/>
                <w:szCs w:val="18"/>
                <w:color w:val="auto"/>
                <w:w w:val="92"/>
              </w:rPr>
              <w:t>Net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restart"/>
          </w:tcPr>
          <w:p>
            <w:pPr>
              <w:jc w:val="right"/>
              <w:ind w:right="90"/>
              <w:spacing w:after="0"/>
              <w:rPr>
                <w:sz w:val="20"/>
                <w:szCs w:val="20"/>
                <w:color w:val="auto"/>
              </w:rPr>
            </w:pPr>
            <w:r>
              <w:rPr>
                <w:rFonts w:ascii="Arial" w:cs="Arial" w:eastAsia="Arial" w:hAnsi="Arial"/>
                <w:sz w:val="18"/>
                <w:szCs w:val="18"/>
                <w:color w:val="auto"/>
              </w:rPr>
              <w:t>Annualized Net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0"/>
              <w:spacing w:after="0" w:line="173"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5"/>
                <w:szCs w:val="15"/>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rPr>
              <w:t>Annualized Net</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Income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Yield</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13,306</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0.7 %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120"/>
              <w:spacing w:after="0" w:line="223"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3"/>
                <w:szCs w:val="23"/>
                <w:color w:val="auto"/>
                <w:vertAlign w:val="superscript"/>
              </w:rPr>
              <w:t>(1)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13,227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unrealized gains (losses) on securities still held</w:t>
            </w: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260" w:type="dxa"/>
            <w:vAlign w:val="bottom"/>
            <w:tcBorders>
              <w:top w:val="single" w:sz="8" w:color="CCEEFF"/>
            </w:tcBorders>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 gains</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(2,472)</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Net investment gains (losses)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Excludes operating cash of $2 and $7,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investment income for the second quarter and first half of 2023 decreased $1.9 million and $12.5 million, respectively, when compared to the same 2022 periods. For the second quarter and first half of 2023, increased income from core fixed income and short-term and money market investments was offset by losses in opportunistic fixed income.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income from our core fixed income portfolio for the second quarter and first half of 2023 was due to (i) a larger asset base as we continued to increase our allocation to this part of our investment portfolio and (ii) higher net investment book yields of 3.6%, respectively, compared to 2.7% and 2.6%, respectively, for the same 2022 periods. The increase in income from short-term and money market investments for the second quarter and first half of 2023 was due to higher investment yields of 5.3% and 6.4%, respectively, compared to 0.4% and 0.2%, respectively, for the same 2022 periods. The opportunistic fixed income portfolio was impacted by a decline in the fair value of limited partnership investments for the second quarter and first half of 2023 when compared to the same 2022 periods.</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June 30, 2023 and determined that no credit impairment existed in the gross unrealized holding losses. See Note 2, “Investments” to our condensed consolidated financial statements included in Item 1 of this Form 10-Q for additional information.  </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Investment Portfolio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investment portfolio at carrying value at June 30, 2023 and December 31,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3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82"/>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center"/>
              <w:ind w:right="780"/>
              <w:spacing w:after="0" w:line="182" w:lineRule="exact"/>
              <w:rPr>
                <w:sz w:val="20"/>
                <w:szCs w:val="20"/>
                <w:color w:val="auto"/>
              </w:rPr>
            </w:pPr>
            <w:r>
              <w:rPr>
                <w:rFonts w:ascii="Arial" w:cs="Arial" w:eastAsia="Arial" w:hAnsi="Arial"/>
                <w:sz w:val="18"/>
                <w:szCs w:val="18"/>
                <w:color w:val="auto"/>
                <w:w w:val="90"/>
              </w:rPr>
              <w:t>Fair</w:t>
            </w:r>
          </w:p>
        </w:tc>
        <w:tc>
          <w:tcPr>
            <w:tcW w:w="1080" w:type="dxa"/>
            <w:vAlign w:val="bottom"/>
          </w:tcPr>
          <w:p>
            <w:pPr>
              <w:jc w:val="right"/>
              <w:ind w:right="470"/>
              <w:spacing w:after="0" w:line="182"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Fair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ind w:right="450"/>
              <w:spacing w:after="0" w:line="182" w:lineRule="exact"/>
              <w:rPr>
                <w:sz w:val="20"/>
                <w:szCs w:val="20"/>
                <w:color w:val="auto"/>
              </w:rPr>
            </w:pPr>
            <w:r>
              <w:rPr>
                <w:rFonts w:ascii="Arial" w:cs="Arial" w:eastAsia="Arial" w:hAnsi="Arial"/>
                <w:sz w:val="18"/>
                <w:szCs w:val="18"/>
                <w:color w:val="auto"/>
              </w:rPr>
              <w:t>% of</w:t>
            </w:r>
          </w:p>
        </w:tc>
      </w:tr>
      <w:tr>
        <w:trPr>
          <w:trHeight w:val="230"/>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Pr>
          <w:p>
            <w:pPr>
              <w:spacing w:after="0"/>
              <w:rPr>
                <w:sz w:val="20"/>
                <w:szCs w:val="20"/>
                <w:color w:val="auto"/>
              </w:rPr>
            </w:pPr>
          </w:p>
        </w:tc>
        <w:tc>
          <w:tcPr>
            <w:tcW w:w="154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value</w:t>
            </w: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2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190,674</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121,268</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9"/>
        </w:trPr>
        <w:tc>
          <w:tcPr>
            <w:tcW w:w="530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767,491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56.1 %</w:t>
            </w:r>
          </w:p>
        </w:tc>
      </w:tr>
      <w:tr>
        <w:trPr>
          <w:trHeight w:val="23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168,921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196,021</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Equities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163,715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12.7 %</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157,506</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r>
      <w:tr>
        <w:trPr>
          <w:trHeight w:val="256"/>
        </w:trPr>
        <w:tc>
          <w:tcPr>
            <w:tcW w:w="5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investment portfolio</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1,290,801</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fixed income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core fixed income portfolio consists primarily of investment grade fixed income securities which are predominantly highly-rated and liquid bonds. Our objective is to earn attractive risk-adjusted returns with a low risk of loss of principal. The portfolio is managed by third party managers. The average duration of the portfolio was approximately 4.2 years and 4.3 years, respectively, as of June 30, 2023 and December 31, 2022.</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core fixed income portfolio at June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69"/>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310"/>
              <w:spacing w:after="0" w:line="169" w:lineRule="exact"/>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290"/>
              <w:spacing w:after="0" w:line="169" w:lineRule="exact"/>
              <w:rPr>
                <w:sz w:val="20"/>
                <w:szCs w:val="20"/>
                <w:color w:val="auto"/>
              </w:rPr>
            </w:pPr>
            <w:r>
              <w:rPr>
                <w:rFonts w:ascii="Arial" w:cs="Arial" w:eastAsia="Arial" w:hAnsi="Arial"/>
                <w:sz w:val="18"/>
                <w:szCs w:val="18"/>
                <w:color w:val="auto"/>
              </w:rPr>
              <w:t>% of total</w:t>
            </w:r>
          </w:p>
        </w:tc>
      </w:tr>
      <w:tr>
        <w:trPr>
          <w:trHeight w:val="23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293,560</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38.3 %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235,129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38.7 %</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70,973</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196,946</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119,856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19.7 %</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17,979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143,550</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18.7 %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109,824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18.1 %</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fixed income securities, available-for-sale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767,491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credit rating of the portfolio was “AA” by Standard &amp; Poor’s Financial Services, LLC (“Standard &amp; Poor’s”) at June 30, 2023 and December 31, 2022. The following table sets forth the credit quality of our core fixed income portfolio at June 30, 2023 and December 31, 2022, as rated by Standard &amp; Poor’s or equivalent designation: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9"/>
              </w:rPr>
              <w:t>2022</w:t>
            </w:r>
          </w:p>
        </w:tc>
      </w:tr>
      <w:tr>
        <w:trPr>
          <w:trHeight w:val="227"/>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19"/>
                <w:szCs w:val="19"/>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8"/>
                <w:szCs w:val="18"/>
                <w:color w:val="auto"/>
              </w:rPr>
              <w:t>Fair value</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283,733</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91,586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74,604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12.3 %</w:t>
            </w:r>
          </w:p>
        </w:tc>
      </w:tr>
      <w:tr>
        <w:trPr>
          <w:trHeight w:val="23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91,621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88,369</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and Lower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core fixed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767,491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607,572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Opportunistic fixed income</w:t>
      </w:r>
    </w:p>
    <w:p>
      <w:pPr>
        <w:spacing w:after="0" w:line="11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The opportunistic fixed income portfolio is managed by Arena which is affiliated with Westaim, our largest stockholder. The opportunistic fixed income portfolio consists of separately managed accounts, limited partnerships, promissory notes and equity interests. The underlying securities are primarily floating rate senior secured loans, comprised of short duration, collateralized, asset-oriented credit investments designed to generate attractive risk-adjusted returns. The limited partnerships are subject to future increases or decreases in asset value as asset values are monetized and the income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 distributed. As of June 30, 2023, the opportunistic fixed income portfolio consisted of three components: diversified asset based lending (55.6%), commercial mortgage loans (27.9%) and cash and cash equivalents (16.5%).</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our opportunistic fixed income portfolio by industry sector at June 30, 2023 and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82"/>
        </w:trPr>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center"/>
              <w:ind w:right="760"/>
              <w:spacing w:after="0" w:line="182" w:lineRule="exact"/>
              <w:rPr>
                <w:sz w:val="20"/>
                <w:szCs w:val="20"/>
                <w:color w:val="auto"/>
              </w:rPr>
            </w:pPr>
            <w:r>
              <w:rPr>
                <w:rFonts w:ascii="Arial" w:cs="Arial" w:eastAsia="Arial" w:hAnsi="Arial"/>
                <w:sz w:val="18"/>
                <w:szCs w:val="18"/>
                <w:color w:val="auto"/>
                <w:w w:val="90"/>
              </w:rPr>
              <w:t>Fair</w:t>
            </w:r>
          </w:p>
        </w:tc>
        <w:tc>
          <w:tcPr>
            <w:tcW w:w="1100" w:type="dxa"/>
            <w:vAlign w:val="bottom"/>
          </w:tcPr>
          <w:p>
            <w:pPr>
              <w:jc w:val="right"/>
              <w:ind w:right="470"/>
              <w:spacing w:after="0" w:line="182"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470"/>
              <w:spacing w:after="0" w:line="182" w:lineRule="exact"/>
              <w:rPr>
                <w:sz w:val="20"/>
                <w:szCs w:val="20"/>
                <w:color w:val="auto"/>
              </w:rPr>
            </w:pPr>
            <w:r>
              <w:rPr>
                <w:rFonts w:ascii="Arial" w:cs="Arial" w:eastAsia="Arial" w:hAnsi="Arial"/>
                <w:sz w:val="18"/>
                <w:szCs w:val="18"/>
                <w:color w:val="auto"/>
              </w:rPr>
              <w:t>% of</w:t>
            </w:r>
          </w:p>
        </w:tc>
      </w:tr>
      <w:tr>
        <w:trPr>
          <w:trHeight w:val="230"/>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20"/>
                <w:szCs w:val="20"/>
                <w:color w:val="auto"/>
              </w:rPr>
            </w:pPr>
          </w:p>
        </w:tc>
        <w:tc>
          <w:tcPr>
            <w:tcW w:w="152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Value</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Oil &amp; Gas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18,585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20,725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10.6 %</w:t>
            </w:r>
          </w:p>
        </w:tc>
      </w:tr>
      <w:tr>
        <w:trPr>
          <w:trHeight w:val="23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Banking, Finance &amp; Insurance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14,121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Other sectors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17.4 %</w:t>
            </w:r>
          </w:p>
        </w:tc>
      </w:tr>
      <w:tr>
        <w:trPr>
          <w:trHeight w:val="243"/>
        </w:trPr>
        <w:tc>
          <w:tcPr>
            <w:tcW w:w="53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27,771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Opportunistic fixed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168,921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sectors primarily includes Aerospace &amp; Defense, Business Services, Retail, Commercial &amp; Industrial and Environmental.</w:t>
      </w:r>
    </w:p>
    <w:p>
      <w:pPr>
        <w:spacing w:after="0" w:line="153" w:lineRule="exact"/>
        <w:rPr>
          <w:rFonts w:ascii="Arial" w:cs="Arial" w:eastAsia="Arial" w:hAnsi="Arial"/>
          <w:sz w:val="16"/>
          <w:szCs w:val="16"/>
          <w:i w:val="1"/>
          <w:iCs w:val="1"/>
          <w:color w:val="auto"/>
          <w:vertAlign w:val="superscript"/>
        </w:rPr>
      </w:pPr>
    </w:p>
    <w:p>
      <w:pPr>
        <w:ind w:left="160" w:hanging="134"/>
        <w:spacing w:after="0"/>
        <w:tabs>
          <w:tab w:leader="none" w:pos="160" w:val="left"/>
        </w:tabs>
        <w:numPr>
          <w:ilvl w:val="0"/>
          <w:numId w:val="2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cash on settlements that have not yet been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average duration of the direct loans in the portfolio is approximately 1.4 years and 1.4 years as of June 30, 2023 and December 31,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equities portfolio primarily consists of domestic preferred stocks, common equities, exchange traded funds, limited partnerships, limited liability corporations and other types of equity interests, 78.1% of which are publicly traded. The portfolio is directed internally and includes both self-managed investments and portfolios managed by third-party investment management firms.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equities portfolio by security type at June 30,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73"/>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920"/>
              <w:spacing w:after="0" w:line="173" w:lineRule="exact"/>
              <w:rPr>
                <w:sz w:val="20"/>
                <w:szCs w:val="20"/>
                <w:color w:val="auto"/>
              </w:rPr>
            </w:pPr>
            <w:r>
              <w:rPr>
                <w:rFonts w:ascii="Arial" w:cs="Arial" w:eastAsia="Arial" w:hAnsi="Arial"/>
                <w:sz w:val="18"/>
                <w:szCs w:val="18"/>
                <w:color w:val="auto"/>
              </w:rPr>
              <w:t>Fair</w:t>
            </w:r>
          </w:p>
        </w:tc>
        <w:tc>
          <w:tcPr>
            <w:tcW w:w="11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 of total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 of total</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37"/>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common equities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48.8 %</w:t>
            </w: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International common equities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34,468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21.9 %</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3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35,854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37,337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23.7 %</w:t>
            </w:r>
          </w:p>
        </w:tc>
      </w:tr>
      <w:tr>
        <w:trPr>
          <w:trHeight w:val="248"/>
        </w:trPr>
        <w:tc>
          <w:tcPr>
            <w:tcW w:w="5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includes limited partnerships, limited liability companies and 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expense for the three and six months ended June 30, 2023 was $5.6 million and $9.7 million, respectively, compared to $1.3 million and $5.6 million, respectively, for the same 2022 periods. Our effective tax rate for the three and six months ended June 30, 2023 was 22.2% and 21.7%, respectively, compared to 20.3% and 20.6%, respectively, for the same 2022 periods. For additional information, see Note 9 of our condensed consolidated financial statements included in Item 1 of this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technology systems. We use reinsurance to manage the risk that we take on our policies. We cede, or pay out, part of the premiums we receive to our reinsurers and collect cash back when losses subject to our reinsurance coverage are paid.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six months ended June 30, 2023 and 2022 were: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108,477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64,016</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(75,676)</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66,455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 and restricted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(23,152)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cash provided by operating activities in 2023 and 2022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in 2023 and 2022 was primarily driven by purchases of fixed maturity securities and short-term investments.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in 2023 was primarily from proceeds of $66.3 million from our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29, 2023, we entered into an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first quarter of 2023, we drew $50.0 million on the Revolving Credit Facility and used the proceeds to pay off the principal on our existing term loan. In connection with our entry into the Revolving Credit Facility, we terminated the existing term loan and revolving line of credit pursuant to our Credit Agreement dated as of December 11, 2019, with Prosperity Bank.</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At June 30, 2023, the six-month SOFR on the Revolving Credit Facility was 4.66%, plus a margin of 1.60%.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covenants on the Revolving Credit Facility based on minimum net worth, maximum debt to capital ratio, minimum A.M. Best Rating and minimum liquidity. As of June 30, 2023, we are in compliance with all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Preferred</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The Trust Preferred are an unsecured obligation, are redeemable, and have a maturity date of September 15, 2036. Interest on the Trust Preferred is payable quarterly at an annual rate based on the three-month LIBOR (5.55% and 4.77% at June 30, 2023 and December 31, 2022, respectively), plus 3.4%.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2019, we issued unsecured subordinated notes (the “Notes”) with an aggregate principal amount of $20.0 million. Interest on the subordinated notes is 7.25% fixed for the first eight years and 8.25% fixed thereafter. Early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retirement of the debt ahead of the eight-year commitment requires all interest payments to be paid in full, as well as the return of all capital. Principal payment is due at maturity on May 24, 2039 and interest is payable quarterly.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June 30, 2023 the ratio of total debt outstanding, including the Revolving Credit Facility, the Trust Preferred and the Notes, to total capitalization (defined as total debt plus stockholders’ equity) was 19.8% and at December 31, 2022, the ratio of total debt outstanding, including the Term Loan, the Revolver, the Trust Preferred and the Notes, to total capitalization was 23.4%.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16" w:lineRule="exact"/>
        <w:rPr>
          <w:sz w:val="20"/>
          <w:szCs w:val="20"/>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Quota share reinsurance </w:t>
      </w:r>
      <w:r>
        <w:rPr>
          <w:rFonts w:ascii="Arial" w:cs="Arial" w:eastAsia="Arial" w:hAnsi="Arial"/>
          <w:sz w:val="16"/>
          <w:szCs w:val="16"/>
          <w:color w:val="auto"/>
        </w:rPr>
        <w:t>refers to a reinsurance contract whereby the reinsurer agrees to assume a specified percentage of the ceding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arising out of a defined class of business in exchange for a corresponding percentage of premiums, net of a ceding commission.</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Excess of loss reinsurance </w:t>
      </w:r>
      <w:r>
        <w:rPr>
          <w:rFonts w:ascii="Arial" w:cs="Arial" w:eastAsia="Arial" w:hAnsi="Arial"/>
          <w:sz w:val="18"/>
          <w:szCs w:val="18"/>
          <w:color w:val="auto"/>
        </w:rPr>
        <w:t>refers to a reinsurance contract whereby the reinsurer agrees to assume all or a portion of the ceding company’s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 individual claim or an event in excess of a specified amount in exchange for a premium payable amount negotiated between the parties, which includes our catastrophe reinsurance program.</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Facultative coverage </w:t>
      </w:r>
      <w:r>
        <w:rPr>
          <w:rFonts w:ascii="Arial" w:cs="Arial" w:eastAsia="Arial" w:hAnsi="Arial"/>
          <w:sz w:val="17"/>
          <w:szCs w:val="17"/>
          <w:color w:val="auto"/>
        </w:rPr>
        <w:t>refers to a reinsurance contract on individual risks as opposed to a group or class of business. It is used for a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reasons, including supplementing the limits provided by the treaty coverage or covering risks or perils excluded from treaty reinsurance.</w:t>
      </w:r>
    </w:p>
    <w:p>
      <w:pPr>
        <w:spacing w:after="0" w:line="3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For the three and six months ended June 30, 2023 our net retention on a written basis (calculated as net written premiums as a percentage of gross written premiums) was 50.6% and 53.1%, respectively, compared to 57.9% and 53.2%, respectively, for the same 2022 periods.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reinsurance programs as of June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$0.88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Commercial Auto</w:t>
            </w:r>
            <w:r>
              <w:rPr>
                <w:rFonts w:ascii="Arial" w:cs="Arial" w:eastAsia="Arial" w:hAnsi="Arial"/>
                <w:sz w:val="23"/>
                <w:szCs w:val="23"/>
                <w:color w:val="auto"/>
                <w:vertAlign w:val="superscript"/>
              </w:rPr>
              <w:t>(1)</w:t>
            </w:r>
          </w:p>
        </w:tc>
        <w:tc>
          <w:tcPr>
            <w:tcW w:w="2840" w:type="dxa"/>
            <w:vAlign w:val="bottom"/>
          </w:tcPr>
          <w:p>
            <w:pPr>
              <w:ind w:left="20"/>
              <w:spacing w:after="0"/>
              <w:rPr>
                <w:sz w:val="20"/>
                <w:szCs w:val="20"/>
                <w:color w:val="auto"/>
              </w:rPr>
            </w:pPr>
            <w:r>
              <w:rPr>
                <w:rFonts w:ascii="Arial" w:cs="Arial" w:eastAsia="Arial" w:hAnsi="Arial"/>
                <w:sz w:val="18"/>
                <w:szCs w:val="18"/>
                <w:color w:val="auto"/>
              </w:rPr>
              <w:t>$0.60 million per occurrence</w:t>
            </w:r>
          </w:p>
        </w:tc>
      </w:tr>
      <w:tr>
        <w:trPr>
          <w:trHeight w:val="243"/>
        </w:trPr>
        <w:tc>
          <w:tcPr>
            <w:tcW w:w="84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Excess Casualty</w:t>
            </w:r>
            <w:r>
              <w:rPr>
                <w:rFonts w:ascii="Arial" w:cs="Arial" w:eastAsia="Arial" w:hAnsi="Arial"/>
                <w:sz w:val="23"/>
                <w:szCs w:val="23"/>
                <w:color w:val="auto"/>
                <w:vertAlign w:val="superscript"/>
              </w:rPr>
              <w:t>(1)(2)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General Liability</w:t>
            </w:r>
            <w:r>
              <w:rPr>
                <w:rFonts w:ascii="Arial" w:cs="Arial" w:eastAsia="Arial" w:hAnsi="Arial"/>
                <w:sz w:val="23"/>
                <w:szCs w:val="23"/>
                <w:color w:val="auto"/>
                <w:vertAlign w:val="superscript"/>
              </w:rPr>
              <w:t>(1)</w:t>
            </w:r>
          </w:p>
        </w:tc>
        <w:tc>
          <w:tcPr>
            <w:tcW w:w="2840" w:type="dxa"/>
            <w:vAlign w:val="bottom"/>
          </w:tcPr>
          <w:p>
            <w:pPr>
              <w:ind w:left="20"/>
              <w:spacing w:after="0"/>
              <w:rPr>
                <w:sz w:val="20"/>
                <w:szCs w:val="20"/>
                <w:color w:val="auto"/>
              </w:rPr>
            </w:pPr>
            <w:r>
              <w:rPr>
                <w:rFonts w:ascii="Arial" w:cs="Arial" w:eastAsia="Arial" w:hAnsi="Arial"/>
                <w:sz w:val="18"/>
                <w:szCs w:val="18"/>
                <w:color w:val="auto"/>
              </w:rPr>
              <w:t>$1.25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Professional Lines</w:t>
            </w:r>
            <w:r>
              <w:rPr>
                <w:rFonts w:ascii="Arial" w:cs="Arial" w:eastAsia="Arial" w:hAnsi="Arial"/>
                <w:sz w:val="23"/>
                <w:szCs w:val="23"/>
                <w:color w:val="auto"/>
                <w:vertAlign w:val="superscript"/>
              </w:rPr>
              <w:t>(2)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$2.70 million per occurrence</w:t>
            </w:r>
          </w:p>
        </w:tc>
      </w:tr>
      <w:tr>
        <w:trPr>
          <w:trHeight w:val="243"/>
        </w:trPr>
        <w:tc>
          <w:tcPr>
            <w:tcW w:w="8400" w:type="dxa"/>
            <w:vAlign w:val="bottom"/>
          </w:tcPr>
          <w:p>
            <w:pPr>
              <w:ind w:left="20"/>
              <w:spacing w:after="0" w:line="243" w:lineRule="exact"/>
              <w:rPr>
                <w:sz w:val="20"/>
                <w:szCs w:val="20"/>
                <w:color w:val="auto"/>
              </w:rPr>
            </w:pPr>
            <w:r>
              <w:rPr>
                <w:rFonts w:ascii="Arial" w:cs="Arial" w:eastAsia="Arial" w:hAnsi="Arial"/>
                <w:sz w:val="18"/>
                <w:szCs w:val="18"/>
                <w:color w:val="auto"/>
              </w:rPr>
              <w:t>Property</w:t>
            </w:r>
            <w:r>
              <w:rPr>
                <w:rFonts w:ascii="Arial" w:cs="Arial" w:eastAsia="Arial" w:hAnsi="Arial"/>
                <w:sz w:val="23"/>
                <w:szCs w:val="23"/>
                <w:color w:val="auto"/>
                <w:vertAlign w:val="superscript"/>
              </w:rPr>
              <w:t>(3)</w:t>
            </w:r>
          </w:p>
        </w:tc>
        <w:tc>
          <w:tcPr>
            <w:tcW w:w="2840" w:type="dxa"/>
            <w:vAlign w:val="bottom"/>
          </w:tcPr>
          <w:p>
            <w:pPr>
              <w:ind w:left="20"/>
              <w:spacing w:after="0"/>
              <w:rPr>
                <w:sz w:val="20"/>
                <w:szCs w:val="20"/>
                <w:color w:val="auto"/>
              </w:rPr>
            </w:pPr>
            <w:r>
              <w:rPr>
                <w:rFonts w:ascii="Arial" w:cs="Arial" w:eastAsia="Arial" w:hAnsi="Arial"/>
                <w:sz w:val="18"/>
                <w:szCs w:val="18"/>
                <w:color w:val="auto"/>
              </w:rPr>
              <w:t>$2.80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Surety</w:t>
            </w:r>
            <w:r>
              <w:rPr>
                <w:rFonts w:ascii="Arial" w:cs="Arial" w:eastAsia="Arial" w:hAnsi="Arial"/>
                <w:sz w:val="23"/>
                <w:szCs w:val="23"/>
                <w:color w:val="auto"/>
                <w:vertAlign w:val="superscript"/>
              </w:rPr>
              <w:t>(2)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$3.00 million per occurrence</w:t>
            </w:r>
          </w:p>
        </w:tc>
      </w:tr>
      <w:tr>
        <w:trPr>
          <w:trHeight w:val="229"/>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Workers’ Compensation</w:t>
            </w:r>
            <w:r>
              <w:rPr>
                <w:rFonts w:ascii="Arial" w:cs="Arial" w:eastAsia="Arial" w:hAnsi="Arial"/>
                <w:sz w:val="23"/>
                <w:szCs w:val="23"/>
                <w:color w:val="auto"/>
                <w:vertAlign w:val="superscript"/>
              </w:rPr>
              <w:t>(2)</w:t>
            </w:r>
          </w:p>
        </w:tc>
        <w:tc>
          <w:tcPr>
            <w:tcW w:w="2840" w:type="dxa"/>
            <w:vAlign w:val="bottom"/>
          </w:tcPr>
          <w:p>
            <w:pPr>
              <w:ind w:left="20"/>
              <w:spacing w:after="0"/>
              <w:rPr>
                <w:sz w:val="20"/>
                <w:szCs w:val="20"/>
                <w:color w:val="auto"/>
              </w:rPr>
            </w:pPr>
            <w:r>
              <w:rPr>
                <w:rFonts w:ascii="Arial" w:cs="Arial" w:eastAsia="Arial" w:hAnsi="Arial"/>
                <w:sz w:val="18"/>
                <w:szCs w:val="18"/>
                <w:color w:val="auto"/>
              </w:rPr>
              <w:t>$1.55 million per occurrence</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Cyber</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$2.69 million per occurrence</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Representation and Warranty</w:t>
            </w:r>
          </w:p>
        </w:tc>
        <w:tc>
          <w:tcPr>
            <w:tcW w:w="2840" w:type="dxa"/>
            <w:vAlign w:val="bottom"/>
          </w:tcPr>
          <w:p>
            <w:pPr>
              <w:ind w:left="20"/>
              <w:spacing w:after="0"/>
              <w:rPr>
                <w:sz w:val="20"/>
                <w:szCs w:val="20"/>
                <w:color w:val="auto"/>
              </w:rPr>
            </w:pPr>
            <w:r>
              <w:rPr>
                <w:rFonts w:ascii="Arial" w:cs="Arial" w:eastAsia="Arial" w:hAnsi="Arial"/>
                <w:sz w:val="18"/>
                <w:szCs w:val="18"/>
                <w:color w:val="auto"/>
              </w:rPr>
              <w:t>$2.50 million per occurrence</w:t>
            </w:r>
          </w:p>
        </w:tc>
      </w:tr>
    </w:tbl>
    <w:p>
      <w:pPr>
        <w:spacing w:after="0" w:line="23" w:lineRule="exact"/>
        <w:rPr>
          <w:sz w:val="20"/>
          <w:szCs w:val="20"/>
          <w:color w:val="auto"/>
        </w:rPr>
      </w:pPr>
    </w:p>
    <w:p>
      <w:pPr>
        <w:ind w:left="180" w:hanging="154"/>
        <w:spacing w:after="0"/>
        <w:tabs>
          <w:tab w:leader="none" w:pos="18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Legal defense expenses can force exposure above the maximum company retention for Excess Casualty, Commercial Auto and General Liability.</w:t>
      </w:r>
    </w:p>
    <w:p>
      <w:pPr>
        <w:spacing w:after="0" w:line="32" w:lineRule="exact"/>
        <w:rPr>
          <w:rFonts w:ascii="Arial" w:cs="Arial" w:eastAsia="Arial" w:hAnsi="Arial"/>
          <w:sz w:val="18"/>
          <w:szCs w:val="18"/>
          <w:i w:val="1"/>
          <w:iCs w:val="1"/>
          <w:color w:val="auto"/>
          <w:vertAlign w:val="superscript"/>
        </w:rPr>
      </w:pPr>
    </w:p>
    <w:p>
      <w:pPr>
        <w:ind w:left="180" w:hanging="154"/>
        <w:spacing w:after="0" w:line="197" w:lineRule="auto"/>
        <w:tabs>
          <w:tab w:leader="none" w:pos="180"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Reinsurance is subject to a loss ratio cap or aggregate level of loss cover that exceeds a modeled 1:250-year PML event.</w:t>
      </w:r>
    </w:p>
    <w:p>
      <w:pPr>
        <w:spacing w:after="0" w:line="19" w:lineRule="exact"/>
        <w:rPr>
          <w:rFonts w:ascii="Arial" w:cs="Arial" w:eastAsia="Arial" w:hAnsi="Arial"/>
          <w:sz w:val="18"/>
          <w:szCs w:val="18"/>
          <w:i w:val="1"/>
          <w:iCs w:val="1"/>
          <w:color w:val="auto"/>
          <w:vertAlign w:val="superscript"/>
        </w:rPr>
      </w:pPr>
    </w:p>
    <w:p>
      <w:pPr>
        <w:ind w:left="180" w:hanging="154"/>
        <w:spacing w:after="0"/>
        <w:tabs>
          <w:tab w:leader="none" w:pos="180" w:val="left"/>
        </w:tabs>
        <w:numPr>
          <w:ilvl w:val="0"/>
          <w:numId w:val="26"/>
        </w:numPr>
        <w:rPr>
          <w:rFonts w:ascii="Arial" w:cs="Arial" w:eastAsia="Arial" w:hAnsi="Arial"/>
          <w:sz w:val="9"/>
          <w:szCs w:val="9"/>
          <w:i w:val="1"/>
          <w:iCs w:val="1"/>
          <w:color w:val="auto"/>
        </w:rPr>
      </w:pPr>
      <w:r>
        <w:rPr>
          <w:rFonts w:ascii="Arial" w:cs="Arial" w:eastAsia="Arial" w:hAnsi="Arial"/>
          <w:sz w:val="14"/>
          <w:szCs w:val="14"/>
          <w:i w:val="1"/>
          <w:iCs w:val="1"/>
          <w:color w:val="auto"/>
        </w:rPr>
        <w:t>Catastrophe loss protection is purchased up to $28.0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Financial Strength Ratings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30, 2022, A.M. Best affirmed Skyward Specialty’s financial strength rating of A- (Excellent) with a stable outlook.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June 30,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during the last fiscal quarter that have materially affected, or are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June 30, 2023 from those disclosed in our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quarter ended June 30, 2023,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3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4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14"/>
                <w:szCs w:val="14"/>
                <w:color w:val="auto"/>
              </w:rPr>
            </w:pPr>
          </w:p>
        </w:tc>
        <w:tc>
          <w:tcPr>
            <w:tcW w:w="9880" w:type="dxa"/>
            <w:vAlign w:val="bottom"/>
            <w:gridSpan w:val="13"/>
          </w:tcPr>
          <w:p>
            <w:pPr>
              <w:spacing w:after="0" w:line="169"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11"/>
                <w:szCs w:val="11"/>
                <w:color w:val="auto"/>
              </w:rPr>
            </w:pPr>
          </w:p>
        </w:tc>
        <w:tc>
          <w:tcPr>
            <w:tcW w:w="3860" w:type="dxa"/>
            <w:vAlign w:val="bottom"/>
            <w:tcBorders>
              <w:top w:val="single" w:sz="8" w:color="0000FF"/>
              <w:bottom w:val="single" w:sz="8" w:color="0000FF"/>
            </w:tcBorders>
            <w:gridSpan w:val="3"/>
          </w:tcPr>
          <w:p>
            <w:pPr>
              <w:spacing w:after="0" w:line="129" w:lineRule="exact"/>
              <w:rPr>
                <w:rFonts w:ascii="Arial" w:cs="Arial" w:eastAsia="Arial" w:hAnsi="Arial"/>
                <w:sz w:val="13"/>
                <w:szCs w:val="13"/>
                <w:color w:val="0000FF"/>
              </w:rPr>
            </w:pPr>
            <w:hyperlink r:id="rId70">
              <w:r>
                <w:rPr>
                  <w:rFonts w:ascii="Arial" w:cs="Arial" w:eastAsia="Arial" w:hAnsi="Arial"/>
                  <w:sz w:val="13"/>
                  <w:szCs w:val="13"/>
                  <w:color w:val="0000FF"/>
                </w:rPr>
                <w:t>8-K filed with the Commission on January 18, 2023).</w:t>
              </w:r>
            </w:hyperlink>
          </w:p>
        </w:tc>
        <w:tc>
          <w:tcPr>
            <w:tcW w:w="5920" w:type="dxa"/>
            <w:vAlign w:val="bottom"/>
            <w:tcBorders>
              <w:top w:val="single" w:sz="8" w:color="0000FF"/>
            </w:tcBorders>
            <w:gridSpan w:val="8"/>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80" w:type="dxa"/>
            <w:vAlign w:val="bottom"/>
            <w:gridSpan w:val="13"/>
          </w:tcPr>
          <w:p>
            <w:pPr>
              <w:spacing w:after="0" w:line="182"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80" w:type="dxa"/>
            <w:vAlign w:val="bottom"/>
            <w:tcBorders>
              <w:top w:val="single" w:sz="8" w:color="0000FF"/>
            </w:tcBorders>
            <w:gridSpan w:val="10"/>
          </w:tcPr>
          <w:p>
            <w:pPr>
              <w:spacing w:after="0" w:line="129" w:lineRule="exact"/>
              <w:rPr>
                <w:rFonts w:ascii="Arial" w:cs="Arial" w:eastAsia="Arial" w:hAnsi="Arial"/>
                <w:sz w:val="13"/>
                <w:szCs w:val="13"/>
                <w:color w:val="0000FF"/>
              </w:rPr>
            </w:pPr>
            <w:hyperlink r:id="rId71">
              <w:r>
                <w:rPr>
                  <w:rFonts w:ascii="Arial" w:cs="Arial" w:eastAsia="Arial" w:hAnsi="Arial"/>
                  <w:sz w:val="13"/>
                  <w:szCs w:val="13"/>
                  <w:color w:val="0000FF"/>
                </w:rPr>
                <w:t>Commission on January 18, 2023).</w:t>
              </w:r>
            </w:hyperlink>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reference to Exhibit 4.1 to the Company’s Registration Statement on Form S-1, filed with the SEC on November 14, 2022).</w:t>
              </w:r>
            </w:hyperlink>
          </w:p>
        </w:tc>
        <w:tc>
          <w:tcPr>
            <w:tcW w:w="5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20" w:type="dxa"/>
            <w:vAlign w:val="bottom"/>
          </w:tcPr>
          <w:p>
            <w:pPr>
              <w:spacing w:after="0"/>
              <w:rPr>
                <w:sz w:val="19"/>
                <w:szCs w:val="19"/>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0000FF"/>
                <w:w w:val="94"/>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20" w:type="dxa"/>
            <w:vAlign w:val="bottom"/>
          </w:tcPr>
          <w:p>
            <w:pPr>
              <w:spacing w:after="0"/>
              <w:rPr>
                <w:sz w:val="18"/>
                <w:szCs w:val="18"/>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0000FF"/>
                <w:w w:val="92"/>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4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of 1934, as adopted pursuant to Section 302 of the Sarbanes-Oxley Act of 2002.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380" w:type="dxa"/>
            <w:vAlign w:val="bottom"/>
            <w:gridSpan w:val="4"/>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20" w:type="dxa"/>
            <w:vAlign w:val="bottom"/>
          </w:tcPr>
          <w:p>
            <w:pPr>
              <w:spacing w:after="0"/>
              <w:rPr>
                <w:sz w:val="18"/>
                <w:szCs w:val="18"/>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Oxley Act of 2002.</w:t>
            </w:r>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320" w:type="dxa"/>
            <w:vAlign w:val="bottom"/>
          </w:tcPr>
          <w:p>
            <w:pPr>
              <w:spacing w:after="0"/>
              <w:rPr>
                <w:sz w:val="18"/>
                <w:szCs w:val="18"/>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2"/>
        </w:trPr>
        <w:tc>
          <w:tcPr>
            <w:tcW w:w="10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320" w:type="dxa"/>
            <w:vAlign w:val="bottom"/>
          </w:tcPr>
          <w:p>
            <w:pPr>
              <w:spacing w:after="0"/>
              <w:rPr>
                <w:sz w:val="21"/>
                <w:szCs w:val="21"/>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320" w:type="dxa"/>
            <w:vAlign w:val="bottom"/>
          </w:tcPr>
          <w:p>
            <w:pPr>
              <w:spacing w:after="0"/>
              <w:rPr>
                <w:sz w:val="19"/>
                <w:szCs w:val="19"/>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32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60" w:hanging="966"/>
        <w:spacing w:after="0"/>
        <w:tabs>
          <w:tab w:leader="none" w:pos="13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1440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Skyward Specialty Insurance Group, Inc.</w:t>
            </w:r>
          </w:p>
        </w:tc>
      </w:tr>
      <w:tr>
        <w:trPr>
          <w:trHeight w:val="244"/>
        </w:trPr>
        <w:tc>
          <w:tcPr>
            <w:tcW w:w="3340" w:type="dxa"/>
            <w:vAlign w:val="bottom"/>
          </w:tcPr>
          <w:p>
            <w:pPr>
              <w:spacing w:after="0"/>
              <w:rPr>
                <w:sz w:val="20"/>
                <w:szCs w:val="20"/>
                <w:color w:val="auto"/>
              </w:rPr>
            </w:pPr>
            <w:r>
              <w:rPr>
                <w:rFonts w:ascii="Arial" w:cs="Arial" w:eastAsia="Arial" w:hAnsi="Arial"/>
                <w:sz w:val="18"/>
                <w:szCs w:val="18"/>
                <w:color w:val="auto"/>
              </w:rPr>
              <w:t>Date: August 10, 2023</w:t>
            </w:r>
          </w:p>
        </w:tc>
        <w:tc>
          <w:tcPr>
            <w:tcW w:w="2200" w:type="dxa"/>
            <w:vAlign w:val="bottom"/>
          </w:tcPr>
          <w:p>
            <w:pPr>
              <w:ind w:left="174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2"/>
        </w:trPr>
        <w:tc>
          <w:tcPr>
            <w:tcW w:w="3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29"/>
        </w:trPr>
        <w:tc>
          <w:tcPr>
            <w:tcW w:w="3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340" w:type="dxa"/>
            <w:vAlign w:val="bottom"/>
          </w:tcPr>
          <w:p>
            <w:pPr>
              <w:spacing w:after="0"/>
              <w:rPr>
                <w:sz w:val="20"/>
                <w:szCs w:val="20"/>
                <w:color w:val="auto"/>
              </w:rPr>
            </w:pPr>
            <w:r>
              <w:rPr>
                <w:rFonts w:ascii="Arial" w:cs="Arial" w:eastAsia="Arial" w:hAnsi="Arial"/>
                <w:sz w:val="18"/>
                <w:szCs w:val="18"/>
                <w:color w:val="auto"/>
              </w:rPr>
              <w:t>Date: August 10, 2023</w:t>
            </w:r>
          </w:p>
        </w:tc>
        <w:tc>
          <w:tcPr>
            <w:tcW w:w="2200" w:type="dxa"/>
            <w:vAlign w:val="bottom"/>
          </w:tcPr>
          <w:p>
            <w:pPr>
              <w:ind w:left="174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Haushill</w:t>
            </w:r>
          </w:p>
        </w:tc>
      </w:tr>
      <w:tr>
        <w:trPr>
          <w:trHeight w:val="222"/>
        </w:trPr>
        <w:tc>
          <w:tcPr>
            <w:tcW w:w="3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Mark Haushill</w:t>
            </w:r>
          </w:p>
        </w:tc>
      </w:tr>
      <w:tr>
        <w:trPr>
          <w:trHeight w:val="230"/>
        </w:trPr>
        <w:tc>
          <w:tcPr>
            <w:tcW w:w="3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Andrew Robinson, certify that:</w:t>
      </w:r>
    </w:p>
    <w:p>
      <w:pPr>
        <w:spacing w:after="0" w:line="117"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hanging="2"/>
        <w:spacing w:after="0" w:line="308" w:lineRule="auto"/>
        <w:tabs>
          <w:tab w:leader="none" w:pos="1029"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2"/>
        <w:spacing w:after="0" w:line="263" w:lineRule="auto"/>
        <w:tabs>
          <w:tab w:leader="none" w:pos="9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277" w:lineRule="auto"/>
        <w:tabs>
          <w:tab w:leader="none" w:pos="5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80"/>
              <w:spacing w:after="0"/>
              <w:rPr>
                <w:sz w:val="20"/>
                <w:szCs w:val="20"/>
                <w:color w:val="auto"/>
              </w:rPr>
            </w:pPr>
            <w:r>
              <w:rPr>
                <w:rFonts w:ascii="Arial" w:cs="Arial" w:eastAsia="Arial" w:hAnsi="Arial"/>
                <w:sz w:val="18"/>
                <w:szCs w:val="18"/>
                <w:color w:val="auto"/>
              </w:rPr>
              <w:t>August 10, 2023</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4"/>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42"/>
        </w:trPr>
        <w:tc>
          <w:tcPr>
            <w:tcW w:w="7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Haushill, certify that:</w:t>
      </w:r>
    </w:p>
    <w:p>
      <w:pPr>
        <w:spacing w:after="0" w:line="117"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hanging="2"/>
        <w:spacing w:after="0" w:line="308" w:lineRule="auto"/>
        <w:tabs>
          <w:tab w:leader="none" w:pos="1029"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2"/>
        <w:spacing w:after="0" w:line="263" w:lineRule="auto"/>
        <w:tabs>
          <w:tab w:leader="none" w:pos="9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277" w:lineRule="auto"/>
        <w:tabs>
          <w:tab w:leader="none" w:pos="5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2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80"/>
              <w:spacing w:after="0"/>
              <w:rPr>
                <w:sz w:val="20"/>
                <w:szCs w:val="20"/>
                <w:color w:val="auto"/>
              </w:rPr>
            </w:pPr>
            <w:r>
              <w:rPr>
                <w:rFonts w:ascii="Arial" w:cs="Arial" w:eastAsia="Arial" w:hAnsi="Arial"/>
                <w:sz w:val="18"/>
                <w:szCs w:val="18"/>
                <w:color w:val="auto"/>
              </w:rPr>
              <w:t>August 10, 2023</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4"/>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42"/>
        </w:trPr>
        <w:tc>
          <w:tcPr>
            <w:tcW w:w="7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the Quarterly Report on Form 10-Q of Skyward Specialty Insurance Group, Inc. (the “Company”) for the three and six months ended June 30, 2023,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63"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580" w:hanging="248"/>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80"/>
              <w:spacing w:after="0"/>
              <w:rPr>
                <w:sz w:val="20"/>
                <w:szCs w:val="20"/>
                <w:color w:val="auto"/>
              </w:rPr>
            </w:pPr>
            <w:r>
              <w:rPr>
                <w:rFonts w:ascii="Arial" w:cs="Arial" w:eastAsia="Arial" w:hAnsi="Arial"/>
                <w:sz w:val="18"/>
                <w:szCs w:val="18"/>
                <w:color w:val="auto"/>
              </w:rPr>
              <w:t>August 10, 2023</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4"/>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42"/>
        </w:trPr>
        <w:tc>
          <w:tcPr>
            <w:tcW w:w="7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5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80"/>
              <w:spacing w:after="0"/>
              <w:rPr>
                <w:sz w:val="20"/>
                <w:szCs w:val="20"/>
                <w:color w:val="auto"/>
              </w:rPr>
            </w:pPr>
            <w:r>
              <w:rPr>
                <w:rFonts w:ascii="Arial" w:cs="Arial" w:eastAsia="Arial" w:hAnsi="Arial"/>
                <w:sz w:val="18"/>
                <w:szCs w:val="18"/>
                <w:color w:val="auto"/>
              </w:rPr>
              <w:t>August 10, 2023</w:t>
            </w:r>
          </w:p>
        </w:tc>
        <w:tc>
          <w:tcPr>
            <w:tcW w:w="2080" w:type="dxa"/>
            <w:vAlign w:val="bottom"/>
          </w:tcPr>
          <w:p>
            <w:pPr>
              <w:ind w:left="1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2"/>
        </w:trPr>
        <w:tc>
          <w:tcPr>
            <w:tcW w:w="7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30"/>
        </w:trPr>
        <w:tc>
          <w:tcPr>
            <w:tcW w:w="7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80" w:type="dxa"/>
            <w:vAlign w:val="bottom"/>
          </w:tcPr>
          <w:p>
            <w:pPr>
              <w:ind w:left="13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1."/>
      <w:numFmt w:val="decimal"/>
      <w:start w:val="14"/>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decimal"/>
      <w:start w:val="16"/>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lvl w:ilvl="1">
      <w:lvlJc w:val="left"/>
      <w:lvlText w:val="%2"/>
      <w:numFmt w:val="decimal"/>
      <w:start w:val="104"/>
    </w:lvl>
  </w:abstractNum>
  <w:abstractNum w:abstractNumId="27">
    <w:nsid w:val="3A95F874"/>
    <w:multiLevelType w:val="hybridMultilevel"/>
    <w:lvl w:ilvl="0">
      <w:lvlJc w:val="left"/>
      <w:lvlText w:val="(%1)"/>
      <w:numFmt w:val="lowerLetter"/>
      <w:start w:val="2"/>
    </w:lvl>
    <w:lvl w:ilvl="1">
      <w:lvlJc w:val="left"/>
      <w:lvlText w:val="%2"/>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0" Type="http://schemas.openxmlformats.org/officeDocument/2006/relationships/hyperlink" Target="https://www.sec.gov/Archives/edgar/data/1519449/000110465923004624/tm233575d1_ex3-1.htm" TargetMode="External"/><Relationship Id="rId71" Type="http://schemas.openxmlformats.org/officeDocument/2006/relationships/hyperlink" Target="https://www.sec.gov/Archives/edgar/data/1519449/000110465923004624/tm233575d1_ex3-2.htm" TargetMode="External"/><Relationship Id="rId72"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2023-08-10T13:35:01Z</dcterms:created>
  <dcterms:modified xsi:type="dcterms:W3CDTF">2023-08-10T13:35:01Z</dcterms:modified>
</cp:coreProperties>
</file>