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UNITED STATES</w:t>
      </w:r>
    </w:p>
    <w:p>
      <w:pPr>
        <w:jc w:val="center"/>
        <w:ind w:right="20"/>
        <w:spacing w:after="0" w:line="209" w:lineRule="auto"/>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line="211" w:lineRule="auto"/>
        <w:rPr>
          <w:sz w:val="20"/>
          <w:szCs w:val="20"/>
          <w:color w:val="auto"/>
        </w:rPr>
      </w:pPr>
      <w:r>
        <w:rPr>
          <w:rFonts w:ascii="Arial" w:cs="Arial" w:eastAsia="Arial" w:hAnsi="Arial"/>
          <w:sz w:val="25"/>
          <w:szCs w:val="25"/>
          <w:b w:val="1"/>
          <w:bCs w:val="1"/>
          <w:color w:val="auto"/>
        </w:rPr>
        <w:t>Washington, D.C. 20549</w:t>
      </w:r>
    </w:p>
    <w:p>
      <w:pPr>
        <w:spacing w:after="0" w:line="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22"/>
          <w:szCs w:val="22"/>
          <w:color w:val="auto"/>
        </w:rPr>
        <w:t>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500" w:right="1520" w:hanging="290"/>
        <w:spacing w:after="0" w:line="331" w:lineRule="auto"/>
        <w:tabs>
          <w:tab w:leader="none" w:pos="59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640" w:right="1460" w:hanging="430"/>
        <w:spacing w:after="0" w:line="213" w:lineRule="auto"/>
        <w:tabs>
          <w:tab w:leader="none" w:pos="64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 to ____________</w:t>
      </w:r>
    </w:p>
    <w:p>
      <w:pPr>
        <w:spacing w:after="0" w:line="2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001-41591</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SKYWARD SPECIALTY INSURANCE GROUP,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47625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39"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428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7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14-1957288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760" w:type="dxa"/>
            <w:vAlign w:val="bottom"/>
          </w:tcPr>
          <w:p>
            <w:pPr>
              <w:jc w:val="center"/>
              <w:ind w:right="183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44"/>
        </w:trPr>
        <w:tc>
          <w:tcPr>
            <w:tcW w:w="7500" w:type="dxa"/>
            <w:vAlign w:val="bottom"/>
            <w:gridSpan w:val="5"/>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33"/>
        </w:trPr>
        <w:tc>
          <w:tcPr>
            <w:tcW w:w="4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88"/>
              </w:rPr>
              <w:t>800 Gessner Road, Suite 600</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8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86"/>
              </w:rPr>
              <w:t>Houston, Texas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77024-4284</w:t>
            </w:r>
          </w:p>
        </w:tc>
        <w:tc>
          <w:tcPr>
            <w:tcW w:w="0" w:type="dxa"/>
            <w:vAlign w:val="bottom"/>
          </w:tcPr>
          <w:p>
            <w:pPr>
              <w:spacing w:after="0"/>
              <w:rPr>
                <w:sz w:val="1"/>
                <w:szCs w:val="1"/>
                <w:color w:val="auto"/>
              </w:rPr>
            </w:pPr>
          </w:p>
        </w:tc>
      </w:tr>
      <w:tr>
        <w:trPr>
          <w:trHeight w:val="230"/>
        </w:trPr>
        <w:tc>
          <w:tcPr>
            <w:tcW w:w="4280" w:type="dxa"/>
            <w:vAlign w:val="bottom"/>
            <w:gridSpan w:val="2"/>
          </w:tcPr>
          <w:p>
            <w:pPr>
              <w:jc w:val="center"/>
              <w:ind w:left="1230"/>
              <w:spacing w:after="0"/>
              <w:rPr>
                <w:sz w:val="20"/>
                <w:szCs w:val="20"/>
                <w:color w:val="auto"/>
              </w:rPr>
            </w:pPr>
            <w:r>
              <w:rPr>
                <w:rFonts w:ascii="Arial" w:cs="Arial" w:eastAsia="Arial" w:hAnsi="Arial"/>
                <w:sz w:val="18"/>
                <w:szCs w:val="18"/>
                <w:color w:val="auto"/>
                <w:w w:val="92"/>
              </w:rPr>
              <w:t>(Address of Principal Executive Offices)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jc w:val="center"/>
              <w:ind w:right="18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(713) 935-4800</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00" w:type="dxa"/>
            <w:vAlign w:val="bottom"/>
            <w:gridSpan w:val="5"/>
          </w:tcPr>
          <w:p>
            <w:pPr>
              <w:jc w:val="center"/>
              <w:ind w:left="3650"/>
              <w:spacing w:after="0"/>
              <w:rPr>
                <w:sz w:val="20"/>
                <w:szCs w:val="20"/>
                <w:color w:val="auto"/>
              </w:rPr>
            </w:pPr>
            <w:r>
              <w:rPr>
                <w:rFonts w:ascii="Arial" w:cs="Arial" w:eastAsia="Arial" w:hAnsi="Arial"/>
                <w:sz w:val="18"/>
                <w:szCs w:val="18"/>
                <w:color w:val="auto"/>
                <w:w w:val="89"/>
              </w:rPr>
              <w:t>Registrant’s telephone number, including area code</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3"/>
        </w:trPr>
        <w:tc>
          <w:tcPr>
            <w:tcW w:w="42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2"/>
              </w:rPr>
              <w:t>Trading Symbol(s)</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6"/>
              </w:rPr>
              <w:t>SKWD</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310" w:lineRule="exact"/>
        <w:rPr>
          <w:sz w:val="24"/>
          <w:szCs w:val="24"/>
          <w:color w:val="auto"/>
        </w:rPr>
      </w:pPr>
    </w:p>
    <w:p>
      <w:pPr>
        <w:ind w:right="26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67" w:lineRule="exact"/>
        <w:rPr>
          <w:sz w:val="24"/>
          <w:szCs w:val="24"/>
          <w:color w:val="auto"/>
        </w:rPr>
      </w:pPr>
    </w:p>
    <w:p>
      <w:pPr>
        <w:ind w:right="32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w:t>
      </w:r>
    </w:p>
    <w:p>
      <w:pPr>
        <w:spacing w:after="0" w:line="21" w:lineRule="exact"/>
        <w:rPr>
          <w:sz w:val="24"/>
          <w:szCs w:val="24"/>
          <w:color w:val="auto"/>
        </w:rPr>
      </w:pPr>
    </w:p>
    <w:p>
      <w:pPr>
        <w:ind w:right="40"/>
        <w:spacing w:after="0" w:line="226" w:lineRule="auto"/>
        <w:rPr>
          <w:sz w:val="20"/>
          <w:szCs w:val="20"/>
          <w:color w:val="auto"/>
        </w:rPr>
      </w:pPr>
      <w:r>
        <w:rPr>
          <w:rFonts w:ascii="Arial" w:cs="Arial" w:eastAsia="Arial" w:hAnsi="Arial"/>
          <w:sz w:val="18"/>
          <w:szCs w:val="18"/>
          <w:color w:val="auto"/>
        </w:rPr>
        <w:t>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3220" w:type="dxa"/>
            <w:vAlign w:val="bottom"/>
          </w:tcPr>
          <w:p>
            <w:pPr>
              <w:spacing w:after="0"/>
              <w:rPr>
                <w:sz w:val="20"/>
                <w:szCs w:val="20"/>
                <w:color w:val="auto"/>
              </w:rPr>
            </w:pPr>
            <w:r>
              <w:rPr>
                <w:rFonts w:ascii="Arial" w:cs="Arial" w:eastAsia="Arial" w:hAnsi="Arial"/>
                <w:sz w:val="18"/>
                <w:szCs w:val="18"/>
                <w:color w:val="auto"/>
              </w:rPr>
              <w:t>Non-accelerated filer</w:t>
            </w:r>
          </w:p>
        </w:tc>
        <w:tc>
          <w:tcPr>
            <w:tcW w:w="5800" w:type="dxa"/>
            <w:vAlign w:val="bottom"/>
          </w:tcPr>
          <w:p>
            <w:pPr>
              <w:jc w:val="right"/>
              <w:ind w:right="191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910"/>
              <w:spacing w:after="0"/>
              <w:rPr>
                <w:sz w:val="20"/>
                <w:szCs w:val="20"/>
                <w:color w:val="auto"/>
              </w:rPr>
            </w:pPr>
            <w:r>
              <w:rPr>
                <w:rFonts w:ascii="Arial" w:cs="Arial" w:eastAsia="Arial" w:hAnsi="Arial"/>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1" w:lineRule="exact"/>
        <w:rPr>
          <w:sz w:val="24"/>
          <w:szCs w:val="24"/>
          <w:color w:val="auto"/>
        </w:rPr>
      </w:pPr>
    </w:p>
    <w:p>
      <w:pPr>
        <w:ind w:right="18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2023, the registrant had 37,677,586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20" w:type="dxa"/>
            <w:vAlign w:val="bottom"/>
            <w:gridSpan w:val="6"/>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817"/>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7820" w:type="dxa"/>
            <w:vAlign w:val="bottom"/>
          </w:tcPr>
          <w:p>
            <w:pPr>
              <w:ind w:left="19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Form 10-Q</w:t>
            </w:r>
          </w:p>
        </w:tc>
        <w:tc>
          <w:tcPr>
            <w:tcW w:w="9340" w:type="dxa"/>
            <w:vAlign w:val="bottom"/>
            <w:gridSpan w:val="3"/>
          </w:tcPr>
          <w:p>
            <w:pPr>
              <w:spacing w:after="0"/>
              <w:rPr>
                <w:sz w:val="20"/>
                <w:szCs w:val="20"/>
                <w:color w:val="auto"/>
              </w:rPr>
            </w:pPr>
            <w:r>
              <w:rPr>
                <w:rFonts w:ascii="Arial" w:cs="Arial" w:eastAsia="Arial" w:hAnsi="Arial"/>
                <w:sz w:val="18"/>
                <w:szCs w:val="18"/>
                <w:color w:val="auto"/>
              </w:rPr>
              <w:t>Item and Description</w:t>
            </w:r>
          </w:p>
        </w:tc>
        <w:tc>
          <w:tcPr>
            <w:tcW w:w="720" w:type="dxa"/>
            <w:vAlign w:val="bottom"/>
            <w:gridSpan w:val="2"/>
          </w:tcPr>
          <w:p>
            <w:pPr>
              <w:spacing w:after="0"/>
              <w:rPr>
                <w:sz w:val="20"/>
                <w:szCs w:val="20"/>
                <w:color w:val="auto"/>
              </w:rPr>
            </w:pPr>
            <w:r>
              <w:rPr>
                <w:rFonts w:ascii="Arial" w:cs="Arial" w:eastAsia="Arial" w:hAnsi="Arial"/>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20"/>
              <w:spacing w:after="0"/>
              <w:rPr>
                <w:sz w:val="20"/>
                <w:szCs w:val="20"/>
                <w:color w:val="auto"/>
              </w:rPr>
            </w:pPr>
            <w:r>
              <w:rPr>
                <w:rFonts w:ascii="Arial" w:cs="Arial" w:eastAsia="Arial" w:hAnsi="Arial"/>
                <w:sz w:val="18"/>
                <w:szCs w:val="18"/>
                <w:color w:val="auto"/>
              </w:rPr>
              <w:t>Item 1. Financial Statements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Condensed Consolidated Balance Sheets as of September 30, 2023 and December 31, 2022 (unaudited)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8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3"/>
          </w:tcPr>
          <w:p>
            <w:pPr>
              <w:spacing w:after="0" w:line="176" w:lineRule="exact"/>
              <w:rPr>
                <w:sz w:val="20"/>
                <w:szCs w:val="20"/>
                <w:color w:val="auto"/>
              </w:rPr>
            </w:pPr>
            <w:r>
              <w:rPr>
                <w:rFonts w:ascii="Arial" w:cs="Arial" w:eastAsia="Arial" w:hAnsi="Arial"/>
                <w:sz w:val="18"/>
                <w:szCs w:val="18"/>
                <w:color w:val="auto"/>
                <w:w w:val="99"/>
              </w:rPr>
              <w:t>Condensed Consolidated Statements of Operations and Comprehensive Income (Loss) for the Three and Nine-Month</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Periods Ended September 30, 2023 and 2022 (unaudited)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3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8"/>
              </w:rPr>
              <w:t>Condensed Consolidated Statements of Changes in Stockholders’ Equity for the Three and Nine-Month Periods Ended</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2023 and 2022 (unaudited)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80" w:type="dxa"/>
            <w:vAlign w:val="bottom"/>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3"/>
          </w:tcPr>
          <w:p>
            <w:pPr>
              <w:spacing w:after="0" w:line="176" w:lineRule="exact"/>
              <w:rPr>
                <w:sz w:val="20"/>
                <w:szCs w:val="20"/>
                <w:color w:val="auto"/>
              </w:rPr>
            </w:pPr>
            <w:r>
              <w:rPr>
                <w:rFonts w:ascii="Arial" w:cs="Arial" w:eastAsia="Arial" w:hAnsi="Arial"/>
                <w:sz w:val="18"/>
                <w:szCs w:val="18"/>
                <w:color w:val="auto"/>
                <w:w w:val="98"/>
              </w:rPr>
              <w:t>Condensed Consolidated Statements of Cash Flows for the Nine-Month Periods Ended September 30, 2023 and 2022</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38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to Condensed Consolidated Financial Statements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3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00" w:type="dxa"/>
            <w:vAlign w:val="bottom"/>
            <w:gridSpan w:val="5"/>
          </w:tcPr>
          <w:p>
            <w:pPr>
              <w:ind w:left="6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3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500" w:type="dxa"/>
            <w:vAlign w:val="bottom"/>
            <w:gridSpan w:val="5"/>
            <w:shd w:val="clear" w:color="auto" w:fill="CCEEFF"/>
          </w:tcPr>
          <w:p>
            <w:pPr>
              <w:ind w:left="6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3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20"/>
              <w:spacing w:after="0"/>
              <w:rPr>
                <w:sz w:val="20"/>
                <w:szCs w:val="20"/>
                <w:color w:val="auto"/>
              </w:rPr>
            </w:pPr>
            <w:r>
              <w:rPr>
                <w:rFonts w:ascii="Arial" w:cs="Arial" w:eastAsia="Arial" w:hAnsi="Arial"/>
                <w:sz w:val="18"/>
                <w:szCs w:val="18"/>
                <w:color w:val="auto"/>
              </w:rPr>
              <w:t>Item 4. Controls and Procedures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20"/>
              <w:spacing w:after="0"/>
              <w:rPr>
                <w:sz w:val="20"/>
                <w:szCs w:val="20"/>
                <w:color w:val="auto"/>
              </w:rPr>
            </w:pPr>
            <w:r>
              <w:rPr>
                <w:rFonts w:ascii="Arial" w:cs="Arial" w:eastAsia="Arial" w:hAnsi="Arial"/>
                <w:sz w:val="18"/>
                <w:szCs w:val="18"/>
                <w:color w:val="auto"/>
              </w:rPr>
              <w:t>Item 1. Legal Proceedings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50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500" w:type="dxa"/>
            <w:vAlign w:val="bottom"/>
            <w:gridSpan w:val="5"/>
            <w:shd w:val="clear" w:color="auto" w:fill="CCEEFF"/>
          </w:tcPr>
          <w:p>
            <w:pPr>
              <w:ind w:left="620"/>
              <w:spacing w:after="0"/>
              <w:rPr>
                <w:sz w:val="20"/>
                <w:szCs w:val="20"/>
                <w:color w:val="auto"/>
              </w:rPr>
            </w:pPr>
            <w:r>
              <w:rPr>
                <w:rFonts w:ascii="Arial" w:cs="Arial" w:eastAsia="Arial" w:hAnsi="Arial"/>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00" w:type="dxa"/>
            <w:vAlign w:val="bottom"/>
            <w:gridSpan w:val="5"/>
          </w:tcPr>
          <w:p>
            <w:pPr>
              <w:ind w:left="620"/>
              <w:spacing w:after="0"/>
              <w:rPr>
                <w:sz w:val="20"/>
                <w:szCs w:val="20"/>
                <w:color w:val="auto"/>
              </w:rPr>
            </w:pPr>
            <w:r>
              <w:rPr>
                <w:rFonts w:ascii="Arial" w:cs="Arial" w:eastAsia="Arial" w:hAnsi="Arial"/>
                <w:sz w:val="18"/>
                <w:szCs w:val="18"/>
                <w:color w:val="auto"/>
              </w:rPr>
              <w:t>Item 4. Mine Safety Disclosures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500" w:type="dxa"/>
            <w:vAlign w:val="bottom"/>
            <w:gridSpan w:val="5"/>
            <w:shd w:val="clear" w:color="auto" w:fill="CCEEFF"/>
          </w:tcPr>
          <w:p>
            <w:pPr>
              <w:ind w:left="620"/>
              <w:spacing w:after="0"/>
              <w:rPr>
                <w:sz w:val="20"/>
                <w:szCs w:val="20"/>
                <w:color w:val="auto"/>
              </w:rPr>
            </w:pPr>
            <w:r>
              <w:rPr>
                <w:rFonts w:ascii="Arial" w:cs="Arial" w:eastAsia="Arial" w:hAnsi="Arial"/>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20"/>
              <w:spacing w:after="0"/>
              <w:rPr>
                <w:sz w:val="20"/>
                <w:szCs w:val="20"/>
                <w:color w:val="auto"/>
              </w:rPr>
            </w:pPr>
            <w:r>
              <w:rPr>
                <w:rFonts w:ascii="Arial" w:cs="Arial" w:eastAsia="Arial" w:hAnsi="Arial"/>
                <w:sz w:val="18"/>
                <w:szCs w:val="18"/>
                <w:color w:val="auto"/>
              </w:rPr>
              <w:t>Item 6. Exhibits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380" w:type="dxa"/>
            <w:vAlign w:val="bottom"/>
            <w:shd w:val="clear" w:color="auto" w:fill="CCEEFF"/>
          </w:tcPr>
          <w:p>
            <w:pPr>
              <w:spacing w:after="0"/>
              <w:rPr>
                <w:sz w:val="19"/>
                <w:szCs w:val="19"/>
                <w:color w:val="auto"/>
              </w:rPr>
            </w:pPr>
          </w:p>
        </w:tc>
      </w:tr>
      <w:tr>
        <w:trPr>
          <w:trHeight w:val="8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3"/>
          </w:tcPr>
          <w:p>
            <w:pPr>
              <w:ind w:left="44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7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December 31, 2022</w:t>
            </w:r>
          </w:p>
        </w:tc>
        <w:tc>
          <w:tcPr>
            <w:tcW w:w="0" w:type="dxa"/>
            <w:vAlign w:val="bottom"/>
          </w:tcPr>
          <w:p>
            <w:pPr>
              <w:spacing w:after="0"/>
              <w:rPr>
                <w:sz w:val="1"/>
                <w:szCs w:val="1"/>
                <w:color w:val="auto"/>
              </w:rPr>
            </w:pPr>
          </w:p>
        </w:tc>
      </w:tr>
      <w:tr>
        <w:trPr>
          <w:trHeight w:val="188"/>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 in thousands, except share and per share amounts)</w:t>
            </w:r>
          </w:p>
        </w:tc>
        <w:tc>
          <w:tcPr>
            <w:tcW w:w="160" w:type="dxa"/>
            <w:vAlign w:val="bottom"/>
          </w:tcPr>
          <w:p>
            <w:pPr>
              <w:spacing w:after="0"/>
              <w:rPr>
                <w:sz w:val="16"/>
                <w:szCs w:val="16"/>
                <w:color w:val="auto"/>
              </w:rPr>
            </w:pPr>
          </w:p>
        </w:tc>
        <w:tc>
          <w:tcPr>
            <w:tcW w:w="1360" w:type="dxa"/>
            <w:vAlign w:val="bottom"/>
          </w:tcPr>
          <w:p>
            <w:pPr>
              <w:jc w:val="center"/>
              <w:ind w:right="9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Fixed maturity securities, available-for-sale, at fair value (amortized cost of $942,841 and $662,616,</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874,864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line="176" w:lineRule="exact"/>
              <w:rPr>
                <w:sz w:val="20"/>
                <w:szCs w:val="20"/>
                <w:color w:val="auto"/>
              </w:rPr>
            </w:pPr>
            <w:r>
              <w:rPr>
                <w:rFonts w:ascii="Arial" w:cs="Arial" w:eastAsia="Arial" w:hAnsi="Arial"/>
                <w:sz w:val="18"/>
                <w:szCs w:val="18"/>
                <w:color w:val="auto"/>
                <w:w w:val="92"/>
              </w:rPr>
              <w:t>Fixed maturity securities, held-to-maturity, at amortized cost (net of allowance for credit losses of $320 as of</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40"/>
              <w:spacing w:after="0"/>
              <w:rPr>
                <w:sz w:val="20"/>
                <w:szCs w:val="20"/>
                <w:color w:val="auto"/>
              </w:rPr>
            </w:pPr>
            <w:r>
              <w:rPr>
                <w:rFonts w:ascii="Arial" w:cs="Arial" w:eastAsia="Arial" w:hAnsi="Arial"/>
                <w:sz w:val="18"/>
                <w:szCs w:val="18"/>
                <w:color w:val="auto"/>
              </w:rPr>
              <w:t>September 30, 2023)</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44,437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52,467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 at fair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107,387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120,169</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w w:val="99"/>
              </w:rPr>
              <w:t>Mortgage loans (at fair value as of September 30, 2023; at amortized cost as of December 31, 2022)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59,318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51,859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investments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115,823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129,142</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Short-term investments, at fair value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121,158</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1,082,367</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53,730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45,438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79,573</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Premiums receivable,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211,940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139,215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recoverables,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615,675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581,359</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Ceded unearned premium</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218,784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157,645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68,938</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35,006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36,188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2,850,695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2,363,439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Reserves for losses and loss adjustment expenses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1,268,711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1,141,757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596,011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442,509</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Deferred ceding commission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41,704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29,849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Reinsurance and premium payables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161,832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113,696</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Funds held for others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53,963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debt, net of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78,609</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2,315,298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1,941,777</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line="176" w:lineRule="exact"/>
              <w:rPr>
                <w:sz w:val="20"/>
                <w:szCs w:val="20"/>
                <w:color w:val="auto"/>
              </w:rPr>
            </w:pPr>
            <w:r>
              <w:rPr>
                <w:rFonts w:ascii="Arial" w:cs="Arial" w:eastAsia="Arial" w:hAnsi="Arial"/>
                <w:sz w:val="18"/>
                <w:szCs w:val="18"/>
                <w:color w:val="auto"/>
                <w:w w:val="95"/>
              </w:rPr>
              <w:t>Series A preferred stock, $0.01 par value; 10,000,000 and 2,000,000 shares authorized, 0 and 1,969,660</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$0.01 par value, 500,000,000 and 168,000,000 shares authorized, 37,677,521 and</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16,832,955 shares issued, respectively</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Treasury stock, $0.01 par value, 0 and 233,289 shares, respectively</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645,292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577,289</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Stock notes receivable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(5,625)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(105,417)</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535,397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421,662</w:t>
            </w:r>
          </w:p>
        </w:tc>
        <w:tc>
          <w:tcPr>
            <w:tcW w:w="0" w:type="dxa"/>
            <w:vAlign w:val="bottom"/>
          </w:tcPr>
          <w:p>
            <w:pPr>
              <w:spacing w:after="0"/>
              <w:rPr>
                <w:sz w:val="1"/>
                <w:szCs w:val="1"/>
                <w:color w:val="auto"/>
              </w:rPr>
            </w:pPr>
          </w:p>
        </w:tc>
      </w:tr>
      <w:tr>
        <w:trPr>
          <w:trHeight w:val="223"/>
        </w:trPr>
        <w:tc>
          <w:tcPr>
            <w:tcW w:w="810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2,850,695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2,363,439</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COMPREHENSIVE INCOME (LOSS)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8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 except share and per share amounts)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960" w:type="dxa"/>
            <w:vAlign w:val="bottom"/>
          </w:tcPr>
          <w:p>
            <w:pPr>
              <w:ind w:left="120"/>
              <w:spacing w:after="0"/>
              <w:rPr>
                <w:sz w:val="20"/>
                <w:szCs w:val="20"/>
                <w:color w:val="auto"/>
              </w:rPr>
            </w:pPr>
            <w:r>
              <w:rPr>
                <w:rFonts w:ascii="Arial" w:cs="Arial" w:eastAsia="Arial" w:hAnsi="Arial"/>
                <w:sz w:val="18"/>
                <w:szCs w:val="18"/>
                <w:color w:val="auto"/>
              </w:rPr>
              <w:t>Net earned premiums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227,033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158,048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604,211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445,851</w:t>
            </w:r>
          </w:p>
        </w:tc>
      </w:tr>
      <w:tr>
        <w:trPr>
          <w:trHeight w:val="230"/>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Commission and fee income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r>
      <w:tr>
        <w:trPr>
          <w:trHeight w:val="229"/>
        </w:trPr>
        <w:tc>
          <w:tcPr>
            <w:tcW w:w="4960" w:type="dxa"/>
            <w:vAlign w:val="bottom"/>
          </w:tcPr>
          <w:p>
            <w:pPr>
              <w:ind w:left="1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13,089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26,318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31,667</w:t>
            </w:r>
          </w:p>
        </w:tc>
      </w:tr>
      <w:tr>
        <w:trPr>
          <w:trHeight w:val="229"/>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(losses) gains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(26,117)</w:t>
            </w:r>
          </w:p>
        </w:tc>
      </w:tr>
      <w:tr>
        <w:trPr>
          <w:trHeight w:val="223"/>
        </w:trPr>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239,223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158,093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639,674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455,053</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Losses and loss adjustment expenses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138,536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111,746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377,841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293,536</w:t>
            </w:r>
          </w:p>
        </w:tc>
      </w:tr>
      <w:tr>
        <w:trPr>
          <w:trHeight w:val="229"/>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Underwriting, acquisition and insurance expenses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176,653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132,258</w:t>
            </w: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7,250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4,280</w:t>
            </w:r>
          </w:p>
        </w:tc>
      </w:tr>
      <w:tr>
        <w:trPr>
          <w:trHeight w:val="229"/>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29"/>
        </w:trPr>
        <w:tc>
          <w:tcPr>
            <w:tcW w:w="4960" w:type="dxa"/>
            <w:vAlign w:val="bottom"/>
          </w:tcPr>
          <w:p>
            <w:pPr>
              <w:ind w:left="120"/>
              <w:spacing w:after="0"/>
              <w:rPr>
                <w:sz w:val="20"/>
                <w:szCs w:val="20"/>
                <w:color w:val="auto"/>
              </w:rPr>
            </w:pPr>
            <w:r>
              <w:rPr>
                <w:rFonts w:ascii="Arial" w:cs="Arial" w:eastAsia="Arial" w:hAnsi="Arial"/>
                <w:sz w:val="18"/>
                <w:szCs w:val="18"/>
                <w:color w:val="auto"/>
              </w:rPr>
              <w:t>Other expenses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4,061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211,428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567,141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431,234</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27,795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72,533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23,819</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18,977</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55,227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4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18,977</w:t>
            </w:r>
          </w:p>
        </w:tc>
      </w:tr>
      <w:tr>
        <w:trPr>
          <w:trHeight w:val="209"/>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20"/>
          </w:cols>
          <w:pgMar w:left="320" w:top="139" w:right="359" w:bottom="1440" w:gutter="0" w:footer="0" w:header="0"/>
        </w:sectPr>
      </w:pPr>
    </w:p>
    <w:p>
      <w:pPr>
        <w:ind w:left="260"/>
        <w:spacing w:after="0"/>
        <w:rPr>
          <w:sz w:val="20"/>
          <w:szCs w:val="20"/>
          <w:color w:val="auto"/>
        </w:rPr>
      </w:pPr>
      <w:r>
        <w:rPr>
          <w:rFonts w:ascii="Arial" w:cs="Arial" w:eastAsia="Arial" w:hAnsi="Arial"/>
          <w:sz w:val="18"/>
          <w:szCs w:val="18"/>
          <w:color w:val="auto"/>
        </w:rPr>
        <w:t>Unrealized gains and losses on investments: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Net change in unrealized losses on investments, net of tax</w:t>
      </w:r>
    </w:p>
    <w:p>
      <w:pPr>
        <w:spacing w:after="0" w:line="75" w:lineRule="exact"/>
        <w:rPr>
          <w:sz w:val="20"/>
          <w:szCs w:val="20"/>
          <w:color w:val="auto"/>
        </w:rPr>
      </w:pPr>
    </w:p>
    <w:p>
      <w:pPr>
        <w:ind w:left="560" w:right="400" w:hanging="188"/>
        <w:spacing w:after="0" w:line="277" w:lineRule="auto"/>
        <w:rPr>
          <w:sz w:val="20"/>
          <w:szCs w:val="20"/>
          <w:color w:val="auto"/>
        </w:rPr>
      </w:pPr>
      <w:r>
        <w:rPr>
          <w:rFonts w:ascii="Arial" w:cs="Arial" w:eastAsia="Arial" w:hAnsi="Arial"/>
          <w:sz w:val="18"/>
          <w:szCs w:val="18"/>
          <w:color w:val="auto"/>
        </w:rPr>
        <w:t>Reclassification adjustment for (losses) gains on securities no longer held, net of tax</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w w:val="87"/>
              </w:rPr>
              <w:t>(8,722)</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(17,806)</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(5,309)</w:t>
            </w:r>
          </w:p>
        </w:tc>
        <w:tc>
          <w:tcPr>
            <w:tcW w:w="1100" w:type="dxa"/>
            <w:vAlign w:val="bottom"/>
          </w:tcPr>
          <w:p>
            <w:pPr>
              <w:jc w:val="right"/>
              <w:spacing w:after="0"/>
              <w:rPr>
                <w:sz w:val="20"/>
                <w:szCs w:val="20"/>
                <w:color w:val="auto"/>
              </w:rPr>
            </w:pPr>
            <w:r>
              <w:rPr>
                <w:rFonts w:ascii="Arial" w:cs="Arial" w:eastAsia="Arial" w:hAnsi="Arial"/>
                <w:sz w:val="18"/>
                <w:szCs w:val="18"/>
                <w:color w:val="auto"/>
              </w:rPr>
              <w:t>(49,308)</w:t>
            </w:r>
          </w:p>
        </w:tc>
      </w:tr>
      <w:tr>
        <w:trPr>
          <w:trHeight w:val="484"/>
        </w:trPr>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w w:val="87"/>
              </w:rPr>
              <w:t>(3,667)</w:t>
            </w:r>
          </w:p>
        </w:tc>
        <w:tc>
          <w:tcPr>
            <w:tcW w:w="1620" w:type="dxa"/>
            <w:vAlign w:val="bottom"/>
          </w:tcPr>
          <w:p>
            <w:pPr>
              <w:jc w:val="right"/>
              <w:ind w:right="490"/>
              <w:spacing w:after="0"/>
              <w:rPr>
                <w:sz w:val="20"/>
                <w:szCs w:val="20"/>
                <w:color w:val="auto"/>
              </w:rPr>
            </w:pPr>
            <w:r>
              <w:rPr>
                <w:rFonts w:ascii="Arial" w:cs="Arial" w:eastAsia="Arial" w:hAnsi="Arial"/>
                <w:sz w:val="18"/>
                <w:szCs w:val="18"/>
                <w:color w:val="auto"/>
              </w:rPr>
              <w:t>31</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(4,879)</w:t>
            </w:r>
          </w:p>
        </w:tc>
        <w:tc>
          <w:tcPr>
            <w:tcW w:w="1100" w:type="dxa"/>
            <w:vAlign w:val="bottom"/>
          </w:tcPr>
          <w:p>
            <w:pPr>
              <w:jc w:val="right"/>
              <w:spacing w:after="0"/>
              <w:rPr>
                <w:sz w:val="20"/>
                <w:szCs w:val="20"/>
                <w:color w:val="auto"/>
              </w:rPr>
            </w:pPr>
            <w:r>
              <w:rPr>
                <w:rFonts w:ascii="Arial" w:cs="Arial" w:eastAsia="Arial" w:hAnsi="Arial"/>
                <w:sz w:val="18"/>
                <w:szCs w:val="18"/>
                <w:color w:val="auto"/>
              </w:rPr>
              <w:t>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-478155</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200" w:space="720"/>
            <w:col w:w="5300"/>
          </w:cols>
          <w:pgMar w:left="320" w:top="139" w:right="359" w:bottom="1440" w:gutter="0" w:footer="0" w:header="0"/>
          <w:type w:val="continuous"/>
        </w:sectPr>
      </w:pPr>
    </w:p>
    <w:tbl>
      <w:tblPr>
        <w:tblLayout w:type="fixed"/>
        <w:tblInd w:w="20" w:type="dxa"/>
        <w:tblCellMar>
          <w:top w:w="0" w:type="dxa"/>
          <w:left w:w="0" w:type="dxa"/>
          <w:bottom w:w="0" w:type="dxa"/>
          <w:right w:w="0" w:type="dxa"/>
        </w:tblCellMar>
      </w:tblPr>
      <w:tr>
        <w:trPr>
          <w:trHeight w:val="219"/>
        </w:trPr>
        <w:tc>
          <w:tcPr>
            <w:tcW w:w="49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comprehensive loss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(48,946)</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46,531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 share data:</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Basic earnings (loss) per share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36,743,393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16,465,588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35,502,843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16,464,313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ind w:left="1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38,403,843</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16,465,588</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37,830,431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32,598,669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80"/>
              <w:spacing w:after="0" w:line="157" w:lineRule="exact"/>
              <w:rPr>
                <w:sz w:val="20"/>
                <w:szCs w:val="20"/>
                <w:color w:val="auto"/>
              </w:rPr>
            </w:pPr>
            <w:r>
              <w:rPr>
                <w:rFonts w:ascii="Arial" w:cs="Arial" w:eastAsia="Arial" w:hAnsi="Arial"/>
                <w:sz w:val="14"/>
                <w:szCs w:val="14"/>
                <w:color w:val="auto"/>
                <w:w w:val="93"/>
              </w:rPr>
              <w:t>Accumulated</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40"/>
        </w:trPr>
        <w:tc>
          <w:tcPr>
            <w:tcW w:w="2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Stock Notes</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Comprehensive</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060" w:type="dxa"/>
            <w:vAlign w:val="bottom"/>
            <w:gridSpan w:val="3"/>
          </w:tcPr>
          <w:p>
            <w:pPr>
              <w:ind w:left="40"/>
              <w:spacing w:after="0"/>
              <w:rPr>
                <w:sz w:val="20"/>
                <w:szCs w:val="20"/>
                <w:color w:val="auto"/>
              </w:rPr>
            </w:pPr>
            <w:r>
              <w:rPr>
                <w:rFonts w:ascii="Arial" w:cs="Arial" w:eastAsia="Arial" w:hAnsi="Arial"/>
                <w:sz w:val="14"/>
                <w:szCs w:val="14"/>
                <w:color w:val="auto"/>
              </w:rPr>
              <w:t>Preferred Stock</w:t>
            </w: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Common Stock</w:t>
            </w:r>
          </w:p>
        </w:tc>
        <w:tc>
          <w:tcPr>
            <w:tcW w:w="1060" w:type="dxa"/>
            <w:vAlign w:val="bottom"/>
            <w:gridSpan w:val="3"/>
          </w:tcPr>
          <w:p>
            <w:pPr>
              <w:ind w:left="60"/>
              <w:spacing w:after="0"/>
              <w:rPr>
                <w:sz w:val="20"/>
                <w:szCs w:val="20"/>
                <w:color w:val="auto"/>
              </w:rPr>
            </w:pPr>
            <w:r>
              <w:rPr>
                <w:rFonts w:ascii="Arial" w:cs="Arial" w:eastAsia="Arial" w:hAnsi="Arial"/>
                <w:sz w:val="14"/>
                <w:szCs w:val="14"/>
                <w:color w:val="auto"/>
              </w:rPr>
              <w:t>Treasury Stock</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Paid-in Capital</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Receivable</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Loss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7"/>
                <w:szCs w:val="17"/>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color w:val="auto"/>
              </w:rPr>
              <w:t>Total</w:t>
            </w:r>
          </w:p>
        </w:tc>
      </w:tr>
      <w:tr>
        <w:trPr>
          <w:trHeight w:val="229"/>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577,289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(43,485)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(105,417)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421,662</w:t>
            </w:r>
          </w:p>
        </w:tc>
      </w:tr>
      <w:tr>
        <w:trPr>
          <w:trHeight w:val="176"/>
        </w:trPr>
        <w:tc>
          <w:tcPr>
            <w:tcW w:w="2800" w:type="dxa"/>
            <w:vAlign w:val="bottom"/>
          </w:tcPr>
          <w:p>
            <w:pPr>
              <w:ind w:left="160"/>
              <w:spacing w:after="0" w:line="176" w:lineRule="exact"/>
              <w:rPr>
                <w:sz w:val="20"/>
                <w:szCs w:val="20"/>
                <w:color w:val="auto"/>
              </w:rPr>
            </w:pPr>
            <w:r>
              <w:rPr>
                <w:rFonts w:ascii="Arial" w:cs="Arial" w:eastAsia="Arial" w:hAnsi="Arial"/>
                <w:sz w:val="18"/>
                <w:szCs w:val="18"/>
                <w:color w:val="auto"/>
              </w:rPr>
              <w:t>Cumulative effect on adoption of</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2800" w:type="dxa"/>
            <w:vAlign w:val="bottom"/>
          </w:tcPr>
          <w:p>
            <w:pPr>
              <w:ind w:left="160"/>
              <w:spacing w:after="0"/>
              <w:rPr>
                <w:sz w:val="20"/>
                <w:szCs w:val="20"/>
                <w:color w:val="auto"/>
              </w:rPr>
            </w:pPr>
            <w:r>
              <w:rPr>
                <w:rFonts w:ascii="Arial" w:cs="Arial" w:eastAsia="Arial" w:hAnsi="Arial"/>
                <w:sz w:val="18"/>
                <w:szCs w:val="18"/>
                <w:color w:val="auto"/>
              </w:rPr>
              <w:t>ASU No. 2016-13</w:t>
            </w:r>
          </w:p>
        </w:tc>
        <w:tc>
          <w:tcPr>
            <w:tcW w:w="3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(2,276)</w:t>
            </w:r>
          </w:p>
        </w:tc>
      </w:tr>
      <w:tr>
        <w:trPr>
          <w:trHeight w:val="27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equity transactions</w:t>
            </w: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2,057</w:t>
            </w: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Preferred stock conversion to</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7"/>
        </w:trPr>
        <w:tc>
          <w:tcPr>
            <w:tcW w:w="2800" w:type="dxa"/>
            <w:vAlign w:val="bottom"/>
          </w:tcPr>
          <w:p>
            <w:pPr>
              <w:ind w:left="140"/>
              <w:spacing w:after="0"/>
              <w:rPr>
                <w:sz w:val="20"/>
                <w:szCs w:val="20"/>
                <w:color w:val="auto"/>
              </w:rPr>
            </w:pPr>
            <w:r>
              <w:rPr>
                <w:rFonts w:ascii="Arial" w:cs="Arial" w:eastAsia="Arial" w:hAnsi="Arial"/>
                <w:sz w:val="18"/>
                <w:szCs w:val="18"/>
                <w:color w:val="auto"/>
              </w:rPr>
              <w:t>common shares</w:t>
            </w:r>
          </w:p>
        </w:tc>
        <w:tc>
          <w:tcPr>
            <w:tcW w:w="3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initial public</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57"/>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net</w:t>
            </w:r>
          </w:p>
        </w:tc>
        <w:tc>
          <w:tcPr>
            <w:tcW w:w="3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62,358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62,406</w:t>
            </w: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r>
      <w:tr>
        <w:trPr>
          <w:trHeight w:val="176"/>
        </w:trPr>
        <w:tc>
          <w:tcPr>
            <w:tcW w:w="28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Other comprehensive income, net</w:t>
            </w: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tax</w:t>
            </w:r>
          </w:p>
        </w:tc>
        <w:tc>
          <w:tcPr>
            <w:tcW w:w="3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7,741</w:t>
            </w: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641,368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(6,718)</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(35,744)</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(92,137)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507,146</w:t>
            </w: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equity transactions</w:t>
            </w:r>
          </w:p>
        </w:tc>
        <w:tc>
          <w:tcPr>
            <w:tcW w:w="3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Expenses from initial public</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4"/>
        </w:trPr>
        <w:tc>
          <w:tcPr>
            <w:tcW w:w="2800" w:type="dxa"/>
            <w:vAlign w:val="bottom"/>
          </w:tcPr>
          <w:p>
            <w:pPr>
              <w:ind w:left="140"/>
              <w:spacing w:after="0"/>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(391)</w:t>
            </w:r>
          </w:p>
        </w:tc>
      </w:tr>
      <w:tr>
        <w:trPr>
          <w:trHeight w:val="233"/>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19,452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19,452</w:t>
            </w:r>
          </w:p>
        </w:tc>
      </w:tr>
      <w:tr>
        <w:trPr>
          <w:trHeight w:val="175"/>
        </w:trPr>
        <w:tc>
          <w:tcPr>
            <w:tcW w:w="2800" w:type="dxa"/>
            <w:vAlign w:val="bottom"/>
          </w:tcPr>
          <w:p>
            <w:pPr>
              <w:ind w:left="140"/>
              <w:spacing w:after="0" w:line="176" w:lineRule="exact"/>
              <w:rPr>
                <w:sz w:val="20"/>
                <w:szCs w:val="20"/>
                <w:color w:val="auto"/>
              </w:rPr>
            </w:pPr>
            <w:r>
              <w:rPr>
                <w:rFonts w:ascii="Arial" w:cs="Arial" w:eastAsia="Arial" w:hAnsi="Arial"/>
                <w:sz w:val="18"/>
                <w:szCs w:val="18"/>
                <w:color w:val="auto"/>
                <w:w w:val="99"/>
              </w:rPr>
              <w:t>Other comprehensive loss, net of</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2800" w:type="dxa"/>
            <w:vAlign w:val="bottom"/>
          </w:tcPr>
          <w:p>
            <w:pPr>
              <w:ind w:left="140"/>
              <w:spacing w:after="0"/>
              <w:rPr>
                <w:sz w:val="20"/>
                <w:szCs w:val="20"/>
                <w:color w:val="auto"/>
              </w:rPr>
            </w:pPr>
            <w:r>
              <w:rPr>
                <w:rFonts w:ascii="Arial" w:cs="Arial" w:eastAsia="Arial" w:hAnsi="Arial"/>
                <w:sz w:val="18"/>
                <w:szCs w:val="18"/>
                <w:color w:val="auto"/>
              </w:rPr>
              <w:t>tax</w:t>
            </w:r>
          </w:p>
        </w:tc>
        <w:tc>
          <w:tcPr>
            <w:tcW w:w="3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(5,540)</w:t>
            </w: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642,988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(41,284)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(72,685)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522,678</w:t>
            </w: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Employee equity transactions</w:t>
            </w:r>
          </w:p>
        </w:tc>
        <w:tc>
          <w:tcPr>
            <w:tcW w:w="3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3,397</w:t>
            </w: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21,711</w:t>
            </w:r>
          </w:p>
        </w:tc>
      </w:tr>
      <w:tr>
        <w:trPr>
          <w:trHeight w:val="175"/>
        </w:trPr>
        <w:tc>
          <w:tcPr>
            <w:tcW w:w="2800" w:type="dxa"/>
            <w:vAlign w:val="bottom"/>
          </w:tcPr>
          <w:p>
            <w:pPr>
              <w:ind w:left="140"/>
              <w:spacing w:after="0" w:line="176" w:lineRule="exact"/>
              <w:rPr>
                <w:sz w:val="20"/>
                <w:szCs w:val="20"/>
                <w:color w:val="auto"/>
              </w:rPr>
            </w:pPr>
            <w:r>
              <w:rPr>
                <w:rFonts w:ascii="Arial" w:cs="Arial" w:eastAsia="Arial" w:hAnsi="Arial"/>
                <w:sz w:val="18"/>
                <w:szCs w:val="18"/>
                <w:color w:val="auto"/>
                <w:w w:val="99"/>
              </w:rPr>
              <w:t>Other comprehensive loss, net of</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2800" w:type="dxa"/>
            <w:vAlign w:val="bottom"/>
          </w:tcPr>
          <w:p>
            <w:pPr>
              <w:ind w:left="140"/>
              <w:spacing w:after="0"/>
              <w:rPr>
                <w:sz w:val="20"/>
                <w:szCs w:val="20"/>
                <w:color w:val="auto"/>
              </w:rPr>
            </w:pPr>
            <w:r>
              <w:rPr>
                <w:rFonts w:ascii="Arial" w:cs="Arial" w:eastAsia="Arial" w:hAnsi="Arial"/>
                <w:sz w:val="18"/>
                <w:szCs w:val="18"/>
                <w:color w:val="auto"/>
              </w:rPr>
              <w:t>tax</w:t>
            </w:r>
          </w:p>
        </w:tc>
        <w:tc>
          <w:tcPr>
            <w:tcW w:w="3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(12,389)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(12,389)</w:t>
            </w: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645,292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535,397</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80"/>
              <w:spacing w:after="0" w:line="157" w:lineRule="exact"/>
              <w:rPr>
                <w:sz w:val="20"/>
                <w:szCs w:val="20"/>
                <w:color w:val="auto"/>
              </w:rPr>
            </w:pPr>
            <w:r>
              <w:rPr>
                <w:rFonts w:ascii="Arial" w:cs="Arial" w:eastAsia="Arial" w:hAnsi="Arial"/>
                <w:sz w:val="14"/>
                <w:szCs w:val="14"/>
                <w:color w:val="auto"/>
                <w:w w:val="93"/>
              </w:rPr>
              <w:t>Accumulated</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40"/>
        </w:trPr>
        <w:tc>
          <w:tcPr>
            <w:tcW w:w="2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Stock Notes</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Comprehensive</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97"/>
        </w:trPr>
        <w:tc>
          <w:tcPr>
            <w:tcW w:w="28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060" w:type="dxa"/>
            <w:vAlign w:val="bottom"/>
            <w:gridSpan w:val="3"/>
          </w:tcPr>
          <w:p>
            <w:pPr>
              <w:ind w:left="40"/>
              <w:spacing w:after="0"/>
              <w:rPr>
                <w:sz w:val="20"/>
                <w:szCs w:val="20"/>
                <w:color w:val="auto"/>
              </w:rPr>
            </w:pPr>
            <w:r>
              <w:rPr>
                <w:rFonts w:ascii="Arial" w:cs="Arial" w:eastAsia="Arial" w:hAnsi="Arial"/>
                <w:sz w:val="14"/>
                <w:szCs w:val="14"/>
                <w:color w:val="auto"/>
              </w:rPr>
              <w:t>Preferred Stock</w:t>
            </w: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Common Stock</w:t>
            </w:r>
          </w:p>
        </w:tc>
        <w:tc>
          <w:tcPr>
            <w:tcW w:w="1060" w:type="dxa"/>
            <w:vAlign w:val="bottom"/>
            <w:gridSpan w:val="3"/>
          </w:tcPr>
          <w:p>
            <w:pPr>
              <w:ind w:left="60"/>
              <w:spacing w:after="0"/>
              <w:rPr>
                <w:sz w:val="20"/>
                <w:szCs w:val="20"/>
                <w:color w:val="auto"/>
              </w:rPr>
            </w:pPr>
            <w:r>
              <w:rPr>
                <w:rFonts w:ascii="Arial" w:cs="Arial" w:eastAsia="Arial" w:hAnsi="Arial"/>
                <w:sz w:val="14"/>
                <w:szCs w:val="14"/>
                <w:color w:val="auto"/>
              </w:rPr>
              <w:t>Treasury Stock</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Paid-in Capital</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Receivable</w:t>
            </w:r>
          </w:p>
        </w:tc>
        <w:tc>
          <w:tcPr>
            <w:tcW w:w="100" w:type="dxa"/>
            <w:vAlign w:val="bottom"/>
          </w:tcPr>
          <w:p>
            <w:pPr>
              <w:spacing w:after="0"/>
              <w:rPr>
                <w:sz w:val="17"/>
                <w:szCs w:val="17"/>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7"/>
                <w:szCs w:val="17"/>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Total</w:t>
            </w:r>
          </w:p>
        </w:tc>
      </w:tr>
      <w:tr>
        <w:trPr>
          <w:trHeight w:val="229"/>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426,080</w:t>
            </w: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Employee equity transactions</w:t>
            </w:r>
          </w:p>
        </w:tc>
        <w:tc>
          <w:tcPr>
            <w:tcW w:w="4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stock notes</w:t>
            </w: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57"/>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 to other assets</w:t>
            </w:r>
          </w:p>
        </w:tc>
        <w:tc>
          <w:tcPr>
            <w:tcW w:w="4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16,311</w:t>
            </w:r>
          </w:p>
        </w:tc>
      </w:tr>
      <w:tr>
        <w:trPr>
          <w:trHeight w:val="176"/>
        </w:trPr>
        <w:tc>
          <w:tcPr>
            <w:tcW w:w="28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Other comprehensive loss, net of</w:t>
            </w: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w:t>
            </w: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(16,404)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w:t>
            </w: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575,661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2"/>
              </w:rPr>
              <w:t>(11,764)</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(128,502)</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428,619</w:t>
            </w: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equity transactions</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5,065</w:t>
            </w:r>
          </w:p>
        </w:tc>
      </w:tr>
      <w:tr>
        <w:trPr>
          <w:trHeight w:val="175"/>
        </w:trPr>
        <w:tc>
          <w:tcPr>
            <w:tcW w:w="28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Other comprehensive loss, net of</w:t>
            </w: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w:t>
            </w: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(14,767)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r>
      <w:tr>
        <w:trPr>
          <w:trHeight w:val="222"/>
        </w:trPr>
        <w:tc>
          <w:tcPr>
            <w:tcW w:w="280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576,331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2"/>
              </w:rPr>
              <w:t>(26,531)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(123,437)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419,607</w:t>
            </w: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Employee equity transactions</w:t>
            </w:r>
          </w:p>
        </w:tc>
        <w:tc>
          <w:tcPr>
            <w:tcW w:w="4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176"/>
        </w:trPr>
        <w:tc>
          <w:tcPr>
            <w:tcW w:w="2800" w:type="dxa"/>
            <w:vAlign w:val="bottom"/>
          </w:tcPr>
          <w:p>
            <w:pPr>
              <w:ind w:left="140"/>
              <w:spacing w:after="0" w:line="176" w:lineRule="exact"/>
              <w:rPr>
                <w:sz w:val="20"/>
                <w:szCs w:val="20"/>
                <w:color w:val="auto"/>
              </w:rPr>
            </w:pPr>
            <w:r>
              <w:rPr>
                <w:rFonts w:ascii="Arial" w:cs="Arial" w:eastAsia="Arial" w:hAnsi="Arial"/>
                <w:sz w:val="18"/>
                <w:szCs w:val="18"/>
                <w:color w:val="auto"/>
                <w:w w:val="99"/>
              </w:rPr>
              <w:t>Other comprehensive loss, net of</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2800" w:type="dxa"/>
            <w:vAlign w:val="bottom"/>
          </w:tcPr>
          <w:p>
            <w:pPr>
              <w:ind w:left="140"/>
              <w:spacing w:after="0"/>
              <w:rPr>
                <w:sz w:val="20"/>
                <w:szCs w:val="20"/>
                <w:color w:val="auto"/>
              </w:rPr>
            </w:pPr>
            <w:r>
              <w:rPr>
                <w:rFonts w:ascii="Arial" w:cs="Arial" w:eastAsia="Arial" w:hAnsi="Arial"/>
                <w:sz w:val="18"/>
                <w:szCs w:val="18"/>
                <w:color w:val="auto"/>
              </w:rPr>
              <w:t>tax</w:t>
            </w:r>
          </w:p>
        </w:tc>
        <w:tc>
          <w:tcPr>
            <w:tcW w:w="4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w w:val="92"/>
              </w:rPr>
              <w:t>(17,775)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(17,775)</w:t>
            </w: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2"/>
              </w:rPr>
              <w:t>(44,306)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399,817</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56,719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161,820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105,936</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218,539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124,913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Purchase of fixed maturity securities, available-for-sale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(342,088)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(211,097)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illiquid investments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Purchase of equity securities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(22,436)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(49,018)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direct and indirect loans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Sales and maturities of investment securities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110,695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76,765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from equity method investments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Change in short-term investments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(72,891)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59,363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 for securities sold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Cash provided by deposit accounting</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8,631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investment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(307,833)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(128,281)</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Employee share purchases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Draw on revolving line of credit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Repayment of term loan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initial public offering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66,262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103,266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34"/>
        </w:trPr>
        <w:tc>
          <w:tcPr>
            <w:tcW w:w="7780" w:type="dxa"/>
            <w:vAlign w:val="bottom"/>
          </w:tcPr>
          <w:p>
            <w:pPr>
              <w:ind w:left="360"/>
              <w:spacing w:after="0"/>
              <w:rPr>
                <w:sz w:val="20"/>
                <w:szCs w:val="20"/>
                <w:color w:val="auto"/>
              </w:rPr>
            </w:pPr>
            <w:r>
              <w:rPr>
                <w:rFonts w:ascii="Arial" w:cs="Arial" w:eastAsia="Arial" w:hAnsi="Arial"/>
                <w:sz w:val="18"/>
                <w:szCs w:val="18"/>
                <w:color w:val="auto"/>
              </w:rPr>
              <w:t>Cash paid for federal income taxes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9"/>
        </w:trPr>
        <w:tc>
          <w:tcPr>
            <w:tcW w:w="7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7520" w:firstLine="8"/>
        <w:spacing w:after="0" w:line="378" w:lineRule="auto"/>
        <w:tabs>
          <w:tab w:leader="none" w:pos="3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 Basis of Presentation</w:t>
      </w:r>
    </w:p>
    <w:p>
      <w:pPr>
        <w:jc w:val="both"/>
        <w:ind w:firstLine="324"/>
        <w:spacing w:after="0" w:line="254" w:lineRule="auto"/>
        <w:rPr>
          <w:sz w:val="20"/>
          <w:szCs w:val="20"/>
          <w:color w:val="auto"/>
        </w:rPr>
      </w:pPr>
      <w:r>
        <w:rPr>
          <w:rFonts w:ascii="Arial" w:cs="Arial" w:eastAsia="Arial" w:hAnsi="Arial"/>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2022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2022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Adopted</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June 2016, the FASB issued ASU 2016-13, Measurement of Credit Losses on Financial Instruments. ASU 2016-13 requires organizations to estimate credit losses on certain types of financial instruments, including receivables and fixed maturity securities, by introducing an approach based on expected losses. The expected loss approach required entities to incorporate considerations of historical information, current information, and reasonable and supportable forecasts. The Company adopted ASU 2016-13 effective January 1, 2023 using the modified retrospective approach, by which a cumulative-effect adjustment was made to retained earnings as of the date of adoption. In connection with the adoption of ASU 2016-13, the Company elected the fair value option in accounting for mortgage loans effective January 1, 2023 as targeted transition relief. The adoption of ASU 2016-13 resulted in a $2.3 million increase in accumulated deficit,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Updates to Significant Accounting Policies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accounting policies have been updated to reflect the Company's adoption of ASU 2016-13, Measurement of Credit Losses on Financial Instruments as described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Investments in fixed maturities that are classified as available-for-sale are carried at fair value. For available-for-sale fixed maturities in an unrealized loss position, the Company first determines whether there is an intent to sell the security or if it is more likely than not that the Company will be required to sell the security before maturity or recovery of its cost basis. If either of these criteria were met, the amortized cost of the security is written down to fair value with the losses recognized in net investment (losses) gains on the consolidated statements of operations. If neither of the these criteria were met, the Company determines whether unrealized losses are due to credit-related factors. If the unrealized losses are due to credit-related factors, an allowance for credit losses is determined using a present value of cash flows compared to the amortized cost of the security.</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allowance for credit losses is limited to the amount by which fair value is below amortized cost. Changes in the allowance for credit losses are recognized in net investment income on the consolidated statements of operations. Credit losses that are limited by the fair value of the security are recognized in stockholders’ equity, net of taxes, as a component of accumulated other comprehensive (loss) income. Unrealized losses that are not credit-related continue to be recognized in stockholders’ equity, net of taxes, as a component of accumulated other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Investments in fixed maturity securities that are held-to-maturity are carried at amortized cost net of an allowance for credit losses. The allowance for credit losses represents the current estimate of expected credit losses. The Company develops a historical loss rate from Moody’s table of estimated multi-year cumulative loss rates for asset backed securities. This historical loss rate is adjusted for current conditions and reasonable and supportable forecasts. Changes in the allowance for credit losses are recognized in net investment income on the consolidated statements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elected the fair value option in accounting for mortgage loans effective January 1, 2023 as targeted transition relief. Under the fair value option, mortgage loans are measured at fair value, and changes in unrealized gains and losses on mortgage loans are reported in net investment (losses) gains on the condensed consolidated statements of operations. Interest income and amortization continue to be recognized in net investment income on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Reinsurance Recoverables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Reinsurance recoverables are carried net of an allowance for credit losses. The allowance for credit losses represents the current estimate of expected credit losses. The Company develops a historical loss rate using the A.M. Best impairment rate and rating transition study which provides historical loss data of similarly rated reinsurance companies based on the expected duration of the receivables. This historical loss rate is adjusted for current conditions and reasonable and supportable forecasts and consideration of current economic conditions. Changes in the allowance for credit losses are recognized in underwriting, acquisition and insurance expenses on the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Premiums Receivable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Premiums receivable are carried net of an allowance for credit losses. The allowance for credit losses represents the current estimate of expected credit losses. The Company develops a historical loss rate using historical write-offs and aging of receivables. This historical loss rate is adjusted for current conditions, reasonable and supportable forecasts and our ability to cancel coverage on a policy after premium is considered past due. Changes in the allowance for credit losses are recognized in underwriting, acquisition and insurance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tables set forth the amortized cost and the fair value by investment category at September 30, 2023 and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330"/>
              <w:spacing w:after="0" w:line="189" w:lineRule="exact"/>
              <w:rPr>
                <w:sz w:val="20"/>
                <w:szCs w:val="20"/>
                <w:color w:val="auto"/>
              </w:rPr>
            </w:pPr>
            <w:r>
              <w:rPr>
                <w:rFonts w:ascii="Arial" w:cs="Arial" w:eastAsia="Arial" w:hAnsi="Arial"/>
                <w:sz w:val="18"/>
                <w:szCs w:val="18"/>
                <w:color w:val="auto"/>
                <w:w w:val="95"/>
              </w:rPr>
              <w:t>Gross</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4"/>
          </w:tcPr>
          <w:p>
            <w:pPr>
              <w:jc w:val="center"/>
              <w:ind w:left="230"/>
              <w:spacing w:after="0" w:line="189" w:lineRule="exact"/>
              <w:rPr>
                <w:sz w:val="20"/>
                <w:szCs w:val="20"/>
                <w:color w:val="auto"/>
              </w:rPr>
            </w:pPr>
            <w:r>
              <w:rPr>
                <w:rFonts w:ascii="Arial" w:cs="Arial" w:eastAsia="Arial" w:hAnsi="Arial"/>
                <w:sz w:val="18"/>
                <w:szCs w:val="18"/>
                <w:color w:val="auto"/>
                <w:w w:val="87"/>
              </w:rPr>
              <w:t>Gross</w:t>
            </w:r>
          </w:p>
        </w:tc>
        <w:tc>
          <w:tcPr>
            <w:tcW w:w="3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5"/>
          </w:tcPr>
          <w:p>
            <w:pPr>
              <w:ind w:left="180"/>
              <w:spacing w:after="0" w:line="189" w:lineRule="exact"/>
              <w:rPr>
                <w:sz w:val="20"/>
                <w:szCs w:val="20"/>
                <w:color w:val="auto"/>
              </w:rPr>
            </w:pPr>
            <w:r>
              <w:rPr>
                <w:rFonts w:ascii="Arial" w:cs="Arial" w:eastAsia="Arial" w:hAnsi="Arial"/>
                <w:sz w:val="18"/>
                <w:szCs w:val="18"/>
                <w:color w:val="auto"/>
              </w:rPr>
              <w:t>Gross</w:t>
            </w:r>
          </w:p>
        </w:tc>
        <w:tc>
          <w:tcPr>
            <w:tcW w:w="1340" w:type="dxa"/>
            <w:vAlign w:val="bottom"/>
            <w:tcBorders>
              <w:top w:val="single" w:sz="8" w:color="auto"/>
            </w:tcBorders>
            <w:gridSpan w:val="6"/>
            <w:vMerge w:val="restart"/>
          </w:tcPr>
          <w:p>
            <w:pPr>
              <w:jc w:val="center"/>
              <w:ind w:right="100"/>
              <w:spacing w:after="0"/>
              <w:rPr>
                <w:sz w:val="20"/>
                <w:szCs w:val="20"/>
                <w:color w:val="auto"/>
              </w:rPr>
            </w:pPr>
            <w:r>
              <w:rPr>
                <w:rFonts w:ascii="Arial" w:cs="Arial" w:eastAsia="Arial" w:hAnsi="Arial"/>
                <w:sz w:val="18"/>
                <w:szCs w:val="18"/>
                <w:color w:val="auto"/>
                <w:w w:val="96"/>
              </w:rPr>
              <w:t>Allowance for</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200" w:type="dxa"/>
            <w:vAlign w:val="bottom"/>
            <w:gridSpan w:val="3"/>
          </w:tcPr>
          <w:p>
            <w:pPr>
              <w:jc w:val="right"/>
              <w:ind w:right="150"/>
              <w:spacing w:after="0" w:line="176" w:lineRule="exact"/>
              <w:rPr>
                <w:sz w:val="20"/>
                <w:szCs w:val="20"/>
                <w:color w:val="auto"/>
              </w:rPr>
            </w:pPr>
            <w:r>
              <w:rPr>
                <w:rFonts w:ascii="Arial" w:cs="Arial" w:eastAsia="Arial" w:hAnsi="Arial"/>
                <w:sz w:val="18"/>
                <w:szCs w:val="18"/>
                <w:color w:val="auto"/>
              </w:rPr>
              <w:t>Amortized</w:t>
            </w:r>
          </w:p>
        </w:tc>
        <w:tc>
          <w:tcPr>
            <w:tcW w:w="100" w:type="dxa"/>
            <w:vAlign w:val="bottom"/>
          </w:tcPr>
          <w:p>
            <w:pPr>
              <w:spacing w:after="0"/>
              <w:rPr>
                <w:sz w:val="15"/>
                <w:szCs w:val="15"/>
                <w:color w:val="auto"/>
              </w:rPr>
            </w:pPr>
          </w:p>
        </w:tc>
        <w:tc>
          <w:tcPr>
            <w:tcW w:w="1320" w:type="dxa"/>
            <w:vAlign w:val="bottom"/>
            <w:gridSpan w:val="6"/>
          </w:tcPr>
          <w:p>
            <w:pPr>
              <w:jc w:val="center"/>
              <w:ind w:right="140"/>
              <w:spacing w:after="0" w:line="176" w:lineRule="exact"/>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5"/>
                <w:szCs w:val="15"/>
                <w:color w:val="auto"/>
              </w:rPr>
            </w:pPr>
          </w:p>
        </w:tc>
        <w:tc>
          <w:tcPr>
            <w:tcW w:w="1120" w:type="dxa"/>
            <w:vAlign w:val="bottom"/>
            <w:gridSpan w:val="5"/>
          </w:tcPr>
          <w:p>
            <w:pPr>
              <w:spacing w:after="0" w:line="176" w:lineRule="exact"/>
              <w:rPr>
                <w:sz w:val="20"/>
                <w:szCs w:val="20"/>
                <w:color w:val="auto"/>
              </w:rPr>
            </w:pPr>
            <w:r>
              <w:rPr>
                <w:rFonts w:ascii="Arial" w:cs="Arial" w:eastAsia="Arial" w:hAnsi="Arial"/>
                <w:sz w:val="18"/>
                <w:szCs w:val="18"/>
                <w:color w:val="auto"/>
              </w:rPr>
              <w:t>Unrealized</w:t>
            </w:r>
          </w:p>
        </w:tc>
        <w:tc>
          <w:tcPr>
            <w:tcW w:w="134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89"/>
              </w:rPr>
              <w:t>Gains</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5"/>
          </w:tcPr>
          <w:p>
            <w:pPr>
              <w:ind w:left="1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1"/>
                <w:szCs w:val="21"/>
                <w:color w:val="auto"/>
              </w:rPr>
            </w:pPr>
          </w:p>
        </w:tc>
        <w:tc>
          <w:tcPr>
            <w:tcW w:w="122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Credit Losses</w:t>
            </w:r>
          </w:p>
        </w:tc>
        <w:tc>
          <w:tcPr>
            <w:tcW w:w="1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47,778</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spacing w:after="0"/>
              <w:rPr>
                <w:sz w:val="19"/>
                <w:szCs w:val="19"/>
                <w:color w:val="auto"/>
              </w:rPr>
            </w:pPr>
          </w:p>
        </w:tc>
        <w:tc>
          <w:tcPr>
            <w:tcW w:w="3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46,382</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357,652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3"/>
              </w:rPr>
              <w:t>228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b w:val="1"/>
                <w:bCs w:val="1"/>
                <w:color w:val="auto"/>
              </w:rPr>
              <w:t>(24,871)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4"/>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333,009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(10,130)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83,367</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255,083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b w:val="1"/>
                <w:bCs w:val="1"/>
                <w:color w:val="auto"/>
              </w:rPr>
              <w:t>(24,421)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4"/>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230,698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17,671</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168,962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3"/>
              </w:rPr>
              <w:t>201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(5,426)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4"/>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163,737</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(68,450)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874,864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44,757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40,769</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fixed maturity securities, held-to-maturity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44,757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(3,668)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40,769</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4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10"/>
              <w:spacing w:after="0" w:line="169"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Gross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3"/>
              </w:rPr>
              <w:t>Amortized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4"/>
          </w:tcPr>
          <w:p>
            <w:pPr>
              <w:jc w:val="right"/>
              <w:ind w:right="230"/>
              <w:spacing w:after="0" w:line="176" w:lineRule="exact"/>
              <w:rPr>
                <w:sz w:val="20"/>
                <w:szCs w:val="20"/>
                <w:color w:val="auto"/>
              </w:rPr>
            </w:pPr>
            <w:r>
              <w:rPr>
                <w:rFonts w:ascii="Arial" w:cs="Arial" w:eastAsia="Arial" w:hAnsi="Arial"/>
                <w:sz w:val="18"/>
                <w:szCs w:val="18"/>
                <w:color w:val="auto"/>
                <w:w w:val="92"/>
              </w:rPr>
              <w:t>Unrealized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4"/>
          </w:tcPr>
          <w:p>
            <w:pPr>
              <w:jc w:val="right"/>
              <w:ind w:right="270"/>
              <w:spacing w:after="0" w:line="176" w:lineRule="exact"/>
              <w:rPr>
                <w:sz w:val="20"/>
                <w:szCs w:val="20"/>
                <w:color w:val="auto"/>
              </w:rPr>
            </w:pPr>
            <w:r>
              <w:rPr>
                <w:rFonts w:ascii="Arial" w:cs="Arial" w:eastAsia="Arial" w:hAnsi="Arial"/>
                <w:sz w:val="18"/>
                <w:szCs w:val="18"/>
                <w:color w:val="auto"/>
              </w:rPr>
              <w:t>Unrealized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6"/>
              </w:rPr>
              <w:t>Cost</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Gains</w:t>
            </w: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Loss</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50,416</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48,541</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255,116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235,129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65,836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57,727</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134,844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119,856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40,129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116,275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109,824</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662,616</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52,467</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fixed maturity securities, held-to-maturity</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52,467</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amortized cost and fair value of available-for-sale fixed maturity securities by contractual maturity at September 30,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Arial" w:cs="Arial" w:eastAsia="Arial" w:hAnsi="Arial"/>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29,963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29,280</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256,015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240,868</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130,724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118,893</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82,217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73,717</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274,960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248,369</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168,962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163,737</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942,841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874,864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fixed maturity securities, held-to-maturity, at September 30, 2023 consisted entirely of asset backed securities that were not due at a single maturity date.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the gross unrealized losses and the corresponding fair values of investments, aggregated by length of time that individual securities had been in a continuous unrealized loss position as of September 30,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5"/>
          </w:tcPr>
          <w:p>
            <w:pPr>
              <w:ind w:left="460"/>
              <w:spacing w:after="0"/>
              <w:rPr>
                <w:sz w:val="20"/>
                <w:szCs w:val="20"/>
                <w:color w:val="auto"/>
              </w:rPr>
            </w:pPr>
            <w:r>
              <w:rPr>
                <w:rFonts w:ascii="Arial" w:cs="Arial" w:eastAsia="Arial" w:hAnsi="Arial"/>
                <w:sz w:val="14"/>
                <w:szCs w:val="14"/>
                <w:color w:val="auto"/>
              </w:rPr>
              <w:t>Less than 12 Months</w:t>
            </w:r>
          </w:p>
        </w:tc>
        <w:tc>
          <w:tcPr>
            <w:tcW w:w="20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5"/>
          </w:tcPr>
          <w:p>
            <w:pPr>
              <w:ind w:left="500"/>
              <w:spacing w:after="0"/>
              <w:rPr>
                <w:sz w:val="20"/>
                <w:szCs w:val="20"/>
                <w:color w:val="auto"/>
              </w:rPr>
            </w:pPr>
            <w:r>
              <w:rPr>
                <w:rFonts w:ascii="Arial" w:cs="Arial" w:eastAsia="Arial" w:hAnsi="Arial"/>
                <w:sz w:val="14"/>
                <w:szCs w:val="14"/>
                <w:color w:val="auto"/>
              </w:rPr>
              <w:t>12 Months or More</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color w:val="auto"/>
                <w:w w:val="92"/>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color w:val="auto"/>
                <w:w w:val="92"/>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90"/>
              </w:rPr>
              <w:t>Gross Unrealized</w:t>
            </w:r>
          </w:p>
        </w:tc>
        <w:tc>
          <w:tcPr>
            <w:tcW w:w="0" w:type="dxa"/>
            <w:vAlign w:val="bottom"/>
          </w:tcPr>
          <w:p>
            <w:pPr>
              <w:spacing w:after="0"/>
              <w:rPr>
                <w:sz w:val="1"/>
                <w:szCs w:val="1"/>
                <w:color w:val="auto"/>
              </w:rPr>
            </w:pPr>
          </w:p>
        </w:tc>
      </w:tr>
      <w:tr>
        <w:trPr>
          <w:trHeight w:val="182"/>
        </w:trPr>
        <w:tc>
          <w:tcPr>
            <w:tcW w:w="3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Losses</w:t>
            </w: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Losses</w:t>
            </w: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w w:val="99"/>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143,712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170,048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313,760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(24,871)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(10,130)</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122,385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100,990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223,375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(24,421)</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81,952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65,329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147,281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(5,426)</w:t>
            </w: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fixed maturity securities, available-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415,216</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414,095</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(54,903)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829,311</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(68,450)</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(3,668)</w:t>
            </w:r>
          </w:p>
        </w:tc>
        <w:tc>
          <w:tcPr>
            <w:tcW w:w="0" w:type="dxa"/>
            <w:vAlign w:val="bottom"/>
          </w:tcPr>
          <w:p>
            <w:pPr>
              <w:spacing w:after="0"/>
              <w:rPr>
                <w:sz w:val="1"/>
                <w:szCs w:val="1"/>
                <w:color w:val="auto"/>
              </w:rPr>
            </w:pPr>
          </w:p>
        </w:tc>
      </w:tr>
      <w:tr>
        <w:trPr>
          <w:trHeight w:val="209"/>
        </w:trPr>
        <w:tc>
          <w:tcPr>
            <w:tcW w:w="3480" w:type="dxa"/>
            <w:vAlign w:val="bottom"/>
          </w:tcPr>
          <w:p>
            <w:pPr>
              <w:ind w:left="240"/>
              <w:spacing w:after="0"/>
              <w:rPr>
                <w:sz w:val="20"/>
                <w:szCs w:val="20"/>
                <w:color w:val="auto"/>
              </w:rPr>
            </w:pPr>
            <w:r>
              <w:rPr>
                <w:rFonts w:ascii="Arial" w:cs="Arial" w:eastAsia="Arial" w:hAnsi="Arial"/>
                <w:sz w:val="18"/>
                <w:szCs w:val="18"/>
                <w:color w:val="auto"/>
              </w:rPr>
              <w:t>Total fixed maturity securities, held-to-</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80" w:type="dxa"/>
            <w:vAlign w:val="bottom"/>
          </w:tcPr>
          <w:p>
            <w:pPr>
              <w:ind w:left="240"/>
              <w:spacing w:after="0"/>
              <w:rPr>
                <w:sz w:val="20"/>
                <w:szCs w:val="20"/>
                <w:color w:val="auto"/>
              </w:rPr>
            </w:pPr>
            <w:r>
              <w:rPr>
                <w:rFonts w:ascii="Arial" w:cs="Arial" w:eastAsia="Arial" w:hAnsi="Arial"/>
                <w:sz w:val="18"/>
                <w:szCs w:val="18"/>
                <w:color w:val="auto"/>
              </w:rPr>
              <w:t>maturity:</w:t>
            </w:r>
          </w:p>
        </w:tc>
        <w:tc>
          <w:tcPr>
            <w:tcW w:w="2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40,769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40,769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(3,668)</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415,216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454,864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870,080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(72,118)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5"/>
          </w:tcPr>
          <w:p>
            <w:pPr>
              <w:ind w:left="460"/>
              <w:spacing w:after="0"/>
              <w:rPr>
                <w:sz w:val="20"/>
                <w:szCs w:val="20"/>
                <w:color w:val="auto"/>
              </w:rPr>
            </w:pPr>
            <w:r>
              <w:rPr>
                <w:rFonts w:ascii="Arial" w:cs="Arial" w:eastAsia="Arial" w:hAnsi="Arial"/>
                <w:sz w:val="14"/>
                <w:szCs w:val="14"/>
                <w:color w:val="auto"/>
              </w:rPr>
              <w:t>Less than 12 Months</w:t>
            </w:r>
          </w:p>
        </w:tc>
        <w:tc>
          <w:tcPr>
            <w:tcW w:w="20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5"/>
          </w:tcPr>
          <w:p>
            <w:pPr>
              <w:ind w:left="500"/>
              <w:spacing w:after="0"/>
              <w:rPr>
                <w:sz w:val="20"/>
                <w:szCs w:val="20"/>
                <w:color w:val="auto"/>
              </w:rPr>
            </w:pPr>
            <w:r>
              <w:rPr>
                <w:rFonts w:ascii="Arial" w:cs="Arial" w:eastAsia="Arial" w:hAnsi="Arial"/>
                <w:sz w:val="14"/>
                <w:szCs w:val="14"/>
                <w:color w:val="auto"/>
              </w:rPr>
              <w:t>12 Months or More</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3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
              <w:spacing w:after="0" w:line="137" w:lineRule="exact"/>
              <w:rPr>
                <w:sz w:val="20"/>
                <w:szCs w:val="20"/>
                <w:color w:val="auto"/>
              </w:rPr>
            </w:pPr>
            <w:r>
              <w:rPr>
                <w:rFonts w:ascii="Arial" w:cs="Arial" w:eastAsia="Arial" w:hAnsi="Arial"/>
                <w:sz w:val="14"/>
                <w:szCs w:val="14"/>
                <w:color w:val="auto"/>
                <w:w w:val="92"/>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
              <w:spacing w:after="0" w:line="137" w:lineRule="exact"/>
              <w:rPr>
                <w:sz w:val="20"/>
                <w:szCs w:val="20"/>
                <w:color w:val="auto"/>
              </w:rPr>
            </w:pPr>
            <w:r>
              <w:rPr>
                <w:rFonts w:ascii="Arial" w:cs="Arial" w:eastAsia="Arial" w:hAnsi="Arial"/>
                <w:sz w:val="14"/>
                <w:szCs w:val="14"/>
                <w:color w:val="auto"/>
                <w:w w:val="92"/>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3"/>
              <w:spacing w:after="0" w:line="137" w:lineRule="exact"/>
              <w:rPr>
                <w:sz w:val="20"/>
                <w:szCs w:val="20"/>
                <w:color w:val="auto"/>
              </w:rPr>
            </w:pPr>
            <w:r>
              <w:rPr>
                <w:rFonts w:ascii="Arial" w:cs="Arial" w:eastAsia="Arial" w:hAnsi="Arial"/>
                <w:sz w:val="14"/>
                <w:szCs w:val="14"/>
                <w:color w:val="auto"/>
                <w:w w:val="90"/>
              </w:rPr>
              <w:t>Gross Unrealized</w:t>
            </w:r>
          </w:p>
        </w:tc>
        <w:tc>
          <w:tcPr>
            <w:tcW w:w="0" w:type="dxa"/>
            <w:vAlign w:val="bottom"/>
          </w:tcPr>
          <w:p>
            <w:pPr>
              <w:spacing w:after="0"/>
              <w:rPr>
                <w:sz w:val="1"/>
                <w:szCs w:val="1"/>
                <w:color w:val="auto"/>
              </w:rPr>
            </w:pPr>
          </w:p>
        </w:tc>
      </w:tr>
      <w:tr>
        <w:trPr>
          <w:trHeight w:val="188"/>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w w:val="99"/>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171,506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205,789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100,504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408,939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552,669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156"/>
        </w:trPr>
        <w:tc>
          <w:tcPr>
            <w:tcW w:w="3480" w:type="dxa"/>
            <w:vAlign w:val="bottom"/>
          </w:tcPr>
          <w:p>
            <w:pPr>
              <w:ind w:left="240"/>
              <w:spacing w:after="0" w:line="156" w:lineRule="exact"/>
              <w:rPr>
                <w:sz w:val="20"/>
                <w:szCs w:val="20"/>
                <w:color w:val="auto"/>
              </w:rPr>
            </w:pPr>
            <w:r>
              <w:rPr>
                <w:rFonts w:ascii="Arial" w:cs="Arial" w:eastAsia="Arial" w:hAnsi="Arial"/>
                <w:sz w:val="18"/>
                <w:szCs w:val="18"/>
                <w:color w:val="auto"/>
              </w:rPr>
              <w:t>Total fixed maturity securities, held-to-</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rPr>
                <w:sz w:val="20"/>
                <w:szCs w:val="20"/>
                <w:color w:val="auto"/>
              </w:rPr>
            </w:pPr>
            <w:r>
              <w:rPr>
                <w:rFonts w:ascii="Arial" w:cs="Arial" w:eastAsia="Arial" w:hAnsi="Arial"/>
                <w:sz w:val="18"/>
                <w:szCs w:val="18"/>
                <w:color w:val="auto"/>
              </w:rPr>
              <w:t>maturity:</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September 30, 2023, the Company had 869 lots of fixed maturity securities in an unrealized loss position. The Company does not have an intent to sell these securities and it is not more likely than not that the Company will be required to sell these securities before maturity or recovery of its cost basis. The Company determined that no credit impairment existed in the gross unrealized holding losses because the credit ratings of these securities were consistent with the credit ratings when purchased and/or at origination, there were no adverse changes in financial condition of the issuer and no adverse credit quality events in underlying assets. The Company attributed the unrealized losses to the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net investment (losses) gains for the three and nine months ended September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860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r>
      <w:tr>
        <w:trPr>
          <w:trHeight w:val="209"/>
        </w:trPr>
        <w:tc>
          <w:tcPr>
            <w:tcW w:w="500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(2,825)</w:t>
            </w: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w:t>
            </w: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(losses) gains on investments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(26,180)</w:t>
            </w: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Net investment (losses) gains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(26,117)</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proceeds from sales of available-for-sale fixed maturity securities and equity securities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13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 sale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r>
      <w:tr>
        <w:trPr>
          <w:trHeight w:val="234"/>
        </w:trPr>
        <w:tc>
          <w:tcPr>
            <w:tcW w:w="77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38,581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32,356</w:t>
            </w:r>
          </w:p>
        </w:tc>
      </w:tr>
      <w:tr>
        <w:trPr>
          <w:trHeight w:val="49"/>
        </w:trPr>
        <w:tc>
          <w:tcPr>
            <w:tcW w:w="7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components of net investment income for the three and nine months ended September 30, 2023 and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9,180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23,439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12,103</w:t>
            </w: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maturity securities, held-to-maturity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Mortgage loans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3,109</w:t>
            </w: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Indirect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Short-term investments and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 investment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30,549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37,970</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31,667</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change in net unrealized losses on the Company’s investment portfolio, net of deferred income taxes, included in other comprehensive loss for the three and nine months ended September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(61,957)</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13,011</w:t>
            </w:r>
          </w:p>
        </w:tc>
      </w:tr>
      <w:tr>
        <w:trPr>
          <w:trHeight w:val="248"/>
        </w:trPr>
        <w:tc>
          <w:tcPr>
            <w:tcW w:w="4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2"/>
              </w:rPr>
              <w:t>(48,946)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77" w:lineRule="auto"/>
        <w:rPr>
          <w:sz w:val="20"/>
          <w:szCs w:val="20"/>
          <w:color w:val="auto"/>
        </w:rPr>
      </w:pPr>
      <w:r>
        <w:rPr>
          <w:rFonts w:ascii="Arial" w:cs="Arial" w:eastAsia="Arial" w:hAnsi="Arial"/>
          <w:sz w:val="18"/>
          <w:szCs w:val="18"/>
          <w:color w:val="auto"/>
        </w:rPr>
        <w:t>Level 1 - Inputs are unadjusted, quoted prices for identical assets or liabilities in active markets at the measurement date.</w:t>
      </w:r>
    </w:p>
    <w:p>
      <w:pPr>
        <w:spacing w:after="0" w:line="62" w:lineRule="exact"/>
        <w:rPr>
          <w:sz w:val="20"/>
          <w:szCs w:val="20"/>
          <w:color w:val="auto"/>
        </w:rPr>
      </w:pPr>
    </w:p>
    <w:p>
      <w:pPr>
        <w:ind w:left="1060" w:right="2560" w:hanging="728"/>
        <w:spacing w:after="0" w:line="277" w:lineRule="auto"/>
        <w:rPr>
          <w:sz w:val="20"/>
          <w:szCs w:val="20"/>
          <w:color w:val="auto"/>
        </w:rPr>
      </w:pPr>
      <w:r>
        <w:rPr>
          <w:rFonts w:ascii="Arial" w:cs="Arial" w:eastAsia="Arial" w:hAnsi="Arial"/>
          <w:sz w:val="18"/>
          <w:szCs w:val="18"/>
          <w:color w:val="auto"/>
        </w:rPr>
        <w:t>Level 2 - Inputs are other than quoted prices included in Level 1 that are observable for the asset or liability through corroboration with market data at the measurement date.</w:t>
      </w:r>
    </w:p>
    <w:p>
      <w:pPr>
        <w:spacing w:after="0" w:line="62" w:lineRule="exact"/>
        <w:rPr>
          <w:sz w:val="20"/>
          <w:szCs w:val="20"/>
          <w:color w:val="auto"/>
        </w:rPr>
      </w:pPr>
    </w:p>
    <w:p>
      <w:pPr>
        <w:ind w:left="1060" w:right="2860" w:hanging="728"/>
        <w:spacing w:after="0" w:line="277" w:lineRule="auto"/>
        <w:rPr>
          <w:sz w:val="20"/>
          <w:szCs w:val="20"/>
          <w:color w:val="auto"/>
        </w:rPr>
      </w:pPr>
      <w:r>
        <w:rPr>
          <w:rFonts w:ascii="Arial" w:cs="Arial" w:eastAsia="Arial" w:hAnsi="Arial"/>
          <w:sz w:val="18"/>
          <w:szCs w:val="18"/>
          <w:color w:val="auto"/>
        </w:rPr>
        <w:t>Level 3 - Unobservable inputs that reflect management’s best estimate of what market participants would use in pricing the asset or liability at the measurement date.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in estimating the fair value disclosures for financial instruments in the accompanying consolidated financial statements and in these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securities, mutual funds and 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uses unadjusted quoted prices for identical instruments in an active exchange to measure fair value which represent Level 1 inputs.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stocks, municipal securities, corporate securities and miscellaneous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mortgage-backed securities, residential mortgage-backed securities and asset-backed securities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range and weighted average, weighted by relative fair value, of the spread as of September 30,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20" w:type="dxa"/>
            <w:vAlign w:val="bottom"/>
            <w:tcBorders>
              <w:top w:val="single" w:sz="8" w:color="auto"/>
              <w:bottom w:val="single" w:sz="8" w:color="CCEEFF"/>
            </w:tcBorders>
          </w:tcPr>
          <w:p>
            <w:pPr>
              <w:spacing w:after="0"/>
              <w:rPr>
                <w:sz w:val="21"/>
                <w:szCs w:val="21"/>
                <w:color w:val="auto"/>
              </w:rPr>
            </w:pPr>
          </w:p>
        </w:tc>
        <w:tc>
          <w:tcPr>
            <w:tcW w:w="2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 2023</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15.28 %</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Low</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4.50 %</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6.82 %</w:t>
            </w:r>
          </w:p>
        </w:tc>
      </w:tr>
      <w:tr>
        <w:trPr>
          <w:trHeight w:val="54"/>
        </w:trPr>
        <w:tc>
          <w:tcPr>
            <w:tcW w:w="90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Company’s investments within the fair value hierarchy at September 30,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2023</w:t>
            </w: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46,382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46,382</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333,009</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83,367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83,367</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230,698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230,698</w:t>
            </w: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17,671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17,671</w:t>
            </w: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163,737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163,737</w:t>
            </w:r>
          </w:p>
        </w:tc>
      </w:tr>
      <w:tr>
        <w:trPr>
          <w:trHeight w:val="223"/>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46,382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828,482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874,864</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40,769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40,769</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40,769</w:t>
            </w: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color w:val="auto"/>
              </w:rPr>
              <w:t>Common stocks: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discretionary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1,687</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Consumer staples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13,345</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3,434</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Finance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21,556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21,556</w:t>
            </w: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10,681</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3,974</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3,173</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r>
      <w:tr>
        <w:trPr>
          <w:trHeight w:val="223"/>
        </w:trPr>
        <w:tc>
          <w:tcPr>
            <w:tcW w:w="5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common stocks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60,141</w:t>
            </w: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color w:val="auto"/>
              </w:rPr>
              <w:t>Preferred stocks: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staples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Finance</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4,756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4,756</w:t>
            </w: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714</w:t>
            </w:r>
          </w:p>
        </w:tc>
      </w:tr>
      <w:tr>
        <w:trPr>
          <w:trHeight w:val="223"/>
        </w:trPr>
        <w:tc>
          <w:tcPr>
            <w:tcW w:w="5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preferred stocks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6,899</w:t>
            </w: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5,197</w:t>
            </w: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34,678</w:t>
            </w: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r>
      <w:tr>
        <w:trPr>
          <w:trHeight w:val="223"/>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mutual funds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40,347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40,347</w:t>
            </w:r>
          </w:p>
        </w:tc>
      </w:tr>
      <w:tr>
        <w:trPr>
          <w:trHeight w:val="223"/>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equity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100,488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107,387</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loans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59,318</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194,049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194,049</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340,919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835,381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1,276,387</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December 31, 2022</w:t>
            </w: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48,541</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235,129</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57,727</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119,856</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36,495</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109,824</w:t>
            </w:r>
          </w:p>
        </w:tc>
      </w:tr>
      <w:tr>
        <w:trPr>
          <w:trHeight w:val="223"/>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48,541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559,031</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607,572</w:t>
            </w: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46,771</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color w:val="auto"/>
              </w:rPr>
              <w:t>Common stocks: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discretionary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Consumer staples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12,036</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Finance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22,636</w:t>
            </w: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1,579</w:t>
            </w:r>
          </w:p>
        </w:tc>
      </w:tr>
      <w:tr>
        <w:trPr>
          <w:trHeight w:val="223"/>
        </w:trPr>
        <w:tc>
          <w:tcPr>
            <w:tcW w:w="5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common stocks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55,996</w:t>
            </w: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color w:val="auto"/>
              </w:rPr>
              <w:t>Preferred stocks: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staples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Finance</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7,085</w:t>
            </w: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5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preferred stocks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49,773</w:t>
            </w: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23"/>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mutual funds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55,402</w:t>
            </w:r>
          </w:p>
        </w:tc>
      </w:tr>
      <w:tr>
        <w:trPr>
          <w:trHeight w:val="223"/>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equity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120,169</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loans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52,842</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121,158</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567,802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948,512</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changes in the fair value of instruments carried at fair value with a Level 3 measurement during the nine months ended September 30,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Mortgage Loans</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52,842</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Arial" w:cs="Arial" w:eastAsia="Arial" w:hAnsi="Arial"/>
                <w:sz w:val="18"/>
                <w:szCs w:val="18"/>
                <w:color w:val="auto"/>
              </w:rPr>
              <w:t>Total gains for the period recognized in net investment gains (losses)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(11,421)</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42,335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Total losses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relating to assets held as of period end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gains for the period recognized in net investment gains (losses)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Arial" w:cs="Arial" w:eastAsia="Arial" w:hAnsi="Arial"/>
                <w:sz w:val="18"/>
                <w:szCs w:val="18"/>
                <w:color w:val="auto"/>
              </w:rPr>
              <w:t>Issuances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(9,582)</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32,762</w:t>
            </w: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Total losses for the period recognized in net investment gains (losses) attributable to the change in unrealized gains or losses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6"/>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relating to assets held as of period end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Total gains for the period recognized in net investment gains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26,530</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59,318</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Total losses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80" w:type="dxa"/>
            <w:vAlign w:val="bottom"/>
            <w:vMerge w:val="continue"/>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21"/>
        </w:trPr>
        <w:tc>
          <w:tcPr>
            <w:tcW w:w="9480" w:type="dxa"/>
            <w:vAlign w:val="bottom"/>
          </w:tcPr>
          <w:p>
            <w:pPr>
              <w:ind w:left="20"/>
              <w:spacing w:after="0"/>
              <w:rPr>
                <w:sz w:val="20"/>
                <w:szCs w:val="20"/>
                <w:color w:val="auto"/>
              </w:rPr>
            </w:pPr>
            <w:r>
              <w:rPr>
                <w:rFonts w:ascii="Arial" w:cs="Arial" w:eastAsia="Arial" w:hAnsi="Arial"/>
                <w:sz w:val="18"/>
                <w:szCs w:val="18"/>
                <w:color w:val="auto"/>
              </w:rPr>
              <w:t>relating to assets held as of period end</w:t>
            </w:r>
          </w:p>
        </w:tc>
        <w:tc>
          <w:tcPr>
            <w:tcW w:w="2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in estimating the fair value disclosures of other financial instruments: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Fixed maturity securities, held-to-maturity: </w:t>
      </w:r>
      <w:r>
        <w:rPr>
          <w:rFonts w:ascii="Arial" w:cs="Arial" w:eastAsia="Arial" w:hAnsi="Arial"/>
          <w:sz w:val="18"/>
          <w:szCs w:val="18"/>
          <w:color w:val="auto"/>
        </w:rPr>
        <w:t>Fixed maturity securities, held-to-maturity consists of senior and junior notes with target rates of return. As</w:t>
      </w:r>
      <w:r>
        <w:rPr>
          <w:rFonts w:ascii="Arial" w:cs="Arial" w:eastAsia="Arial" w:hAnsi="Arial"/>
          <w:sz w:val="18"/>
          <w:szCs w:val="18"/>
          <w:i w:val="1"/>
          <w:iCs w:val="1"/>
          <w:color w:val="auto"/>
        </w:rPr>
        <w:t xml:space="preserve"> </w:t>
      </w:r>
      <w:r>
        <w:rPr>
          <w:rFonts w:ascii="Arial" w:cs="Arial" w:eastAsia="Arial" w:hAnsi="Arial"/>
          <w:sz w:val="18"/>
          <w:szCs w:val="18"/>
          <w:color w:val="auto"/>
        </w:rPr>
        <w:t>of September 30, 2023, the Company determined the fair value of these instruments using the income approach utilizing inputs that are unobservable (Level 3).</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The carrying value approximates the estimated fair value for notes payable as the notes payable accrue interest at current market rates</w:t>
      </w:r>
      <w:r>
        <w:rPr>
          <w:rFonts w:ascii="Arial" w:cs="Arial" w:eastAsia="Arial" w:hAnsi="Arial"/>
          <w:sz w:val="17"/>
          <w:szCs w:val="17"/>
          <w:i w:val="1"/>
          <w:iCs w:val="1"/>
          <w:color w:val="auto"/>
        </w:rPr>
        <w:t xml:space="preserve"> </w:t>
      </w:r>
      <w:r>
        <w:rPr>
          <w:rFonts w:ascii="Arial" w:cs="Arial" w:eastAsia="Arial" w:hAnsi="Arial"/>
          <w:sz w:val="17"/>
          <w:szCs w:val="17"/>
          <w:color w:val="auto"/>
        </w:rPr>
        <w:t>plus a spread. The Company determines fair value using the income approach utilizing inputs that are observable (Level 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Subordinated debt: </w:t>
      </w:r>
      <w:r>
        <w:rPr>
          <w:rFonts w:ascii="Arial" w:cs="Arial" w:eastAsia="Arial" w:hAnsi="Arial"/>
          <w:sz w:val="17"/>
          <w:szCs w:val="17"/>
          <w:color w:val="auto"/>
        </w:rPr>
        <w:t>Subordinated debt consists of two debt instruments, the Junior Subordinated Interest Debentures, due September 15, 2036, and</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Subordinated Notes, due May 24, 2039. The carrying value of the Junior Subordinated Interest Debentures approximates the estimated fair value as the instrument accrues interest at current market rates plus a spread. Unsecured Subordinated Notes have a fixed interest rate. The Company determines the fair value of these instruments using the income approach utilizing inputs that are observable (Level 2).</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Company’s carrying and fair values of notes payable and subordinated debt as of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December 31, 2022</w:t>
            </w:r>
          </w:p>
        </w:tc>
      </w:tr>
      <w:tr>
        <w:trPr>
          <w:trHeight w:val="169"/>
        </w:trPr>
        <w:tc>
          <w:tcPr>
            <w:tcW w:w="5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Arial" w:cs="Arial" w:eastAsia="Arial" w:hAnsi="Arial"/>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0"/>
              <w:spacing w:after="0" w:line="169"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Arial" w:cs="Arial" w:eastAsia="Arial" w:hAnsi="Arial"/>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0"/>
              <w:spacing w:after="0" w:line="169" w:lineRule="exact"/>
              <w:rPr>
                <w:sz w:val="20"/>
                <w:szCs w:val="20"/>
                <w:color w:val="auto"/>
              </w:rPr>
            </w:pPr>
            <w:r>
              <w:rPr>
                <w:rFonts w:ascii="Arial" w:cs="Arial" w:eastAsia="Arial" w:hAnsi="Arial"/>
                <w:sz w:val="18"/>
                <w:szCs w:val="18"/>
                <w:color w:val="auto"/>
              </w:rPr>
              <w:t>Fair</w:t>
            </w:r>
          </w:p>
        </w:tc>
      </w:tr>
      <w:tr>
        <w:trPr>
          <w:trHeight w:val="237"/>
        </w:trPr>
        <w:tc>
          <w:tcPr>
            <w:tcW w:w="51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Value</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Term loan, due December 31, 2024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240"/>
              <w:spacing w:after="0"/>
              <w:rPr>
                <w:sz w:val="20"/>
                <w:szCs w:val="20"/>
                <w:color w:val="auto"/>
              </w:rPr>
            </w:pPr>
            <w:r>
              <w:rPr>
                <w:rFonts w:ascii="Arial" w:cs="Arial" w:eastAsia="Arial" w:hAnsi="Arial"/>
                <w:sz w:val="18"/>
                <w:szCs w:val="18"/>
                <w:color w:val="auto"/>
              </w:rPr>
              <w:t>Notes payable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Subordinated Debt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Junior subordinated interest debentures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59,174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59,794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59,137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59,794</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Unsecured subordinated notes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19,496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18,934</w:t>
            </w:r>
          </w:p>
        </w:tc>
      </w:tr>
      <w:tr>
        <w:trPr>
          <w:trHeight w:val="223"/>
        </w:trPr>
        <w:tc>
          <w:tcPr>
            <w:tcW w:w="5100" w:type="dxa"/>
            <w:vAlign w:val="bottom"/>
          </w:tcPr>
          <w:p>
            <w:pPr>
              <w:ind w:left="240"/>
              <w:spacing w:after="0"/>
              <w:rPr>
                <w:sz w:val="20"/>
                <w:szCs w:val="20"/>
                <w:color w:val="auto"/>
              </w:rPr>
            </w:pPr>
            <w:r>
              <w:rPr>
                <w:rFonts w:ascii="Arial" w:cs="Arial" w:eastAsia="Arial" w:hAnsi="Arial"/>
                <w:sz w:val="18"/>
                <w:szCs w:val="18"/>
                <w:color w:val="auto"/>
              </w:rPr>
              <w:t>Subordinated debt, net of debt issuance costs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78,670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78,609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78,728</w:t>
            </w:r>
          </w:p>
        </w:tc>
      </w:tr>
      <w:tr>
        <w:trPr>
          <w:trHeight w:val="21"/>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Loans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invested in Separately Managed Accounts (“SMA1” and “SMA2”), managed by Arena Investors, LP (“Arena”), which is affiliated with The Westaim Corporation (“Westaim”) who, directly and through Westaim HIIG LP (a limited partnership controlled by Westaim), is the Company’s largest stockholder. As of September 30, 2023 and December 31, 2022, the Company held direct investments in mortgage loans from various creditors through SMA1 and SMA2.</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mortgage loan portfolios are primarily senior loans on real estate across the U.S. The loans earn interest at a fixed spread above a prime rate, mature in approximately 1 to 2 years from loan origination and the principal amounts of the loans range between 61% to 90% property’s appraised value at the time the loans were made. Mortgage loan participations are carried at fair value as of September 30, 2023 and cost adjusted for unamortized premiums, discounts, and loan fees as of December 31, 2022.</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the Company’s mortgage loans as of September 30,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5"/>
              </w:rPr>
              <w:t>September 30, 2023</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16,469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15,309</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Retail</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16,262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16,516</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Hospitality</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Office</w:t>
            </w:r>
          </w:p>
        </w:tc>
        <w:tc>
          <w:tcPr>
            <w:tcW w:w="5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3,197</w:t>
            </w:r>
          </w:p>
        </w:tc>
      </w:tr>
      <w:tr>
        <w:trPr>
          <w:trHeight w:val="248"/>
        </w:trPr>
        <w:tc>
          <w:tcPr>
            <w:tcW w:w="806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gross investment income for mortgage loans for the three and nine months ended September 30, 2023 and 2022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Office</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48"/>
        </w:trPr>
        <w:tc>
          <w:tcPr>
            <w:tcW w:w="50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and nine months ended September 30, 2023 and 2022.</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2023 and December 31, 2022, approximately $6.7 million and $6.4 million of mortgage loans, respectively, were in the process of foreclosure. The carrying value of the mortgage loans in foreclosure is the lower of cost adjusted for unamortized premiums, discounts, and loan fees or the fair value of the collateral less costs to sell.</w:t>
      </w:r>
    </w:p>
    <w:p>
      <w:pPr>
        <w:spacing w:after="0" w:line="7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Long-Term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Company’s ownership interests in most of its equity method investments range from approximately 3% to less than 50% where the Company has significant influence but not control.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the Company’s equity method investments as of September 30,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5"/>
              </w:rPr>
              <w:t>September 30, 2023</w:t>
            </w: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December 31, 2022</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Arena Special Opportunities Fund, LP units</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41,531</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JVM Funds LLC units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20,651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22,473</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Arena SOP LP units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RISCOM</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4,810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4,037</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Hudson Ventures Fund 2 LP units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Dowling Capital Partners LP units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2,305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1,965</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Universa Black Swan LP units</w:t>
            </w: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Brewer Lane Ventures Fund II LP units</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78,795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net investment (loss) income from equity method investments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Dowling Capital Partners LP units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RISCOM</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Brewer Lane Ventures Fund II LP</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Hudson Ventures Fund II LP units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JVM Funds LLC</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Universa Black Swan LP units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Arena SOP LP units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Arena Special Opportunities Fund, LP units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r>
      <w:tr>
        <w:trPr>
          <w:trHeight w:val="248"/>
        </w:trPr>
        <w:tc>
          <w:tcPr>
            <w:tcW w:w="5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unfunded commitment of equity method investments as of September 30, 2023 and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5"/>
              </w:rPr>
              <w:t>September 30, 2023</w:t>
            </w: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December 31, 2022</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Brewer Lane Ventures Fund II LP units</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Hudson Ventures Fund 2 LP units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1,120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Dowling Capital Partners LP units</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804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6,116</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w:t>
            </w:r>
          </w:p>
        </w:tc>
      </w:tr>
      <w:tr>
        <w:trPr>
          <w:trHeight w:val="21"/>
        </w:trPr>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recorded investment in RISCOM compared to its share of underlying equity as of September 30,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5"/>
              </w:rPr>
              <w:t>September 30, 2023</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RISCOM:</w:t>
            </w: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Underlying equity</w:t>
            </w:r>
          </w:p>
        </w:tc>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3,248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Difference</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23"/>
        </w:trPr>
        <w:tc>
          <w:tcPr>
            <w:tcW w:w="8060" w:type="dxa"/>
            <w:vAlign w:val="bottom"/>
          </w:tcPr>
          <w:p>
            <w:pPr>
              <w:ind w:left="240"/>
              <w:spacing w:after="0"/>
              <w:rPr>
                <w:sz w:val="20"/>
                <w:szCs w:val="20"/>
                <w:color w:val="auto"/>
              </w:rPr>
            </w:pPr>
            <w:r>
              <w:rPr>
                <w:rFonts w:ascii="Arial" w:cs="Arial" w:eastAsia="Arial" w:hAnsi="Arial"/>
                <w:sz w:val="18"/>
                <w:szCs w:val="18"/>
                <w:color w:val="auto"/>
              </w:rPr>
              <w:t>Recorded investment balance</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r>
      <w:tr>
        <w:trPr>
          <w:trHeight w:val="20"/>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Company’s recorded investment in JVM Funds LLC compared to its share of underlying equity as of September 30,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5"/>
              </w:rPr>
              <w:t>September 30, 2023</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JVM Funds LLC:</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Underlying equity</w:t>
            </w: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19,856</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21,565</w:t>
            </w: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Difference</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3"/>
        </w:trPr>
        <w:tc>
          <w:tcPr>
            <w:tcW w:w="8060" w:type="dxa"/>
            <w:vAlign w:val="bottom"/>
          </w:tcPr>
          <w:p>
            <w:pPr>
              <w:ind w:left="240"/>
              <w:spacing w:after="0"/>
              <w:rPr>
                <w:sz w:val="20"/>
                <w:szCs w:val="20"/>
                <w:color w:val="auto"/>
              </w:rPr>
            </w:pPr>
            <w:r>
              <w:rPr>
                <w:rFonts w:ascii="Arial" w:cs="Arial" w:eastAsia="Arial" w:hAnsi="Arial"/>
                <w:sz w:val="18"/>
                <w:szCs w:val="18"/>
                <w:color w:val="auto"/>
              </w:rPr>
              <w:t>Recorded investment balance</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20,651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22,473</w:t>
            </w:r>
          </w:p>
        </w:tc>
      </w:tr>
      <w:tr>
        <w:trPr>
          <w:trHeight w:val="20"/>
        </w:trPr>
        <w:tc>
          <w:tcPr>
            <w:tcW w:w="8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Indirect Loans and Loan Collateral</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2023 and December 31, 2022, the Company held indirect investments in collateralized loans and loan collateral through SMA1 and SMA2.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value and unfunded commitment of the SMA1 and SMA2 as of September 30, 2023 and December 31, 2022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ind w:left="660"/>
              <w:spacing w:after="0"/>
              <w:rPr>
                <w:sz w:val="20"/>
                <w:szCs w:val="20"/>
                <w:color w:val="auto"/>
              </w:rPr>
            </w:pPr>
            <w:r>
              <w:rPr>
                <w:rFonts w:ascii="Arial" w:cs="Arial" w:eastAsia="Arial" w:hAnsi="Arial"/>
                <w:sz w:val="18"/>
                <w:szCs w:val="18"/>
                <w:color w:val="auto"/>
              </w:rPr>
              <w:t>December 31, 2022</w:t>
            </w:r>
          </w:p>
        </w:tc>
      </w:tr>
      <w:tr>
        <w:trPr>
          <w:trHeight w:val="169"/>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30"/>
              <w:spacing w:after="0" w:line="169" w:lineRule="exact"/>
              <w:rPr>
                <w:sz w:val="20"/>
                <w:szCs w:val="20"/>
                <w:color w:val="auto"/>
              </w:rPr>
            </w:pPr>
            <w:r>
              <w:rPr>
                <w:rFonts w:ascii="Arial" w:cs="Arial" w:eastAsia="Arial" w:hAnsi="Arial"/>
                <w:sz w:val="18"/>
                <w:szCs w:val="18"/>
                <w:color w:val="auto"/>
              </w:rPr>
              <w:t>Unfunded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2"/>
              </w:rPr>
              <w:t>Unfunded</w:t>
            </w:r>
          </w:p>
        </w:tc>
      </w:tr>
      <w:tr>
        <w:trPr>
          <w:trHeight w:val="243"/>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Carrying Value</w:t>
            </w:r>
          </w:p>
        </w:tc>
        <w:tc>
          <w:tcPr>
            <w:tcW w:w="1240" w:type="dxa"/>
            <w:vAlign w:val="bottom"/>
          </w:tcPr>
          <w:p>
            <w:pPr>
              <w:jc w:val="right"/>
              <w:spacing w:after="0"/>
              <w:rPr>
                <w:sz w:val="20"/>
                <w:szCs w:val="20"/>
                <w:color w:val="auto"/>
              </w:rPr>
            </w:pPr>
            <w:r>
              <w:rPr>
                <w:rFonts w:ascii="Arial" w:cs="Arial" w:eastAsia="Arial" w:hAnsi="Arial"/>
                <w:sz w:val="18"/>
                <w:szCs w:val="18"/>
                <w:color w:val="auto"/>
              </w:rPr>
              <w:t>Commitment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Carrying Value</w:t>
            </w:r>
          </w:p>
        </w:tc>
        <w:tc>
          <w:tcPr>
            <w:tcW w:w="180" w:type="dxa"/>
            <w:vAlign w:val="bottom"/>
          </w:tcPr>
          <w:p>
            <w:pPr>
              <w:spacing w:after="0"/>
              <w:rPr>
                <w:sz w:val="21"/>
                <w:szCs w:val="21"/>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4"/>
              </w:rPr>
              <w:t>Commitment</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SMA1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31,958</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SMA2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444</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48"/>
        </w:trPr>
        <w:tc>
          <w:tcPr>
            <w:tcW w:w="5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Investment in indirect loans and loan collateral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Trust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carries its investment in the common stock of the Delos Capital Trust n/k/a HIIG Capital Trust I (“Trust”) at cost. There were no impairments or observable changes in price during the nine months ended September 30, 2023 and 2022.</w:t>
      </w:r>
    </w:p>
    <w:p>
      <w:pPr>
        <w:spacing w:after="0" w:line="5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Receivable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changes in the allowance for expected credit losses on premiums receivable 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Cumulative effect of adoption of ASU 2016-13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Current period change for estimated uncollectible premiums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Write-offs of uncollectible premiums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March 31, 2023</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Current period change for estimated uncollectible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Write-offs of uncollectible premiums receivable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Recoveries of amounts previously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2023</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Current period change for estimated uncollectible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Write-offs of uncollectible premiums receivable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Recoveries of amounts previously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color w:val="auto"/>
                <w:w w:val="99"/>
              </w:rPr>
              <w:t>Allowance for Credit</w:t>
            </w:r>
          </w:p>
        </w:tc>
      </w:tr>
      <w:tr>
        <w:trPr>
          <w:trHeight w:val="237"/>
        </w:trPr>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Losses</w:t>
            </w:r>
          </w:p>
        </w:tc>
      </w:tr>
      <w:tr>
        <w:trPr>
          <w:trHeight w:val="224"/>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629</w:t>
            </w:r>
          </w:p>
        </w:tc>
      </w:tr>
      <w:tr>
        <w:trPr>
          <w:trHeight w:val="230"/>
        </w:trPr>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409</w:t>
            </w:r>
          </w:p>
        </w:tc>
      </w:tr>
      <w:tr>
        <w:trPr>
          <w:trHeight w:val="234"/>
        </w:trPr>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18"/>
        </w:trPr>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30"/>
        </w:trPr>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234"/>
        </w:trPr>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18"/>
        </w:trPr>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277</w:t>
            </w:r>
          </w:p>
        </w:tc>
      </w:tr>
      <w:tr>
        <w:trPr>
          <w:trHeight w:val="230"/>
        </w:trPr>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(228)</w:t>
            </w:r>
          </w:p>
        </w:tc>
      </w:tr>
      <w:tr>
        <w:trPr>
          <w:trHeight w:val="234"/>
        </w:trPr>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39"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Reinsurance Recoverables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analyzes the credit risk associated with its reinsurance recoverables by monitoring the financial strength rating of its reinsurers from A.M. Best, a widely recognized rating agency with an exclusive insurance industry focus. The Company assesses the financial strength rating annually and updated throughout the year as A.M. Best provides updates on ratings and outlooks. The Company assesses the adequacy of various forms of credit enhancements such as reinsurance payables, letters of credit and funds held. The Company’s reinsurance recoverables net of credit enhancements by A.M. Best rating as of September 30, 2023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color w:val="auto"/>
              </w:rPr>
              <w:t>A.M. Best Rating</w:t>
            </w:r>
          </w:p>
        </w:tc>
        <w:tc>
          <w:tcPr>
            <w:tcW w:w="2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 2023</w:t>
            </w:r>
          </w:p>
        </w:tc>
      </w:tr>
      <w:tr>
        <w:trPr>
          <w:trHeight w:val="223"/>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 and above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98.0 %</w:t>
            </w:r>
          </w:p>
        </w:tc>
      </w:tr>
      <w:tr>
        <w:trPr>
          <w:trHeight w:val="229"/>
        </w:trPr>
        <w:tc>
          <w:tcPr>
            <w:tcW w:w="9020" w:type="dxa"/>
            <w:vAlign w:val="bottom"/>
          </w:tcPr>
          <w:p>
            <w:pPr>
              <w:ind w:left="140"/>
              <w:spacing w:after="0"/>
              <w:rPr>
                <w:sz w:val="20"/>
                <w:szCs w:val="20"/>
                <w:color w:val="auto"/>
              </w:rPr>
            </w:pPr>
            <w:r>
              <w:rPr>
                <w:rFonts w:ascii="Arial" w:cs="Arial" w:eastAsia="Arial" w:hAnsi="Arial"/>
                <w:sz w:val="18"/>
                <w:szCs w:val="18"/>
                <w:color w:val="auto"/>
              </w:rPr>
              <w:t>B++ to B+</w:t>
            </w:r>
          </w:p>
        </w:tc>
        <w:tc>
          <w:tcPr>
            <w:tcW w:w="2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w:t>
            </w:r>
          </w:p>
        </w:tc>
      </w:tr>
      <w:tr>
        <w:trPr>
          <w:trHeight w:val="230"/>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 rated</w:t>
            </w:r>
          </w:p>
        </w:tc>
        <w:tc>
          <w:tcPr>
            <w:tcW w:w="2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r>
      <w:tr>
        <w:trPr>
          <w:trHeight w:val="54"/>
        </w:trPr>
        <w:tc>
          <w:tcPr>
            <w:tcW w:w="90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reinsurance balances to be past due when they are 90 days past due. The following table sets forth the changes in the allowance for estimated uncollectible reinsurance for the nine months ended September 30,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9"/>
              </w:rPr>
              <w:t>Allowance for Credit</w:t>
            </w:r>
          </w:p>
        </w:tc>
        <w:tc>
          <w:tcPr>
            <w:tcW w:w="0" w:type="dxa"/>
            <w:vAlign w:val="bottom"/>
          </w:tcPr>
          <w:p>
            <w:pPr>
              <w:spacing w:after="0"/>
              <w:rPr>
                <w:sz w:val="1"/>
                <w:szCs w:val="1"/>
                <w:color w:val="auto"/>
              </w:rPr>
            </w:pPr>
          </w:p>
        </w:tc>
      </w:tr>
      <w:tr>
        <w:trPr>
          <w:trHeight w:val="237"/>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Losses</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9140" w:type="dxa"/>
            <w:vAlign w:val="bottom"/>
          </w:tcPr>
          <w:p>
            <w:pPr>
              <w:ind w:left="140"/>
              <w:spacing w:after="0"/>
              <w:rPr>
                <w:sz w:val="20"/>
                <w:szCs w:val="20"/>
                <w:color w:val="auto"/>
              </w:rPr>
            </w:pPr>
            <w:r>
              <w:rPr>
                <w:rFonts w:ascii="Arial" w:cs="Arial" w:eastAsia="Arial" w:hAnsi="Arial"/>
                <w:sz w:val="18"/>
                <w:szCs w:val="18"/>
                <w:color w:val="auto"/>
              </w:rPr>
              <w:t>Cumulative effect of adoption of ASU 2016-13 at January 1, 2023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 change for estimated uncollectible reinsurance</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9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Write-offs of uncollectible reinsurance recoverables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Current period change for estimated uncollectible reinsurance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of uncollectible reinsurance recoverables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4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20"/>
        </w:trPr>
        <w:tc>
          <w:tcPr>
            <w:tcW w:w="9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 change for estimated uncollectible reinsurance</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9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Write-offs of uncollectible reinsurance recoverables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Notes Payable</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entered into an agreement to obtain a new unsecured revolving credit facility (the “Revolving Credit Facility”) with a syndicate of participating banks during the first quarter of 2023. The Revolving Credit Facility provided the Company with up to a $150.0 million revolving credit facility, with an accordion that can increase the capacity by $50.0 million, and a letter of credit sub-facility of up to $30.0 million.</w:t>
      </w:r>
    </w:p>
    <w:p>
      <w:pPr>
        <w:spacing w:after="0" w:line="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nine months ended September 30, 2023, the Company drew $50.0 million on the Revolving Credit Facility and used the proceeds to pay off the principal on its existing term loan. The Company subsequently terminated the existing term loan and revolving line of credit.</w:t>
      </w:r>
    </w:p>
    <w:p>
      <w:pPr>
        <w:spacing w:after="0" w:line="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At September 30, 2023, the six-month SOFR on the Revolving Credit Facility was 5.47%, plus a margin of 1.60%.</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was subject to covenants on the Revolving Credit Facility based on minimum net worth, maximum debt to capital ratio, minimum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Best Rating and minimum liquidity. As of September 30, 2023, the Company was in compliance with all covenants.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September 23, 2022, the Board of Directors approved a 4-for-1 reverse stock split of the Company’s common stock. The reverse stock split became effective January 3, 2023. All share and per share information included in the accompanying consolidated financial statements and notes to the consolidated financial statements have been retroactively adjusted to reflect the reverse stock split of common stock for all periods presented.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January 4, 2023, the Company announced the launch of its initial public offering (“IPO”) of its common stock. On January 12, 2023, the Company priced its IPO of 8,952,383 shares of its common stock, with 4,750,000 shares offered by the Company and 4,202,383 shares sold by selling stockholders, at a price of $15.00 per share. The shares began trading on January 13, 2023 on the Nasdaq Global Select Market under the ticker symbol “SKWD.”</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completed its IPO on January 18, 2023. The underwriters exercised in full their option to purchase 1,342,857 additional shares of common stock from the selling stockholders, at a price per share of $15.00. The Company’s net proceeds from the IPO were approximately $62.0 million, after deducting underwriting discounts and specific incremental expenses directly attributable to the IPO.</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closing of its IPO, the Company filed an amended and restated certificate of incorporation which, among other things, increased the number of authorized shares consisting of 500,000,000 shares of common stock, par value $0.01 per share, and 10,000,000 shares of preferred stock, par value $0.01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 Conversion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Preferred Shares had preference in liquidation over common stock in the amount of the face value of $50.00 per share and any declared but unpaid dividends to related common shares at the applicable conversion rate. The Preferred Shares provided the holder the option at any time to convert the Preferred Shares into common stock based on the Option Conversion Rate. At December 31, 2022, the Company had 1,969,660 Preferred Shares that could be converted to 16,305,113 common shares based on a conversion price equal to $6.04 per common share.</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Preferred Shares were subject to mandatory conversion upon the closing of an IPO at the Mandatory Conversion Rate. At December 31, 2022, the Mandatory Conversion Rate allowed the holder of the Preferred Shares the right to convert into common stock based on a conversion price equal to $6.04 per common share. On January 18, 2023, the 1,969,660 Preferred Shares converted to 16,305,113 shares of common stock upon the Company’s closing of its IPO.</w:t>
      </w:r>
    </w:p>
    <w:p>
      <w:pPr>
        <w:spacing w:after="0" w:line="7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Company’s income tax expense (benefit) and effective tax rates for the three and nine months ended September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6,084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4,842</w:t>
            </w:r>
          </w:p>
        </w:tc>
      </w:tr>
      <w:tr>
        <w:trPr>
          <w:trHeight w:val="234"/>
        </w:trPr>
        <w:tc>
          <w:tcPr>
            <w:tcW w:w="46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21.9 %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49"/>
        </w:trPr>
        <w:tc>
          <w:tcPr>
            <w:tcW w:w="4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 tax rate will differ from the statutory rate of 21 percent due to permanent differences for disallowed expenses for tax and beneficial adjustments for tax-exempt income and dividends-received deduction.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paid federal income taxes of $10.0 million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reconciliation of unpaid losses and loss adjustment expenses (“LAE”) as reported in the condensed consolidated balance sheets as of and for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for losses and LAE,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979,549</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reinsurance recoverable on unpaid claims, beginning of period</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(435,986)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(381,338)</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for losses and LAE, beginning of period, net of reinsurance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705,771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598,211</w:t>
            </w: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color w:val="auto"/>
              </w:rPr>
              <w:t>Incurred, net of reinsurance, related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284,265</w:t>
            </w: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14,385</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incurred, net of reinsurance</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378,811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298,650</w:t>
            </w: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color w:val="auto"/>
              </w:rPr>
              <w:t>Paid, net of reinsurance, related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62,864</w:t>
            </w:r>
          </w:p>
        </w:tc>
      </w:tr>
      <w:tr>
        <w:trPr>
          <w:trHeight w:val="230"/>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158,749</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paid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254,523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221,613</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Net reserves for losses and LAE, end of period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830,059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675,248</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claims, end of period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438,652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386,752</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Reserves for losses and LAE,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1,268,711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1,062,000</w:t>
            </w: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Company’s disaggregated revenues from contracts with customers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SUA commission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SUA fee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 commission and fee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contract assets from commission and fee income as of September 30, 2023 and December 31, 2022 were $2.3 million and $1.3 million, respectively. Contract assets were $1.7 million and $1.2 million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Underwriting, Acquisition and Insurance Expenses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underwriting, acquisition and insurance expenses for the three and nine months ended September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45,514</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and general expenses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86,744</w:t>
            </w:r>
          </w:p>
        </w:tc>
      </w:tr>
      <w:tr>
        <w:trPr>
          <w:trHeight w:val="248"/>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underwriting, acquisition and insurance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132,258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effects of reinsurance on written and earned premiums and losses and loss adjustment expenses for the three and nine months ended September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9"/>
              </w:rPr>
              <w:t>Three months ended September 30,</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Written</w:t>
            </w:r>
          </w:p>
        </w:tc>
        <w:tc>
          <w:tcPr>
            <w:tcW w:w="1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Earned</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premiums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308,215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299,294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242,727</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Assumed premiums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47,517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51,665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30,020</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(123,926)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(114,699)</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280,696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227,033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158,048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88"/>
              </w:rPr>
              <w:t>Nine months ended September 30,</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Written</w:t>
            </w:r>
          </w:p>
        </w:tc>
        <w:tc>
          <w:tcPr>
            <w:tcW w:w="1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Earned</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premiums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947,977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845,200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695,567</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Assumed premiums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190,247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139,522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107,451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82,549</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(441,650)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(380,511)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(332,265)</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696,574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604,211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445,851</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255,855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190,465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reinsurance recoverables and ceded unearned premium as of September 30,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5"/>
              </w:rPr>
              <w:t>September 30, 2023</w:t>
            </w: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December 31, 2022</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unpaid losses and LAE</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438,652</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435,986</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Ceded paid losses and LAE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153,735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107,228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portfolio transfer</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38,145</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recoverables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615,675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581,359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40" w:type="dxa"/>
            <w:vAlign w:val="bottom"/>
          </w:tcPr>
          <w:p>
            <w:pPr>
              <w:ind w:left="20"/>
              <w:spacing w:after="0" w:line="203" w:lineRule="exact"/>
              <w:rPr>
                <w:sz w:val="20"/>
                <w:szCs w:val="20"/>
                <w:color w:val="auto"/>
              </w:rPr>
            </w:pPr>
            <w:r>
              <w:rPr>
                <w:rFonts w:ascii="Arial" w:cs="Arial" w:eastAsia="Arial" w:hAnsi="Arial"/>
                <w:sz w:val="18"/>
                <w:szCs w:val="18"/>
                <w:color w:val="auto"/>
              </w:rPr>
              <w:t>Ceded unearned premium</w:t>
            </w:r>
          </w:p>
        </w:tc>
        <w:tc>
          <w:tcPr>
            <w:tcW w:w="5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218,784</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157,645</w:t>
            </w:r>
          </w:p>
        </w:tc>
      </w:tr>
      <w:tr>
        <w:trPr>
          <w:trHeight w:val="20"/>
        </w:trPr>
        <w:tc>
          <w:tcPr>
            <w:tcW w:w="8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September 30, 2023, the market value of these accounts was approximately $137.4 million. The agreements provide that, as was customary in the past, the reinsurer will continue claim payment reimbursements without disturbing the trust balances. The trust amount will be adjusted periodically, by mutual agreement, based on loss reserve recoverables.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ceded reinsurance contracts that transfer only significant timing risk and do not transfer sufficient underwriting risk are accounted for using the deposit method of accounting. The Company’s deposit asset at September 30, 2023 and December 31, 2022 was $33.2 million and $41.8 million, respectively, and was included in other assets on the condensed consolidated balance sheets.</w:t>
      </w:r>
    </w:p>
    <w:p>
      <w:pPr>
        <w:spacing w:after="0" w:line="7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Based Compensation</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23, 2022, the Compensation Committee of the Company’s Board of Directors (“Compensation Committee”) approved the Company’s 2022 Long-Term Incentive Plan (the “2022 Plan”), which became effective on January 12, 2023. The 2022 Plan provides for the granting of restricted stock, restricted stock units, performance stock units, stock options as well as cash-based performance awards, to select employees and non-employee directors of the Company. The 2022 Plan stated that 3,200,516 shares of common stock were available for issuance.</w:t>
      </w:r>
    </w:p>
    <w:p>
      <w:pPr>
        <w:spacing w:after="0" w:line="6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September 23, 2022, the Compensation Committee approved the Company’s 2022 Employee Stock Purchase Plan (the “ESPP”), which became effective on May 15, 2023. Under the ESPP, all employees of the Company may choose, at two different specified time intervals each year, to have a percentage of their annual base earnings withheld to purchase the Company’s common stock. The purchase price of the common stock is 85% of the lower of its beginning-of-interval or end-of-interval market price. As of September 30, 2023, 376,531 common stock were available for purchase under this plan.</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December 2020, the Compensation Committee approved a Long Term Incentive Plan (the “2021 Plan”). The 2021 Plan provides for the granting of restricted stock, restricted stock units and performance stock units (collectively “restricted stock units” or “stock units”), as well as cash-based performance awards, to select employees and non-employee directors of the Company.</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Compensation Committee granted 1,101,116 and 198,842 shares of restricted stock and restricted stock units during the nine months ended September 30, 2023 and 2022, under the 2022 Plan and 2021 Plan, respectively. Members of the Board of Directors were granted 22,742 and 15,196 shares of restricted stock during the nine months ended September 30, 2023 and 2022, respectively, with a service period of 1 year. The fair value of restricted stock and restricted stock units under the 2022 Plan for awards granted at the time of the Company’s IPO were granted at the IPO price of $15.00 per share. The fair value of subsequent grants were equal to the closing stock price on the date the restricted stock units were granted.</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granted 759,990 stock options during the nine months ended September 30, 2023. The grant date fair value of the options under the 2022 Plan was determined using the Black-Scholes model where the term was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contractual term of 10 years less the weighted average service period. The volatility was determined based on the historical volatility of comparable publicly traded insurance companies.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grant date fair value of options under the ESPP was determined using the Black-Scholes model where the term was the length of time between the grant date and the date the options are exercisable of 6 months. The volatility was determined based on the historical volatility of comparable publicly traded insurance companies.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restricted stock and restricted stock units granted to employees and the Board of Directors during the nine months ended September 30, 2023 and 2022 were valued at approximately $17.7 million and $2.6 million, respectively, based on the grant date fair value. The stock options granted to employees during the nine months ended September 30, 2023 were valued at approximately $4.4 million based on the grant date fair value.</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equity awards, target payout ranges and authorized target restricted stock and stock units for the nine months ended September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w w:val="94"/>
              </w:rPr>
              <w:t>Award</w:t>
            </w:r>
          </w:p>
        </w:tc>
        <w:tc>
          <w:tcPr>
            <w:tcW w:w="1700" w:type="dxa"/>
            <w:vAlign w:val="bottom"/>
            <w:tcBorders>
              <w:top w:val="single" w:sz="8" w:color="auto"/>
            </w:tcBorders>
            <w:gridSpan w:val="2"/>
          </w:tcPr>
          <w:p>
            <w:pPr>
              <w:jc w:val="center"/>
              <w:ind w:left="90"/>
              <w:spacing w:after="0" w:line="189" w:lineRule="exact"/>
              <w:rPr>
                <w:sz w:val="20"/>
                <w:szCs w:val="20"/>
                <w:color w:val="auto"/>
              </w:rPr>
            </w:pPr>
            <w:r>
              <w:rPr>
                <w:rFonts w:ascii="Arial" w:cs="Arial" w:eastAsia="Arial" w:hAnsi="Arial"/>
                <w:sz w:val="18"/>
                <w:szCs w:val="18"/>
                <w:b w:val="1"/>
                <w:bCs w:val="1"/>
                <w:color w:val="auto"/>
                <w:w w:val="88"/>
              </w:rPr>
              <w:t>Requisite</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650"/>
              <w:spacing w:after="0" w:line="189" w:lineRule="exact"/>
              <w:rPr>
                <w:sz w:val="20"/>
                <w:szCs w:val="20"/>
                <w:color w:val="auto"/>
              </w:rPr>
            </w:pPr>
            <w:r>
              <w:rPr>
                <w:rFonts w:ascii="Arial" w:cs="Arial" w:eastAsia="Arial" w:hAnsi="Arial"/>
                <w:sz w:val="18"/>
                <w:szCs w:val="18"/>
                <w:b w:val="1"/>
                <w:bCs w:val="1"/>
                <w:color w:val="auto"/>
              </w:rPr>
              <w:t>Target</w:t>
            </w:r>
          </w:p>
        </w:tc>
      </w:tr>
      <w:tr>
        <w:trPr>
          <w:trHeight w:val="239"/>
        </w:trPr>
        <w:tc>
          <w:tcPr>
            <w:tcW w:w="52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Payout Range</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7"/>
              </w:rPr>
              <w:t>Service Period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4"/>
              </w:rPr>
              <w:t>Stock and Stock Units</w:t>
            </w:r>
          </w:p>
        </w:tc>
      </w:tr>
      <w:tr>
        <w:trPr>
          <w:trHeight w:val="21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2023</w:t>
            </w: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Market condition awards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0%–150%</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6"/>
              </w:rPr>
              <w:t>3 years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37,622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condition awards</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7"/>
              </w:rPr>
              <w:t>0%–150%</w:t>
            </w:r>
          </w:p>
        </w:tc>
        <w:tc>
          <w:tcPr>
            <w:tcW w:w="17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86"/>
              </w:rPr>
              <w:t>3 years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95,456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Service condition awards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N/A</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0"/>
              </w:rPr>
              <w:t>1–4 years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968,038</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rPr>
              <w:t>N/A</w:t>
            </w:r>
          </w:p>
        </w:tc>
        <w:tc>
          <w:tcPr>
            <w:tcW w:w="17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0"/>
              </w:rPr>
              <w:t>3–4 years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759,990</w:t>
            </w:r>
          </w:p>
        </w:tc>
      </w:tr>
      <w:tr>
        <w:trPr>
          <w:trHeight w:val="223"/>
        </w:trPr>
        <w:tc>
          <w:tcPr>
            <w:tcW w:w="5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1,861,106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Nine months ended September 30, 2022</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Market condition awards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0%–150%</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color w:val="auto"/>
                <w:w w:val="84"/>
              </w:rPr>
              <w:t>3 years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28,495</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condition awards</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0%–150%</w:t>
            </w:r>
          </w:p>
        </w:tc>
        <w:tc>
          <w:tcPr>
            <w:tcW w:w="17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4"/>
              </w:rPr>
              <w:t>3 years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 condition awards</w:t>
            </w:r>
          </w:p>
        </w:tc>
        <w:tc>
          <w:tcPr>
            <w:tcW w:w="20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gridSpan w:val="2"/>
          </w:tcPr>
          <w:p>
            <w:pPr>
              <w:jc w:val="center"/>
              <w:ind w:left="150"/>
              <w:spacing w:after="0"/>
              <w:rPr>
                <w:sz w:val="20"/>
                <w:szCs w:val="20"/>
                <w:color w:val="auto"/>
              </w:rPr>
            </w:pPr>
            <w:r>
              <w:rPr>
                <w:rFonts w:ascii="Arial" w:cs="Arial" w:eastAsia="Arial" w:hAnsi="Arial"/>
                <w:sz w:val="18"/>
                <w:szCs w:val="18"/>
                <w:color w:val="auto"/>
                <w:w w:val="88"/>
              </w:rPr>
              <w:t>1–3 years</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144,137</w:t>
            </w: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198,842</w:t>
            </w:r>
          </w:p>
        </w:tc>
      </w:tr>
      <w:tr>
        <w:trPr>
          <w:trHeight w:val="20"/>
        </w:trPr>
        <w:tc>
          <w:tcPr>
            <w:tcW w:w="71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93"/>
        </w:trPr>
        <w:tc>
          <w:tcPr>
            <w:tcW w:w="7240" w:type="dxa"/>
            <w:vAlign w:val="bottom"/>
            <w:gridSpan w:val="3"/>
          </w:tcPr>
          <w:p>
            <w:pPr>
              <w:ind w:left="340"/>
              <w:spacing w:after="0"/>
              <w:rPr>
                <w:sz w:val="20"/>
                <w:szCs w:val="20"/>
                <w:color w:val="auto"/>
              </w:rPr>
            </w:pPr>
            <w:r>
              <w:rPr>
                <w:rFonts w:ascii="Arial" w:cs="Arial" w:eastAsia="Arial" w:hAnsi="Arial"/>
                <w:sz w:val="18"/>
                <w:szCs w:val="18"/>
                <w:color w:val="auto"/>
                <w:w w:val="94"/>
              </w:rPr>
              <w:t>The following table sets forth option activity for the nine months ended September 30, 2023:</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5"/>
        </w:trPr>
        <w:tc>
          <w:tcPr>
            <w:tcW w:w="52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69"/>
        </w:trPr>
        <w:tc>
          <w:tcPr>
            <w:tcW w:w="5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5"/>
          </w:tcPr>
          <w:p>
            <w:pPr>
              <w:jc w:val="center"/>
              <w:ind w:right="140"/>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560" w:type="dxa"/>
            <w:vAlign w:val="bottom"/>
          </w:tcPr>
          <w:p>
            <w:pPr>
              <w:spacing w:after="0"/>
              <w:rPr>
                <w:sz w:val="14"/>
                <w:szCs w:val="14"/>
                <w:color w:val="auto"/>
              </w:rPr>
            </w:pPr>
          </w:p>
        </w:tc>
      </w:tr>
      <w:tr>
        <w:trPr>
          <w:trHeight w:val="243"/>
        </w:trPr>
        <w:tc>
          <w:tcPr>
            <w:tcW w:w="5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Exercise Price</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Stock</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15.00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759,990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5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September 30, 2023</w:t>
            </w:r>
          </w:p>
        </w:tc>
        <w:tc>
          <w:tcPr>
            <w:tcW w:w="1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759,990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intrinsic value of each option is determined based on the difference between the fair value of the underlying share and the exercise price of the underlying option. The aggregate intrinsic value of options outstanding at September 30, 2023 was $9.4 million. The weighted-average remaining contractual life of the options outstanding at September 30, 2023 was 9.3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restricted stock and restricted stock units activity for the nine months ended September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8"/>
              </w:rPr>
              <w:t>Weighted-Average</w:t>
            </w:r>
          </w:p>
        </w:tc>
        <w:tc>
          <w:tcPr>
            <w:tcW w:w="1940" w:type="dxa"/>
            <w:vAlign w:val="bottom"/>
            <w:tcBorders>
              <w:top w:val="single" w:sz="8" w:color="auto"/>
            </w:tcBorders>
          </w:tcPr>
          <w:p>
            <w:pPr>
              <w:spacing w:after="0"/>
              <w:rPr>
                <w:sz w:val="16"/>
                <w:szCs w:val="16"/>
                <w:color w:val="auto"/>
              </w:rPr>
            </w:pPr>
          </w:p>
        </w:tc>
      </w:tr>
      <w:tr>
        <w:trPr>
          <w:trHeight w:val="184"/>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320"/>
              <w:spacing w:after="0" w:line="184" w:lineRule="exact"/>
              <w:rPr>
                <w:sz w:val="20"/>
                <w:szCs w:val="20"/>
                <w:color w:val="auto"/>
              </w:rPr>
            </w:pPr>
            <w:r>
              <w:rPr>
                <w:rFonts w:ascii="Arial" w:cs="Arial" w:eastAsia="Arial" w:hAnsi="Arial"/>
                <w:sz w:val="18"/>
                <w:szCs w:val="18"/>
                <w:b w:val="1"/>
                <w:bCs w:val="1"/>
                <w:color w:val="auto"/>
                <w:w w:val="94"/>
              </w:rPr>
              <w:t>Grant-Date</w:t>
            </w:r>
          </w:p>
        </w:tc>
        <w:tc>
          <w:tcPr>
            <w:tcW w:w="1940" w:type="dxa"/>
            <w:vAlign w:val="bottom"/>
          </w:tcPr>
          <w:p>
            <w:pPr>
              <w:spacing w:after="0"/>
              <w:rPr>
                <w:sz w:val="16"/>
                <w:szCs w:val="16"/>
                <w:color w:val="auto"/>
              </w:rPr>
            </w:pPr>
          </w:p>
        </w:tc>
      </w:tr>
      <w:tr>
        <w:trPr>
          <w:trHeight w:val="234"/>
        </w:trPr>
        <w:tc>
          <w:tcPr>
            <w:tcW w:w="7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400"/>
              <w:spacing w:after="0"/>
              <w:rPr>
                <w:sz w:val="20"/>
                <w:szCs w:val="20"/>
                <w:color w:val="auto"/>
              </w:rPr>
            </w:pPr>
            <w:r>
              <w:rPr>
                <w:rFonts w:ascii="Arial" w:cs="Arial" w:eastAsia="Arial" w:hAnsi="Arial"/>
                <w:sz w:val="18"/>
                <w:szCs w:val="18"/>
                <w:b w:val="1"/>
                <w:bCs w:val="1"/>
                <w:color w:val="auto"/>
              </w:rPr>
              <w:t>Fair Value</w:t>
            </w: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Stock and Stock Units</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419,896</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16.06</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1,101,116</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(35,954)</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15.30</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(36,354)</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1,448,704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375,643</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198,842</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(126,978)</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(10,547)</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436,960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fair value of shares vested at September 30, 2023 and 2022 were $1.0 million and $2.0 million, respectively.</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September 30, 2023 the total unrecognized compensation cost related to non-vested, stock-based compensation awards was $18.1 million and the weighted average period over which that cost is expected to be recognized is 1.7 years. For the three and nine months ended September 30, 2023, the Company recognized $2.3 million and $6.2 million of stock-based compensation expense, respectively. For the three and nine months ended September 30, 2022, the Company recognized $0.5 million and $1.7 million, of stock-based compensation expense,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sets forth a reconciliation of the numerator and denominator of basic and diluted earnings (loss) per share computations contained in the period-ended consolidated financial statements for the three and nine months ended September 30, 2023 and 2022: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8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 except for share and per share amounts)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21,711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56,719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Undistributed income allocated to participating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Arial" w:cs="Arial" w:eastAsia="Arial" w:hAnsi="Arial"/>
                <w:sz w:val="18"/>
                <w:szCs w:val="18"/>
                <w:color w:val="auto"/>
              </w:rPr>
              <w:t>Net income (loss) attributable to common stockholders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tcPr>
          <w:p>
            <w:pPr>
              <w:ind w:left="440"/>
              <w:spacing w:after="0"/>
              <w:rPr>
                <w:sz w:val="20"/>
                <w:szCs w:val="20"/>
                <w:color w:val="auto"/>
              </w:rPr>
            </w:pPr>
            <w:r>
              <w:rPr>
                <w:rFonts w:ascii="Arial" w:cs="Arial" w:eastAsia="Arial" w:hAnsi="Arial"/>
                <w:sz w:val="18"/>
                <w:szCs w:val="18"/>
                <w:color w:val="auto"/>
              </w:rPr>
              <w:t>(numerator for basic earnings per share)</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21,711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55,227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Add back: Undistributed income allocated to participating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09"/>
        </w:trPr>
        <w:tc>
          <w:tcPr>
            <w:tcW w:w="4980" w:type="dxa"/>
            <w:vAlign w:val="bottom"/>
          </w:tcPr>
          <w:p>
            <w:pPr>
              <w:ind w:left="240"/>
              <w:spacing w:after="0"/>
              <w:rPr>
                <w:sz w:val="20"/>
                <w:szCs w:val="20"/>
                <w:color w:val="auto"/>
              </w:rPr>
            </w:pPr>
            <w:r>
              <w:rPr>
                <w:rFonts w:ascii="Arial" w:cs="Arial" w:eastAsia="Arial" w:hAnsi="Arial"/>
                <w:sz w:val="18"/>
                <w:szCs w:val="18"/>
                <w:color w:val="auto"/>
                <w:w w:val="99"/>
              </w:rPr>
              <w:t>Net income (loss) (numerator for diluted earnings per share</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21,711</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56,719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under the two-class method)</w:t>
            </w:r>
          </w:p>
        </w:tc>
        <w:tc>
          <w:tcPr>
            <w:tcW w:w="14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Basic weighted-average common shares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36,743,393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16,465,588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35,502,843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16,464,313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Preferred shares (if converted method)</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15,245,533</w:t>
            </w:r>
          </w:p>
        </w:tc>
        <w:tc>
          <w:tcPr>
            <w:tcW w:w="0" w:type="dxa"/>
            <w:vAlign w:val="bottom"/>
          </w:tcPr>
          <w:p>
            <w:pPr>
              <w:spacing w:after="0"/>
              <w:rPr>
                <w:sz w:val="1"/>
                <w:szCs w:val="1"/>
                <w:color w:val="auto"/>
              </w:rPr>
            </w:pPr>
          </w:p>
        </w:tc>
      </w:tr>
      <w:tr>
        <w:trPr>
          <w:trHeight w:val="270"/>
        </w:trPr>
        <w:tc>
          <w:tcPr>
            <w:tcW w:w="4980" w:type="dxa"/>
            <w:vAlign w:val="bottom"/>
          </w:tcPr>
          <w:p>
            <w:pPr>
              <w:ind w:left="460"/>
              <w:spacing w:after="0"/>
              <w:rPr>
                <w:sz w:val="20"/>
                <w:szCs w:val="20"/>
                <w:color w:val="auto"/>
              </w:rPr>
            </w:pPr>
            <w:r>
              <w:rPr>
                <w:rFonts w:ascii="Arial" w:cs="Arial" w:eastAsia="Arial" w:hAnsi="Arial"/>
                <w:sz w:val="18"/>
                <w:szCs w:val="18"/>
                <w:color w:val="auto"/>
                <w:w w:val="97"/>
              </w:rPr>
              <w:t>Contingently issuable instruments (treasury stock method)</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706,794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684,017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518,727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 condition awards (contingently issuable)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103,811</w:t>
            </w:r>
          </w:p>
        </w:tc>
        <w:tc>
          <w:tcPr>
            <w:tcW w:w="0" w:type="dxa"/>
            <w:vAlign w:val="bottom"/>
          </w:tcPr>
          <w:p>
            <w:pPr>
              <w:spacing w:after="0"/>
              <w:rPr>
                <w:sz w:val="1"/>
                <w:szCs w:val="1"/>
                <w:color w:val="auto"/>
              </w:rPr>
            </w:pPr>
          </w:p>
        </w:tc>
      </w:tr>
      <w:tr>
        <w:trPr>
          <w:trHeight w:val="229"/>
        </w:trPr>
        <w:tc>
          <w:tcPr>
            <w:tcW w:w="4980" w:type="dxa"/>
            <w:vAlign w:val="bottom"/>
          </w:tcPr>
          <w:p>
            <w:pPr>
              <w:ind w:left="460"/>
              <w:spacing w:after="0"/>
              <w:rPr>
                <w:sz w:val="20"/>
                <w:szCs w:val="20"/>
                <w:color w:val="auto"/>
              </w:rPr>
            </w:pPr>
            <w:r>
              <w:rPr>
                <w:rFonts w:ascii="Arial" w:cs="Arial" w:eastAsia="Arial" w:hAnsi="Arial"/>
                <w:sz w:val="18"/>
                <w:szCs w:val="18"/>
                <w:color w:val="auto"/>
              </w:rPr>
              <w:t>Performance awards (contingently issuable)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87,297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52,223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39,231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stock units (treasury stock method)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618,750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227,054</w:t>
            </w:r>
          </w:p>
        </w:tc>
        <w:tc>
          <w:tcPr>
            <w:tcW w:w="0" w:type="dxa"/>
            <w:vAlign w:val="bottom"/>
          </w:tcPr>
          <w:p>
            <w:pPr>
              <w:spacing w:after="0"/>
              <w:rPr>
                <w:sz w:val="1"/>
                <w:szCs w:val="1"/>
                <w:color w:val="auto"/>
              </w:rPr>
            </w:pPr>
          </w:p>
        </w:tc>
      </w:tr>
      <w:tr>
        <w:trPr>
          <w:trHeight w:val="230"/>
        </w:trPr>
        <w:tc>
          <w:tcPr>
            <w:tcW w:w="4980" w:type="dxa"/>
            <w:vAlign w:val="bottom"/>
          </w:tcPr>
          <w:p>
            <w:pPr>
              <w:ind w:left="460"/>
              <w:spacing w:after="0"/>
              <w:rPr>
                <w:sz w:val="20"/>
                <w:szCs w:val="20"/>
                <w:color w:val="auto"/>
              </w:rPr>
            </w:pPr>
            <w:r>
              <w:rPr>
                <w:rFonts w:ascii="Arial" w:cs="Arial" w:eastAsia="Arial" w:hAnsi="Arial"/>
                <w:sz w:val="18"/>
                <w:szCs w:val="18"/>
                <w:color w:val="auto"/>
              </w:rPr>
              <w:t>Options (treasury stock method)</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153,674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74,846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 weighted-average common share equivalents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38,403,843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16,465,588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37,830,431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32,598,669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(loss)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0.59</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(0.15)</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54"/>
        </w:trPr>
        <w:tc>
          <w:tcPr>
            <w:tcW w:w="4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Anti-dilutive instruments are excluded from the calculation of diluted weighted-average common share equivalents as they would have an anti-dilutive impact. The following table sets forth the weighted-average instruments that were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excluded from the calculation of diluted weighted-average common share equivalents during the three and nine months ended September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w w:val="97"/>
              </w:rPr>
              <w:t>Three months ended September 30,</w:t>
            </w:r>
          </w:p>
        </w:tc>
        <w:tc>
          <w:tcPr>
            <w:tcW w:w="308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shares (if converted method)</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15,247,437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Contingently issuable instruments (treasury stock method)</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510,577</w:t>
            </w:r>
          </w:p>
        </w:tc>
        <w:tc>
          <w:tcPr>
            <w:tcW w:w="100" w:type="dxa"/>
            <w:vAlign w:val="bottom"/>
          </w:tcPr>
          <w:p>
            <w:pPr>
              <w:spacing w:after="0"/>
              <w:rPr>
                <w:sz w:val="23"/>
                <w:szCs w:val="23"/>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 condition awards (contingently issuable)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Performance awards (contingently issuable)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1,670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42,411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1,391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 (treasury stock method)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Options (treasury stock method)</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364,714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9"/>
        </w:trPr>
        <w:tc>
          <w:tcPr>
            <w:tcW w:w="4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common and preferred shares financed by stock notes are contingently issuable instruments where the holder must return, all or part of, the shares if the stock notes are not paid off. The following table sets forth common share equivalents of contingently issuable instruments (in shares) that were excluded from basic earnings (loss) per share for the three and nine months ended September 30,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7"/>
              </w:rPr>
              <w:t>Three months ended September 30,</w:t>
            </w:r>
          </w:p>
        </w:tc>
        <w:tc>
          <w:tcPr>
            <w:tcW w:w="310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932,588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932,588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Preferred shares, if converted</w:t>
            </w:r>
          </w:p>
        </w:tc>
        <w:tc>
          <w:tcPr>
            <w:tcW w:w="1580" w:type="dxa"/>
            <w:vAlign w:val="bottom"/>
            <w:gridSpan w:val="2"/>
          </w:tcPr>
          <w:p>
            <w:pPr>
              <w:ind w:left="122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1,059,602</w:t>
            </w:r>
          </w:p>
        </w:tc>
        <w:tc>
          <w:tcPr>
            <w:tcW w:w="8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1,059,602</w:t>
            </w:r>
          </w:p>
        </w:tc>
      </w:tr>
      <w:tr>
        <w:trPr>
          <w:trHeight w:val="248"/>
        </w:trPr>
        <w:tc>
          <w:tcPr>
            <w:tcW w:w="4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1,140,128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impact of the contingently issuable instruments on diluted earnings (loss) per share was calculated using the treasury stock method and included in the reconciliation of the denominator of the basic and diluted earnings (loss) per share computations for the three and nine months ended September 30, 2023 and 2022.</w:t>
      </w:r>
    </w:p>
    <w:p>
      <w:pPr>
        <w:spacing w:after="0" w:line="72" w:lineRule="exact"/>
        <w:rPr>
          <w:sz w:val="20"/>
          <w:szCs w:val="20"/>
          <w:color w:val="auto"/>
        </w:rPr>
      </w:pPr>
    </w:p>
    <w:p>
      <w:pPr>
        <w:ind w:right="8820" w:firstLine="8"/>
        <w:spacing w:after="0" w:line="378" w:lineRule="auto"/>
        <w:tabs>
          <w:tab w:leader="none" w:pos="31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 Westaim</w:t>
      </w:r>
    </w:p>
    <w:p>
      <w:pPr>
        <w:jc w:val="both"/>
        <w:ind w:firstLine="324"/>
        <w:spacing w:after="0" w:line="301" w:lineRule="auto"/>
        <w:rPr>
          <w:sz w:val="20"/>
          <w:szCs w:val="20"/>
          <w:color w:val="auto"/>
        </w:rPr>
      </w:pPr>
      <w:r>
        <w:rPr>
          <w:rFonts w:ascii="Arial" w:cs="Arial" w:eastAsia="Arial" w:hAnsi="Arial"/>
          <w:sz w:val="16"/>
          <w:szCs w:val="16"/>
          <w:color w:val="auto"/>
        </w:rPr>
        <w:t>In July 2023, Westaim dissolved Westaim HIIG LP and obtained direct ownership of the Company’s common stock held by the partnership. As of September 30, 2023, Westaim owned 28.1% of the Company’s common stock. As of December 31, 2022, Westaim, including shares beneficially owned through Westaim HIIG LP, owned 44.5% of the Company’s common stock. The changes in ownership percentage were primarily due to the IPO, conversion of preferred stock to common stock, distribution of shares controlled by Westaim through a limited partnership, and secondary offering.</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investment in Westaim was included in equity securities on the consolidated balance sheets. The unrealized loss on this investment as of September 30, 2023 and December 31, 2022 was $1.3 million and $2.3 million, respectively.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closing of the IPO, Westaim performed consulting and certain other services for the Company pursuant to a Management Services Agreement. This agreement terminated pursuant to its terms upon the closing of the IPO.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RISCOM</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RISCOM provides the Company with wholesale brokerage services. RISCOM and the Company also have a managing general agency agreement. The Company holds a 20% ownership interest in RISCOM.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earned premium and gross commission expense related to these agreements for the three and nine months ended September 30, 2023 and 2022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67,239</w:t>
            </w:r>
          </w:p>
        </w:tc>
      </w:tr>
      <w:tr>
        <w:trPr>
          <w:trHeight w:val="234"/>
        </w:trPr>
        <w:tc>
          <w:tcPr>
            <w:tcW w:w="500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6,119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19,122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18,666</w:t>
            </w:r>
          </w:p>
        </w:tc>
      </w:tr>
      <w:tr>
        <w:trPr>
          <w:trHeight w:val="49"/>
        </w:trPr>
        <w:tc>
          <w:tcPr>
            <w:tcW w:w="5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ind w:right="2120" w:firstLine="324"/>
        <w:spacing w:after="0" w:line="375" w:lineRule="auto"/>
        <w:rPr>
          <w:sz w:val="20"/>
          <w:szCs w:val="20"/>
          <w:color w:val="auto"/>
        </w:rPr>
      </w:pPr>
      <w:r>
        <w:rPr>
          <w:rFonts w:ascii="Arial" w:cs="Arial" w:eastAsia="Arial" w:hAnsi="Arial"/>
          <w:sz w:val="18"/>
          <w:szCs w:val="18"/>
          <w:color w:val="auto"/>
        </w:rPr>
        <w:t xml:space="preserve">Premiums receivable as of September 30, 2023 and December 31, 2022 were $14.8 million and $9.9 million, respectively. </w:t>
      </w:r>
      <w:r>
        <w:rPr>
          <w:rFonts w:ascii="Arial" w:cs="Arial" w:eastAsia="Arial" w:hAnsi="Arial"/>
          <w:sz w:val="18"/>
          <w:szCs w:val="18"/>
          <w:b w:val="1"/>
          <w:bCs w:val="1"/>
          <w:u w:val="single" w:color="auto"/>
          <w:color w:val="auto"/>
        </w:rPr>
        <w:t>Reinsurance</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reinsurance agreements with Everest Re, an affiliate of Mt. Whitney Securities, LLC, which was a limited partner of Westaim HIIG LP through November 30, 2022, and holder of preferred shares. During the nine months ended September 30, 2023, Mt. Whitney Securities divested their entire ownership of the Company’s equity securities. Reinsurance premiums ceded during the three and nine months ended September 30, 2022 related to the agreement were $11.0 million and $53.2 million, respectively. Reinsurance recoverable from Everest Re, net of premium payables at December 31, 2022 were $177.5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Advisory and professional services fees and expense reimbursements paid to various affiliated stockholders and directors for the three and nine months ended September 30, 2023 were $0.5 million and $3.1 million, respectively, compared to $0.6 million and $2.8 million for the three and nine months ended September 30, 2022, respectively.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and 5 for investments involving affiliated companies and additional related party transactions.</w:t>
      </w:r>
    </w:p>
    <w:p>
      <w:pPr>
        <w:spacing w:after="0" w:line="113" w:lineRule="exact"/>
        <w:rPr>
          <w:sz w:val="20"/>
          <w:szCs w:val="20"/>
          <w:color w:val="auto"/>
        </w:rPr>
      </w:pPr>
    </w:p>
    <w:p>
      <w:pPr>
        <w:ind w:right="8360" w:firstLine="8"/>
        <w:spacing w:after="0" w:line="378" w:lineRule="auto"/>
        <w:tabs>
          <w:tab w:leader="none" w:pos="319"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 Litigation</w:t>
      </w:r>
    </w:p>
    <w:p>
      <w:pPr>
        <w:jc w:val="both"/>
        <w:ind w:firstLine="324"/>
        <w:spacing w:after="0" w:line="254" w:lineRule="auto"/>
        <w:rPr>
          <w:sz w:val="20"/>
          <w:szCs w:val="20"/>
          <w:color w:val="auto"/>
        </w:rPr>
      </w:pPr>
      <w:r>
        <w:rPr>
          <w:rFonts w:ascii="Arial" w:cs="Arial" w:eastAsia="Arial" w:hAnsi="Arial"/>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conjunction with the sale of business assets and subsidiaries, the Company has provided indemnifications to certain of the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“third quarter” as used below refers to the three and nine months ended September 30 for the time period then ended. Select insurance and accounting terms for Skyward Specialty are defined in the section entitled “Select Insurance and Financial Terms” included in our Annual Report on Form 10-K for the year ended December 31, 2022 (the “2022 Form 10-K”).</w:t>
      </w:r>
    </w:p>
    <w:p>
      <w:pPr>
        <w:spacing w:after="0" w:line="8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The discussion and analysis below include certain forward-looking statements that are subject to risks, uncertainties and other factors described in "Risk Factors" in our Annual Report on Form 10-K for the year ended December 31, 2022. Our actual results could differ materially from those anticipated in these forward-looking statements as a result of many factors.</w:t>
      </w:r>
    </w:p>
    <w:p>
      <w:pPr>
        <w:spacing w:after="0" w:line="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The results of operations for the three and nine months ended September 30, 2023 are not necessarily indicative of the results that may be expected for the full year ended December 31, 2023,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for the year ended December 31, 2022.</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Founded in 2006, Skyward Specialty is a specialty insurance holding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our eight distinct underwriting divisions has dedicated underwriting leadership supported by high-quality technical staff with deep experience in their respective niches. We believe this structure and expertise allows us to serve the needs of our customers effectively and be a value-add partner to our distributors, while earning attractive risk-adjusted returns.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our insurance company subsidiaries are group rated and have financial strength ratings of “A-” (Excellent) with positive outlook from the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Best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discuss certain key metrics, described below, which provide useful information about our business and the operational factors underlying our financial performance. These metrics are generally standard among insurance companies and help to provide comparability with our peers.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retention</w:t>
      </w:r>
      <w:r>
        <w:rPr>
          <w:rFonts w:ascii="Arial" w:cs="Arial" w:eastAsia="Arial" w:hAnsi="Arial"/>
          <w:sz w:val="18"/>
          <w:szCs w:val="18"/>
          <w:color w:val="auto"/>
        </w:rPr>
        <w:t>, expressed as a percentage, is the ratio of net written premiums to gross written premiums.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(loss) </w:t>
      </w:r>
      <w:r>
        <w:rPr>
          <w:rFonts w:ascii="Arial" w:cs="Arial" w:eastAsia="Arial" w:hAnsi="Arial"/>
          <w:sz w:val="18"/>
          <w:szCs w:val="18"/>
          <w:color w:val="auto"/>
        </w:rPr>
        <w:t>is a non-GAAP financial measure defined as income (loss) before income taxes excluding net investment income,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and unrealized gains and losses on investments, impairment charges, interest expense, amortization expense and other income and expenses. See “Reconciliation of Non-GAAP Financial Measures” for a reconciliation of underwriting income (loss) to net income, which is the most directly comparable financial metric prepared in accordance with GAAP.</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and LAE ratio</w:t>
      </w:r>
      <w:r>
        <w:rPr>
          <w:rFonts w:ascii="Arial" w:cs="Arial" w:eastAsia="Arial" w:hAnsi="Arial"/>
          <w:sz w:val="18"/>
          <w:szCs w:val="18"/>
          <w:color w:val="auto"/>
        </w:rPr>
        <w:t>, expressed as a percentage, is the ratio of losses and LAE to net earned premiums.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Expense ratio</w:t>
      </w:r>
      <w:r>
        <w:rPr>
          <w:rFonts w:ascii="Arial" w:cs="Arial" w:eastAsia="Arial" w:hAnsi="Arial"/>
          <w:sz w:val="18"/>
          <w:szCs w:val="18"/>
          <w:color w:val="auto"/>
        </w:rPr>
        <w:t>, expressed as a percentage, is the ratio of underwriting, acquisition and insurance expenses less commission and fee income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premiums.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Combined ratio </w:t>
      </w:r>
      <w:r>
        <w:rPr>
          <w:rFonts w:ascii="Arial" w:cs="Arial" w:eastAsia="Arial" w:hAnsi="Arial"/>
          <w:sz w:val="18"/>
          <w:szCs w:val="18"/>
          <w:color w:val="auto"/>
        </w:rPr>
        <w:t>is the sum of loss ratio and expense ratio. A combined ratio under 100% indicates an underwriting profit. A combined ratio over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indicates an underwriting loss.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Adjusted loss and LAE ratio</w:t>
      </w:r>
      <w:r>
        <w:rPr>
          <w:rFonts w:ascii="Arial" w:cs="Arial" w:eastAsia="Arial" w:hAnsi="Arial"/>
          <w:sz w:val="18"/>
          <w:szCs w:val="18"/>
          <w:color w:val="auto"/>
        </w:rPr>
        <w:t>, expressed as a percentage, is a non-GAAP financial measure defined as the ratio of losses and LAE, excluding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LAE related to the loss portfolio transfer (“LPT”) and all development on reserves fully or partially covered by the LPT, to net earned premiums. See “Reconciliation of Non-GAAP Financial Measures” for a reconciliation of adjusted loss ratio to loss ratio, which is the most directly comparable financial metric prepared in accordance with GAAP.</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Adjusted combined ratio </w:t>
      </w:r>
      <w:r>
        <w:rPr>
          <w:rFonts w:ascii="Arial" w:cs="Arial" w:eastAsia="Arial" w:hAnsi="Arial"/>
          <w:sz w:val="18"/>
          <w:szCs w:val="18"/>
          <w:color w:val="auto"/>
        </w:rPr>
        <w:t>is a non-GAAP financial measure defined as the sum of the adjusted loss ratio and the expense ratio. See “Reconciliation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Non-GAAP Financial Measures” for a reconciliation of adjusted combined ratio to combined ratio, which is the most directly comparable financial metric prepared in accordance with GAAP.</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Adjusted operating income (loss) </w:t>
      </w:r>
      <w:r>
        <w:rPr>
          <w:rFonts w:ascii="Arial" w:cs="Arial" w:eastAsia="Arial" w:hAnsi="Arial"/>
          <w:sz w:val="18"/>
          <w:szCs w:val="18"/>
          <w:color w:val="auto"/>
        </w:rPr>
        <w:t>is a non-GAAP financial measure defined as net income excluding the net impact of the LPT, net realized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unrealized gains or losses on investments, goodwill impairment charges and other income and expenses. See “Reconciliation of Non-GAAP Financial Measures” for a reconciliation of adjusted operating income (loss) to net income (loss), which is the most directly comparable financial metric prepared in accordance with GAAP.</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Return on equity </w:t>
      </w:r>
      <w:r>
        <w:rPr>
          <w:rFonts w:ascii="Arial" w:cs="Arial" w:eastAsia="Arial" w:hAnsi="Arial"/>
          <w:sz w:val="18"/>
          <w:szCs w:val="18"/>
          <w:color w:val="auto"/>
        </w:rPr>
        <w:t>is annualized net income as a percentage of average beginning and ending stockholders’ equity.</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Adjusted return on equity </w:t>
      </w:r>
      <w:r>
        <w:rPr>
          <w:rFonts w:ascii="Arial" w:cs="Arial" w:eastAsia="Arial" w:hAnsi="Arial"/>
          <w:sz w:val="17"/>
          <w:szCs w:val="17"/>
          <w:color w:val="auto"/>
        </w:rPr>
        <w:t>is a non-GAAP financial measure defined as annualized adjusted operating income as a percentage of average beginning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ending stockholders’ equity during the applicable period. See “Reconciliation of Non-GAAP Financial Measures” for a reconciliation of adjusted return on equity to return on equity, which is the most directly comparable financial metric prepared in accordance with GAAP.</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Tangible stockholders’ equity </w:t>
      </w:r>
      <w:r>
        <w:rPr>
          <w:rFonts w:ascii="Arial" w:cs="Arial" w:eastAsia="Arial" w:hAnsi="Arial"/>
          <w:sz w:val="18"/>
          <w:szCs w:val="18"/>
          <w:color w:val="auto"/>
        </w:rPr>
        <w:t>is a non-GAAP financial measure defined as stockholders’ equity less goodwill and intangible assets.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 of Non-GAAP Financial Measures” for a reconciliation of tangible stockholders’ equity to stockholders’ equity, which is the most directly comparable financial metric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Return on tangible equity </w:t>
      </w:r>
      <w:r>
        <w:rPr>
          <w:rFonts w:ascii="Arial" w:cs="Arial" w:eastAsia="Arial" w:hAnsi="Arial"/>
          <w:sz w:val="17"/>
          <w:szCs w:val="17"/>
          <w:color w:val="auto"/>
        </w:rPr>
        <w:t>is a non-GAAP financial measure defined as annualized net income as a percentage of average beginning and ending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tangible stockholders’ equity during the applicable period. See “Reconciliation of Non-GAAP Financial Measures” for a reconciliation of return on tangible equity to return on equity, which is the most comparable financial metric prepared in accordance with GAAP.</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Adjusted return on tangible equity </w:t>
      </w:r>
      <w:r>
        <w:rPr>
          <w:rFonts w:ascii="Arial" w:cs="Arial" w:eastAsia="Arial" w:hAnsi="Arial"/>
          <w:sz w:val="18"/>
          <w:szCs w:val="18"/>
          <w:color w:val="auto"/>
        </w:rPr>
        <w:t>is a non-GAAP financial measure defined as annualized adjusted operating income as a percentage of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and ending tangible stockholders’ equity during the applicable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for the three and nine months ended September 30, 2023 and 2022: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355,732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1,138,224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879,119</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(75,036)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(98,795)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(441,650)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(383,532)</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written premiums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280,696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171,455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696,574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495,587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0" w:type="dxa"/>
            <w:vAlign w:val="bottom"/>
            <w:vMerge w:val="continue"/>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227,033</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158,048</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604,211</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445,851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 and fee income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Losses and LAE</w:t>
            </w:r>
          </w:p>
        </w:tc>
        <w:tc>
          <w:tcPr>
            <w:tcW w:w="18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138,536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111,746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377,841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293,536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acquisition and insurance expenses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68,315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47,340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176,653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132,258</w:t>
            </w:r>
          </w:p>
        </w:tc>
        <w:tc>
          <w:tcPr>
            <w:tcW w:w="0" w:type="dxa"/>
            <w:vAlign w:val="bottom"/>
          </w:tcPr>
          <w:p>
            <w:pPr>
              <w:spacing w:after="0"/>
              <w:rPr>
                <w:sz w:val="1"/>
                <w:szCs w:val="1"/>
                <w:color w:val="auto"/>
              </w:rPr>
            </w:pPr>
          </w:p>
        </w:tc>
      </w:tr>
      <w:tr>
        <w:trPr>
          <w:trHeight w:val="223"/>
        </w:trPr>
        <w:tc>
          <w:tcPr>
            <w:tcW w:w="4600" w:type="dxa"/>
            <w:vAlign w:val="bottom"/>
          </w:tcPr>
          <w:p>
            <w:pPr>
              <w:ind w:left="240"/>
              <w:spacing w:after="0" w:line="223" w:lineRule="exact"/>
              <w:rPr>
                <w:sz w:val="20"/>
                <w:szCs w:val="20"/>
                <w:color w:val="auto"/>
              </w:rPr>
            </w:pPr>
            <w:r>
              <w:rPr>
                <w:rFonts w:ascii="Arial" w:cs="Arial" w:eastAsia="Arial" w:hAnsi="Arial"/>
                <w:sz w:val="18"/>
                <w:szCs w:val="18"/>
                <w:color w:val="auto"/>
              </w:rPr>
              <w:t>Underwriting income</w:t>
            </w:r>
            <w:r>
              <w:rPr>
                <w:rFonts w:ascii="Arial" w:cs="Arial" w:eastAsia="Arial" w:hAnsi="Arial"/>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22,267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55,534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23,709</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31,667</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Net investment (losses) gains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(2,984)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3,328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72,533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23,819</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21,711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56,719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operating income</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56,532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46,934</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and LAE ratio</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65.9 %</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ratio</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28.8 %</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94.7 %</w:t>
            </w:r>
          </w:p>
        </w:tc>
      </w:tr>
      <w:tr>
        <w:trPr>
          <w:trHeight w:val="21"/>
        </w:trPr>
        <w:tc>
          <w:tcPr>
            <w:tcW w:w="4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loss and LAE ratio</w:t>
            </w:r>
            <w:r>
              <w:rPr>
                <w:rFonts w:ascii="Arial" w:cs="Arial" w:eastAsia="Arial" w:hAnsi="Arial"/>
                <w:sz w:val="23"/>
                <w:szCs w:val="23"/>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63.8 %</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ratio</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28.8 %</w:t>
            </w:r>
          </w:p>
        </w:tc>
      </w:tr>
      <w:tr>
        <w:trPr>
          <w:trHeight w:val="248"/>
        </w:trPr>
        <w:tc>
          <w:tcPr>
            <w:tcW w:w="46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combined ratio</w:t>
            </w:r>
            <w:r>
              <w:rPr>
                <w:rFonts w:ascii="Arial" w:cs="Arial" w:eastAsia="Arial" w:hAnsi="Arial"/>
                <w:sz w:val="23"/>
                <w:szCs w:val="23"/>
                <w:color w:val="auto"/>
                <w:vertAlign w:val="superscript"/>
              </w:rPr>
              <w:t>(1)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return on equity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Annualized return on tangible equity</w:t>
            </w:r>
            <w:r>
              <w:rPr>
                <w:rFonts w:ascii="Arial" w:cs="Arial" w:eastAsia="Arial" w:hAnsi="Arial"/>
                <w:sz w:val="23"/>
                <w:szCs w:val="23"/>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19.7 %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Annualized adjusted return on equity</w:t>
            </w:r>
            <w:r>
              <w:rPr>
                <w:rFonts w:ascii="Arial" w:cs="Arial" w:eastAsia="Arial" w:hAnsi="Arial"/>
                <w:sz w:val="23"/>
                <w:szCs w:val="23"/>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81"/>
        </w:trPr>
        <w:tc>
          <w:tcPr>
            <w:tcW w:w="4600" w:type="dxa"/>
            <w:vAlign w:val="bottom"/>
          </w:tcPr>
          <w:p>
            <w:pPr>
              <w:ind w:left="20"/>
              <w:spacing w:after="0"/>
              <w:rPr>
                <w:sz w:val="20"/>
                <w:szCs w:val="20"/>
                <w:color w:val="auto"/>
              </w:rPr>
            </w:pPr>
            <w:r>
              <w:rPr>
                <w:rFonts w:ascii="Arial" w:cs="Arial" w:eastAsia="Arial" w:hAnsi="Arial"/>
                <w:sz w:val="18"/>
                <w:szCs w:val="18"/>
                <w:color w:val="auto"/>
              </w:rPr>
              <w:t>Annualized adjusted return on tangible equity</w:t>
            </w:r>
            <w:r>
              <w:rPr>
                <w:rFonts w:ascii="Arial" w:cs="Arial" w:eastAsia="Arial" w:hAnsi="Arial"/>
                <w:sz w:val="23"/>
                <w:szCs w:val="23"/>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22.8 %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19.4 %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19.4 %</w:t>
            </w:r>
          </w:p>
        </w:tc>
      </w:tr>
    </w:tbl>
    <w:p>
      <w:pPr>
        <w:ind w:left="180" w:hanging="141"/>
        <w:spacing w:after="0" w:line="220" w:lineRule="auto"/>
        <w:tabs>
          <w:tab w:leader="none" w:pos="180" w:val="left"/>
        </w:tabs>
        <w:numPr>
          <w:ilvl w:val="0"/>
          <w:numId w:val="2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(Loss)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adjusted operating income to net income for the three and nine months ended September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gridSpan w:val="11"/>
          </w:tcPr>
          <w:p>
            <w:pPr>
              <w:ind w:left="64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840" w:type="dxa"/>
            <w:vAlign w:val="bottom"/>
            <w:tcBorders>
              <w:top w:val="single" w:sz="8" w:color="auto"/>
            </w:tcBorders>
          </w:tcPr>
          <w:p>
            <w:pPr>
              <w:spacing w:after="0"/>
              <w:rPr>
                <w:sz w:val="21"/>
                <w:szCs w:val="21"/>
                <w:color w:val="auto"/>
              </w:rPr>
            </w:pPr>
          </w:p>
        </w:tc>
      </w:tr>
      <w:tr>
        <w:trPr>
          <w:trHeight w:val="223"/>
        </w:trPr>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8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840" w:type="dxa"/>
            <w:vAlign w:val="bottom"/>
            <w:tcBorders>
              <w:top w:val="single" w:sz="8" w:color="auto"/>
              <w:bottom w:val="single" w:sz="8" w:color="auto"/>
            </w:tcBorders>
          </w:tcPr>
          <w:p>
            <w:pPr>
              <w:spacing w:after="0"/>
              <w:rPr>
                <w:sz w:val="19"/>
                <w:szCs w:val="19"/>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6"/>
              </w:rPr>
              <w:t>After-tax</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Pre-tax</w:t>
            </w:r>
          </w:p>
        </w:tc>
        <w:tc>
          <w:tcPr>
            <w:tcW w:w="1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Pre-tax</w:t>
            </w:r>
          </w:p>
        </w:tc>
        <w:tc>
          <w:tcPr>
            <w:tcW w:w="1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4"/>
              </w:rPr>
              <w:t>After-tax</w:t>
            </w: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18,977</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76"/>
        </w:trPr>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impact of loss portfolio</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r>
      <w:tr>
        <w:trPr>
          <w:trHeight w:val="23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(losses) gains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(20,633)</w:t>
            </w: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46,934</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Income (Loss)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underwriting income (loss) to income (loss) before federal income tax for the three and nine months ended September 30, 2023 and 2022:</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Three months ended September 30,</w:t>
            </w:r>
          </w:p>
        </w:tc>
        <w:tc>
          <w:tcPr>
            <w:tcW w:w="18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federal 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23,819</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31,667</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(losses) gains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(26,117)</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Underwriting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Loss Ratio / Adjusted Combined Ratio</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the adjusted loss and LAE ratio and adjusted combined ratio to the loss and LAE ratio and combined ratio for the three and nine months ended September 30, 2023 and 2022:</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227,033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604,211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445,851</w:t>
            </w:r>
          </w:p>
        </w:tc>
      </w:tr>
      <w:tr>
        <w:trPr>
          <w:trHeight w:val="229"/>
        </w:trPr>
        <w:tc>
          <w:tcPr>
            <w:tcW w:w="4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LAE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377,841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293,536</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Pre-tax net impact of loss portfolio transfer</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losses and LAE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138,802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378,811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284,265</w:t>
            </w:r>
          </w:p>
        </w:tc>
      </w:tr>
      <w:tr>
        <w:trPr>
          <w:trHeight w:val="237"/>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65.9 %</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impact of LPT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Loss Ratio</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90.8 %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94.7 %</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impact of LPT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Combined Ratio</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Stockholders’ Equity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tangible stockholders’ equity to stockholders’ equity for the periods ended September 30, 2023 and 2022:</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80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399,817</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Goodwill and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90,237</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Tangible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309,580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Return on Equity</w:t>
      </w:r>
    </w:p>
    <w:p>
      <w:pPr>
        <w:spacing w:after="0" w:line="11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provides a reconciliation of annualized adjusted return on equity to annualized return on equity for the three and nine months ended September 30, 2023 and 2022:</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Numerator: annualized adjusted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100,116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42,784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75,376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62,579</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Denominator: average stockholders’ equity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529,038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409,712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478,530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412,949</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Annualized adjusted return on equity</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54"/>
        </w:trPr>
        <w:tc>
          <w:tcPr>
            <w:tcW w:w="4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Tangible Equity</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Annualized return on tangible equity for the three and nine months ended September 30, 2023 and 2022 reconciles to annualized return on equity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annualized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86,844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75,625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25,303</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Denominator: average tangible stockholders’ equity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440,043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319,292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389,191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322,162</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return on tangible equity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54"/>
        </w:trPr>
        <w:tc>
          <w:tcPr>
            <w:tcW w:w="4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Return on Tangible Equity</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Annualized adjusted return on tangible equity for the three and nine months ended September 30, 2023 and 2022 reconciles to annualized return on equity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annualized adjusted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100,116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42,784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75,376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62,579</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Denominator: average tangible stockholders’ equity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440,043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319,292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389,191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322,162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adjusted return on tangible equity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54"/>
        </w:trPr>
        <w:tc>
          <w:tcPr>
            <w:tcW w:w="4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presents gross written premiums by underwriting division for the three and nine months ended September 30, 2023 and 2022:</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1"/>
              </w:rPr>
              <w:t>Three months ended September 30,</w:t>
            </w:r>
          </w:p>
        </w:tc>
        <w:tc>
          <w:tcPr>
            <w:tcW w:w="1180" w:type="dxa"/>
            <w:vAlign w:val="bottom"/>
            <w:tcBorders>
              <w:top w:val="single" w:sz="8" w:color="auto"/>
            </w:tcBorders>
          </w:tcPr>
          <w:p>
            <w:pPr>
              <w:spacing w:after="0"/>
              <w:rPr>
                <w:sz w:val="20"/>
                <w:szCs w:val="20"/>
                <w:color w:val="auto"/>
              </w:rPr>
            </w:pPr>
          </w:p>
        </w:tc>
      </w:tr>
      <w:tr>
        <w:trPr>
          <w:trHeight w:val="234"/>
        </w:trPr>
        <w:tc>
          <w:tcPr>
            <w:tcW w:w="59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Property &amp; Agriculture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Industry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79,798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23.0 %</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Captives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41,886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52.8 %</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Lines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77.3 %</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Accident &amp; Health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39,554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E&amp;S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44.1 %</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Surety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37.2 %</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continuing business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Exited business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8"/>
                <w:szCs w:val="18"/>
                <w:color w:val="auto"/>
              </w:rPr>
              <w:t>N/M</w:t>
            </w:r>
            <w:r>
              <w:rPr>
                <w:rFonts w:ascii="Arial" w:cs="Arial" w:eastAsia="Arial" w:hAnsi="Arial"/>
                <w:sz w:val="23"/>
                <w:szCs w:val="23"/>
                <w:color w:val="auto"/>
                <w:vertAlign w:val="superscript"/>
              </w:rPr>
              <w:t>(1)</w:t>
            </w:r>
          </w:p>
        </w:tc>
      </w:tr>
      <w:tr>
        <w:trPr>
          <w:trHeight w:val="248"/>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Total gross written premiums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355,732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270,250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-169545</wp:posOffset>
            </wp:positionV>
            <wp:extent cx="71151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180" w:hanging="141"/>
        <w:spacing w:after="0" w:line="220" w:lineRule="auto"/>
        <w:tabs>
          <w:tab w:leader="none" w:pos="180"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115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-102870</wp:posOffset>
            </wp:positionV>
            <wp:extent cx="33604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1200" w:type="dxa"/>
            <w:vAlign w:val="bottom"/>
            <w:tcBorders>
              <w:top w:val="single" w:sz="8" w:color="auto"/>
            </w:tcBorders>
          </w:tcPr>
          <w:p>
            <w:pPr>
              <w:spacing w:after="0"/>
              <w:rPr>
                <w:sz w:val="20"/>
                <w:szCs w:val="20"/>
                <w:color w:val="auto"/>
              </w:rPr>
            </w:pPr>
          </w:p>
        </w:tc>
      </w:tr>
      <w:tr>
        <w:trPr>
          <w:trHeight w:val="234"/>
        </w:trPr>
        <w:tc>
          <w:tcPr>
            <w:tcW w:w="59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Property &amp; Agriculture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247,195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Industry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226,680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Captives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127,249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30.4 %</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Lines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Accident &amp; Health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112,819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16.2 %</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E&amp;S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72.8 %</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Surety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41.2 %</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continuing business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Exited business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(1)</w:t>
            </w:r>
          </w:p>
        </w:tc>
      </w:tr>
      <w:tr>
        <w:trPr>
          <w:trHeight w:val="23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written premiums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1,138,224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r>
    </w:tbl>
    <w:p>
      <w:pPr>
        <w:ind w:left="180" w:hanging="141"/>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26670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-92710</wp:posOffset>
            </wp:positionV>
            <wp:extent cx="33604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gross written premiums for the third quarter of 2023, when compared to the same 2022 period, was driven by double-digit premium growth from all eight of our underwriting divisions. The double-digit premium growth was due to (i) new business across all of our underwriting divisions, and (ii) increased rates, primarily in industry solutions, captives and transactional E&amp;S.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gross written premiums for the first nine months of 2023, when compared to the same 2022 period, was primarily driven by double-digit premium growth in our professional lines, transactional E&amp;S, global property and agriculture, surety and captives underwriting divisions. The gross written premium increases were primarily driven by new business and rate increases. During the first nine months of 2023, we added new teams and products in our surety, captives, professional lines and global property and agriculture underwriting divisions.</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written premiums for the third quarter of 2023 were $280.7 million, an increase of $109.2 million, or 63.7%, when compared to the same 2022 period. Net written premiums for the nine months ended September 30, 2023 were $696.6 million, an increase of $201.0 million or 40.6%. During the third quarter of 2023, the Company rescinded a quota share reinsurance contract, the impact of which increased net written premiums by $50.5 million, respectively, for the third quarter and first nine months of 2023, that had previously been ceded under the contract through the first six months of 2023.</w:t>
      </w:r>
    </w:p>
    <w:p>
      <w:pPr>
        <w:spacing w:after="0" w:line="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earned premiums for the third quarter of 2023 were $227.0 million, an increase of $69.0 million, or 43.6%, when compared to the same 2022 period. Net earned premiums for the nine months ended September 30, 2023 were $604.2 million, an increase of $158.3 million, or 35.5%, when compared to the same 2022 period. The increases in net earned premiums were primarily driven by the same reasons that drove the increases in gross written premiums discussed above. Net earned premiums for the third quarter and first nine months of 2023 were also impacted by the Company’s decision to rescind a quota share reinsurance contract, the impact of which increased net earned premiums by $13.1 million, respectively, that had previously been ceded under the contract through the first six months of 2023.</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reinsurance programs, see the “Reinsurance” discussion included in this Item 2</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LAE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the components of the loss and LAE ratios and adjusted loss and LAE ratios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520" w:type="dxa"/>
            <w:vAlign w:val="bottom"/>
            <w:tcBorders>
              <w:top w:val="single" w:sz="8" w:color="auto"/>
            </w:tcBorders>
            <w:gridSpan w:val="7"/>
          </w:tcPr>
          <w:p>
            <w:pPr>
              <w:jc w:val="right"/>
              <w:ind w:right="1510"/>
              <w:spacing w:after="0"/>
              <w:rPr>
                <w:sz w:val="20"/>
                <w:szCs w:val="20"/>
                <w:color w:val="auto"/>
              </w:rPr>
            </w:pPr>
            <w:r>
              <w:rPr>
                <w:rFonts w:ascii="Arial" w:cs="Arial" w:eastAsia="Arial" w:hAnsi="Arial"/>
                <w:sz w:val="18"/>
                <w:szCs w:val="18"/>
                <w:b w:val="1"/>
                <w:bCs w:val="1"/>
                <w:color w:val="auto"/>
                <w:w w:val="95"/>
              </w:rPr>
              <w:t>Three months ended September 30,</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w w:val="84"/>
              </w:rPr>
              <w:t>2022</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4"/>
              </w:rPr>
              <w:t>Losses</w:t>
            </w:r>
          </w:p>
        </w:tc>
        <w:tc>
          <w:tcPr>
            <w:tcW w:w="1500" w:type="dxa"/>
            <w:vAlign w:val="bottom"/>
          </w:tcPr>
          <w:p>
            <w:pPr>
              <w:jc w:val="center"/>
              <w:spacing w:after="0" w:line="169"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ind w:right="270"/>
              <w:spacing w:after="0"/>
              <w:rPr>
                <w:sz w:val="20"/>
                <w:szCs w:val="20"/>
                <w:color w:val="auto"/>
              </w:rPr>
            </w:pPr>
            <w:r>
              <w:rPr>
                <w:rFonts w:ascii="Arial" w:cs="Arial" w:eastAsia="Arial" w:hAnsi="Arial"/>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Arial" w:cs="Arial" w:eastAsia="Arial" w:hAnsi="Arial"/>
                <w:sz w:val="18"/>
                <w:szCs w:val="18"/>
                <w:color w:val="auto"/>
                <w:w w:val="99"/>
              </w:rPr>
              <w:t>% of</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Net Earned</w:t>
            </w: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7"/>
              </w:rPr>
              <w:t>Net Earned</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and LAE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Premiums</w:t>
            </w:r>
          </w:p>
        </w:tc>
        <w:tc>
          <w:tcPr>
            <w:tcW w:w="22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and LAE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Premiums</w:t>
            </w:r>
          </w:p>
        </w:tc>
        <w:tc>
          <w:tcPr>
            <w:tcW w:w="0" w:type="dxa"/>
            <w:vAlign w:val="bottom"/>
          </w:tcPr>
          <w:p>
            <w:pPr>
              <w:spacing w:after="0"/>
              <w:rPr>
                <w:sz w:val="1"/>
                <w:szCs w:val="1"/>
                <w:color w:val="auto"/>
              </w:rPr>
            </w:pPr>
          </w:p>
        </w:tc>
      </w:tr>
      <w:tr>
        <w:trPr>
          <w:trHeight w:val="23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LAE: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137,802</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60.7 %</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97,975</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Prior accident year development - LPT</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losses and LAE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Adjusted losses and LAE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137,802</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0.4 %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adjusted losses and LAE</w:t>
            </w:r>
            <w:r>
              <w:rPr>
                <w:rFonts w:ascii="Arial" w:cs="Arial" w:eastAsia="Arial" w:hAnsi="Arial"/>
                <w:sz w:val="23"/>
                <w:szCs w:val="23"/>
                <w:color w:val="auto"/>
                <w:vertAlign w:val="superscript"/>
              </w:rPr>
              <w:t>(2)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160" w:hanging="134"/>
        <w:spacing w:after="0"/>
        <w:tabs>
          <w:tab w:leader="none" w:pos="16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Current accident year</w:t>
      </w:r>
    </w:p>
    <w:p>
      <w:pPr>
        <w:spacing w:after="0" w:line="32" w:lineRule="exact"/>
        <w:rPr>
          <w:rFonts w:ascii="Arial" w:cs="Arial" w:eastAsia="Arial" w:hAnsi="Arial"/>
          <w:sz w:val="16"/>
          <w:szCs w:val="16"/>
          <w:i w:val="1"/>
          <w:iCs w:val="1"/>
          <w:color w:val="auto"/>
          <w:vertAlign w:val="superscript"/>
        </w:rPr>
      </w:pPr>
    </w:p>
    <w:p>
      <w:pPr>
        <w:ind w:left="180" w:hanging="154"/>
        <w:spacing w:after="0" w:line="197" w:lineRule="auto"/>
        <w:tabs>
          <w:tab w:leader="none" w:pos="18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3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26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Nine months ended September 30,</w:t>
            </w:r>
          </w:p>
        </w:tc>
        <w:tc>
          <w:tcPr>
            <w:tcW w:w="1640" w:type="dxa"/>
            <w:vAlign w:val="bottom"/>
            <w:tcBorders>
              <w:top w:val="single" w:sz="8" w:color="auto"/>
            </w:tcBorders>
            <w:gridSpan w:val="3"/>
            <w:vMerge w:val="restart"/>
          </w:tcPr>
          <w:p>
            <w:pPr>
              <w:jc w:val="right"/>
              <w:ind w:right="1190"/>
              <w:spacing w:after="0"/>
              <w:rPr>
                <w:sz w:val="20"/>
                <w:szCs w:val="20"/>
                <w:color w:val="auto"/>
              </w:rPr>
            </w:pPr>
            <w:r>
              <w:rPr>
                <w:rFonts w:ascii="Arial" w:cs="Arial" w:eastAsia="Arial" w:hAnsi="Arial"/>
                <w:sz w:val="18"/>
                <w:szCs w:val="18"/>
                <w:color w:val="auto"/>
                <w:w w:val="84"/>
              </w:rPr>
              <w:t>2022</w:t>
            </w:r>
          </w:p>
        </w:tc>
        <w:tc>
          <w:tcPr>
            <w:tcW w:w="0" w:type="dxa"/>
            <w:vAlign w:val="bottom"/>
          </w:tcPr>
          <w:p>
            <w:pPr>
              <w:spacing w:after="0"/>
              <w:rPr>
                <w:sz w:val="1"/>
                <w:szCs w:val="1"/>
                <w:color w:val="auto"/>
              </w:rPr>
            </w:pPr>
          </w:p>
        </w:tc>
      </w:tr>
      <w:tr>
        <w:trPr>
          <w:trHeight w:val="225"/>
        </w:trPr>
        <w:tc>
          <w:tcPr>
            <w:tcW w:w="5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vMerge w:val="restart"/>
          </w:tcPr>
          <w:p>
            <w:pPr>
              <w:jc w:val="center"/>
              <w:ind w:right="560"/>
              <w:spacing w:after="0"/>
              <w:rPr>
                <w:sz w:val="20"/>
                <w:szCs w:val="20"/>
                <w:color w:val="auto"/>
              </w:rPr>
            </w:pPr>
            <w:r>
              <w:rPr>
                <w:rFonts w:ascii="Arial" w:cs="Arial" w:eastAsia="Arial" w:hAnsi="Arial"/>
                <w:sz w:val="18"/>
                <w:szCs w:val="18"/>
                <w:color w:val="auto"/>
                <w:w w:val="84"/>
              </w:rPr>
              <w:t>Losses</w:t>
            </w:r>
          </w:p>
        </w:tc>
        <w:tc>
          <w:tcPr>
            <w:tcW w:w="126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ind w:right="270"/>
              <w:spacing w:after="0"/>
              <w:rPr>
                <w:sz w:val="20"/>
                <w:szCs w:val="20"/>
                <w:color w:val="auto"/>
              </w:rPr>
            </w:pPr>
            <w:r>
              <w:rPr>
                <w:rFonts w:ascii="Arial" w:cs="Arial" w:eastAsia="Arial" w:hAnsi="Arial"/>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Arial" w:cs="Arial" w:eastAsia="Arial" w:hAnsi="Arial"/>
                <w:sz w:val="18"/>
                <w:szCs w:val="18"/>
                <w:color w:val="auto"/>
                <w:w w:val="99"/>
              </w:rPr>
              <w:t>% of</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36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0"/>
              </w:rPr>
              <w:t>Net Earned</w:t>
            </w: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7"/>
              </w:rPr>
              <w:t>Net Earned</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20"/>
                <w:szCs w:val="20"/>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and LAE</w:t>
            </w: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Premiums</w:t>
            </w:r>
          </w:p>
        </w:tc>
        <w:tc>
          <w:tcPr>
            <w:tcW w:w="22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and LAE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Premiums</w:t>
            </w:r>
          </w:p>
        </w:tc>
        <w:tc>
          <w:tcPr>
            <w:tcW w:w="0" w:type="dxa"/>
            <w:vAlign w:val="bottom"/>
          </w:tcPr>
          <w:p>
            <w:pPr>
              <w:spacing w:after="0"/>
              <w:rPr>
                <w:sz w:val="1"/>
                <w:szCs w:val="1"/>
                <w:color w:val="auto"/>
              </w:rPr>
            </w:pPr>
          </w:p>
        </w:tc>
      </w:tr>
      <w:tr>
        <w:trPr>
          <w:trHeight w:val="236"/>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LAE: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367,767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60.9 %</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279,765</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Prior accident year development - LPT</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losses and LAE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293,536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Adjusted losses and LAE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367,767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279,765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adjusted losses and LAE</w:t>
            </w:r>
            <w:r>
              <w:rPr>
                <w:rFonts w:ascii="Arial" w:cs="Arial" w:eastAsia="Arial" w:hAnsi="Arial"/>
                <w:sz w:val="23"/>
                <w:szCs w:val="23"/>
                <w:color w:val="auto"/>
                <w:vertAlign w:val="superscript"/>
              </w:rPr>
              <w:t>(2)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284,265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160" w:hanging="134"/>
        <w:spacing w:after="0"/>
        <w:tabs>
          <w:tab w:leader="none" w:pos="16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Current accident year</w:t>
      </w:r>
    </w:p>
    <w:p>
      <w:pPr>
        <w:spacing w:after="0" w:line="32" w:lineRule="exact"/>
        <w:rPr>
          <w:rFonts w:ascii="Arial" w:cs="Arial" w:eastAsia="Arial" w:hAnsi="Arial"/>
          <w:sz w:val="16"/>
          <w:szCs w:val="16"/>
          <w:i w:val="1"/>
          <w:iCs w:val="1"/>
          <w:color w:val="auto"/>
          <w:vertAlign w:val="superscript"/>
        </w:rPr>
      </w:pPr>
    </w:p>
    <w:p>
      <w:pPr>
        <w:ind w:left="180" w:hanging="154"/>
        <w:spacing w:after="0" w:line="197" w:lineRule="auto"/>
        <w:tabs>
          <w:tab w:leader="none" w:pos="180" w:val="left"/>
        </w:tabs>
        <w:numPr>
          <w:ilvl w:val="0"/>
          <w:numId w:val="2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loss ratio for the third quarter of 2023 improved 9.7 points when compared to the same 2022 period. The non-cat loss and LAE ratio improved 1.3 points when compared to the same 2022 period, primarily driven by the shift in the mix of business and continued run-off of exited business. Catastrophe losses only added 0.4 points to the current quarter loss ratio compared to the third quarter of 2022, which was impacted by 2.8 points of catastrophe losses from Hurricane Ian. The third quarter of 2022 was impacted by strengthening LPT reserves by $14.4 million partially offset by reinsurance recoveries of $5.1 million, which added 5.9 points to the 2022 loss ratio.</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loss ratio for the first nine months of 2023 improved 3.4 points when compared to the same 2022 period. The non-cat loss and LAE ratio improved 1.9 points when compared to the same 2022 period, primarily driven by the shift in the mix of business and continued run-off of exited business. Catastrophe losses from second and third quarter convective storms and first quarter wind and hail events, including tornadoes, added 1.8 points to the loss ratio compared to the first nine months of 2022, which was impacted by 1.0 point of catastrophe losses from Hurricane Ian. The loss ratio for the first nine months of 2022 included 2.1 points from the net impact of LPT reserve strengthening.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Ratio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components of the expense ratios for the three and nine months ended September 30,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5"/>
              </w:rPr>
              <w:t>Three months ended September 30,</w:t>
            </w: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50"/>
              <w:spacing w:after="0" w:line="169" w:lineRule="exact"/>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color w:val="auto"/>
                <w:w w:val="96"/>
              </w:rPr>
              <w:t>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7"/>
              </w:rPr>
              <w:t>Net Earned</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90"/>
              <w:spacing w:after="0" w:line="189" w:lineRule="exact"/>
              <w:rPr>
                <w:sz w:val="20"/>
                <w:szCs w:val="20"/>
                <w:color w:val="auto"/>
              </w:rPr>
            </w:pPr>
            <w:r>
              <w:rPr>
                <w:rFonts w:ascii="Arial" w:cs="Arial" w:eastAsia="Arial" w:hAnsi="Arial"/>
                <w:sz w:val="18"/>
                <w:szCs w:val="18"/>
                <w:color w:val="auto"/>
                <w:w w:val="87"/>
              </w:rPr>
              <w:t>Net Earned</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Premiums</w:t>
            </w:r>
          </w:p>
        </w:tc>
        <w:tc>
          <w:tcPr>
            <w:tcW w:w="220" w:type="dxa"/>
            <w:vAlign w:val="bottom"/>
          </w:tcPr>
          <w:p>
            <w:pPr>
              <w:spacing w:after="0"/>
              <w:rPr>
                <w:sz w:val="20"/>
                <w:szCs w:val="20"/>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color w:val="auto"/>
                <w:w w:val="96"/>
              </w:rPr>
              <w:t>Expenses</w:t>
            </w:r>
          </w:p>
        </w:tc>
        <w:tc>
          <w:tcPr>
            <w:tcW w:w="1240" w:type="dxa"/>
            <w:vAlign w:val="bottom"/>
          </w:tcPr>
          <w:p>
            <w:pPr>
              <w:jc w:val="center"/>
              <w:ind w:right="190"/>
              <w:spacing w:after="0"/>
              <w:rPr>
                <w:sz w:val="20"/>
                <w:szCs w:val="20"/>
                <w:color w:val="auto"/>
              </w:rPr>
            </w:pPr>
            <w:r>
              <w:rPr>
                <w:rFonts w:ascii="Arial" w:cs="Arial" w:eastAsia="Arial" w:hAnsi="Arial"/>
                <w:sz w:val="18"/>
                <w:szCs w:val="18"/>
                <w:color w:val="auto"/>
                <w:w w:val="88"/>
              </w:rPr>
              <w:t>Premiums</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policy acquisition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34,071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Other operating and general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34,244</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acquisition and insurance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68,315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Less: commission and fee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(2,085)</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66,230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Nine months ended September 30,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50"/>
              <w:spacing w:after="0" w:line="169" w:lineRule="exact"/>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color w:val="auto"/>
                <w:w w:val="96"/>
              </w:rPr>
              <w:t>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7"/>
              </w:rPr>
              <w:t>Net Earned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87"/>
              </w:rPr>
              <w:t>Net Earned</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Premiums</w:t>
            </w:r>
          </w:p>
        </w:tc>
        <w:tc>
          <w:tcPr>
            <w:tcW w:w="220" w:type="dxa"/>
            <w:vAlign w:val="bottom"/>
          </w:tcPr>
          <w:p>
            <w:pPr>
              <w:spacing w:after="0"/>
              <w:rPr>
                <w:sz w:val="21"/>
                <w:szCs w:val="21"/>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color w:val="auto"/>
                <w:w w:val="96"/>
              </w:rPr>
              <w:t>Expenses</w:t>
            </w:r>
          </w:p>
        </w:tc>
        <w:tc>
          <w:tcPr>
            <w:tcW w:w="1240" w:type="dxa"/>
            <w:vAlign w:val="bottom"/>
          </w:tcPr>
          <w:p>
            <w:pPr>
              <w:jc w:val="center"/>
              <w:ind w:right="190"/>
              <w:spacing w:after="0"/>
              <w:rPr>
                <w:sz w:val="20"/>
                <w:szCs w:val="20"/>
                <w:color w:val="auto"/>
              </w:rPr>
            </w:pPr>
            <w:r>
              <w:rPr>
                <w:rFonts w:ascii="Arial" w:cs="Arial" w:eastAsia="Arial" w:hAnsi="Arial"/>
                <w:sz w:val="18"/>
                <w:szCs w:val="18"/>
                <w:color w:val="auto"/>
                <w:w w:val="88"/>
              </w:rPr>
              <w:t>Premiums</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policy acquisition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78,442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Other operating and general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98,211</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16.3 %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acquisition and insurance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176,653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Less: commission and fee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(5,817)</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170,836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expense ratios for the third quarter and first nine months of 2023 increased slightly and improved 0.5 points, respectively, when compared to the same 2022 periods. The increase in the net policy acquisition cost ratios for the third quarter and first nine months of 2023, when compared to the same 2022 periods, was primarily driven by the (i) shift in the mix of business, and (ii) impact of the cancellation of the quota share reinsurance contract. The improvement in the other operating and general expenses ratios for the third quarter and first nine months of 2023, when compared to the same 2022 periods, was primarily due to the increase in earned premiums.</w:t>
      </w:r>
    </w:p>
    <w:p>
      <w:pPr>
        <w:spacing w:after="0" w:line="8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expense ratios for the third quarter and first nine months of 2023 exclude the impact of IPO related stock compensation and secondary offering expenses, which are reported in other expenses in our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the components of net investment income and net investment gains (losses)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124"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476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2940" w:type="dxa"/>
            <w:vAlign w:val="bottom"/>
            <w:tcBorders>
              <w:top w:val="single" w:sz="8" w:color="auto"/>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91"/>
              </w:rPr>
              <w:t>Three months ended September 30,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Short-term and money market investments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Core fixed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21,855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Opportunistic fixed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1"/>
        </w:trPr>
        <w:tc>
          <w:tcPr>
            <w:tcW w:w="4760" w:type="dxa"/>
            <w:vAlign w:val="bottom"/>
            <w:tcBorders>
              <w:bottom w:val="single" w:sz="8" w:color="CCEEFF"/>
            </w:tcBorders>
            <w:shd w:val="clear" w:color="auto" w:fill="CCEEFF"/>
          </w:tcPr>
          <w:p>
            <w:pPr>
              <w:ind w:left="220"/>
              <w:spacing w:after="0" w:line="195" w:lineRule="exact"/>
              <w:rPr>
                <w:sz w:val="20"/>
                <w:szCs w:val="20"/>
                <w:color w:val="auto"/>
              </w:rPr>
            </w:pPr>
            <w:r>
              <w:rPr>
                <w:rFonts w:ascii="Arial" w:cs="Arial" w:eastAsia="Arial" w:hAnsi="Arial"/>
                <w:sz w:val="17"/>
                <w:szCs w:val="17"/>
                <w:color w:val="auto"/>
              </w:rPr>
              <w:t>Net investment income</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13,088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26,315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31,653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unrealized (losses) gains on securities still held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(6,391)</w:t>
            </w:r>
          </w:p>
        </w:tc>
        <w:tc>
          <w:tcPr>
            <w:tcW w:w="10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(6,297)</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2,394</w:t>
            </w:r>
          </w:p>
        </w:tc>
        <w:tc>
          <w:tcPr>
            <w:tcW w:w="8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(26,180)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760" w:type="dxa"/>
            <w:vAlign w:val="bottom"/>
          </w:tcPr>
          <w:p>
            <w:pPr>
              <w:ind w:left="220"/>
              <w:spacing w:after="0"/>
              <w:rPr>
                <w:sz w:val="20"/>
                <w:szCs w:val="20"/>
                <w:color w:val="auto"/>
              </w:rPr>
            </w:pPr>
            <w:r>
              <w:rPr>
                <w:rFonts w:ascii="Arial" w:cs="Arial" w:eastAsia="Arial" w:hAnsi="Arial"/>
                <w:sz w:val="18"/>
                <w:szCs w:val="18"/>
                <w:color w:val="auto"/>
              </w:rPr>
              <w:t>Net investment (losses) gains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0" w:hanging="138"/>
        <w:spacing w:after="0"/>
        <w:tabs>
          <w:tab w:leader="none" w:pos="40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excludes income from operating cash for the third quarter and first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24765</wp:posOffset>
            </wp:positionV>
            <wp:extent cx="68319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-111760</wp:posOffset>
            </wp:positionV>
            <wp:extent cx="3797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investment income for the third quarter and first nine months of 2023 increased $7.1 million and decreased $5.3 million, respectively, when compared to the same 2022 periods.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increase in income from our core fixed income portfolio for the third quarter and first nine months of 2023, when compared to the same 2022 periods, was due to (i) a larger asset base as we continued to increase our allocation to this part of our investment portfolio and (ii) a higher book yield of 4.2% at September 30, 2023 compared to 3.3% at September 30, 2022. The increase in income from short-term and money market investments for the third quarter and first nine months of 2023, when compared to the same 2022 periods, was due to a larger asset base and higher investment yields when compared to the same 2022 periods. The opportunistic fixed income portfolio was impacted by a decline in the fair value of limited partnership investments for the third quarter and first nine months of 2023 when compared to the same 2022 periods.</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September 30, 2023 and determined that no credit impairment existed in the gross unrealized holding losses. See Note 2, “Investments” to our condensed consolidated financial statements included in Item 1 of this Form 10-Q for additional information.  </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Investment Portfolio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components of our investment portfolio at carrying value at September 30, 2023 and December 31, 2022:</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2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223"/>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w w:val="99"/>
              </w:rPr>
              <w:t>Fair Value</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9"/>
              </w:rPr>
              <w:t>Fair Value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and money market investments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194,844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Core fixed income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874,864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607,572</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56.1 %</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Opportunistic fixed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196,021</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143,637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157,506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14.6 %</w:t>
            </w:r>
          </w:p>
        </w:tc>
      </w:tr>
      <w:tr>
        <w:trPr>
          <w:trHeight w:val="248"/>
        </w:trPr>
        <w:tc>
          <w:tcPr>
            <w:tcW w:w="5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 portfolio</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1,082,367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fixed income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core fixed income portfolio consists primarily of investment grade fixed income securities which are predominantly highly-rated and liquid bonds. Our objective is to earn attractive risk-adjusted returns with a low risk of loss of principal. The portfolio is managed by third party managers. The average duration of the portfolio was approximately 4.4 years and 4.3 years, respectively, as of September 30, 2023 and December 31, 2022.</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core fixed income portfolio at September 30,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w w:val="84"/>
              </w:rPr>
              <w:t>2022</w:t>
            </w:r>
          </w:p>
        </w:tc>
      </w:tr>
      <w:tr>
        <w:trPr>
          <w:trHeight w:val="223"/>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w w:val="99"/>
              </w:rPr>
              <w:t>Fair Value</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9"/>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48,541</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Corporate securities and miscellaneous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333,009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38.1 %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235,129</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38.7 %</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57,727</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230,698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119,856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19.7 %</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163,737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109,824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18.1 %</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fixed income securities, available-for-sale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 average credit rating of the portfolio was “AA-” by Standard &amp; Poor’s Financial Services, LLC (“Standard &amp; Poor’s”) at September 30, 2023 and “AA” by Standard &amp; Poor’s at December 31, 2022. The following table sets forth the credit quality of our core fixed income portfolio at September 30, 2023 and December 31, 2022, as rated by Standard &amp; Poor’s or equivalent designation: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w w:val="84"/>
              </w:rPr>
              <w:t>2022</w:t>
            </w:r>
          </w:p>
        </w:tc>
      </w:tr>
      <w:tr>
        <w:trPr>
          <w:trHeight w:val="223"/>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w w:val="99"/>
              </w:rPr>
              <w:t>Fair Value</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9"/>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420,240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283,733</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46.7 %</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102,939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74,604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12.3 %</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126,493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88,369</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14.5 %</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core fixed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874,864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607,572</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Opportunistic fixed income</w:t>
      </w:r>
    </w:p>
    <w:p>
      <w:pPr>
        <w:spacing w:after="0" w:line="11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opportunistic fixed income portfolio is managed by Arena which is affiliated with Westaim, our largest stockholder. The opportunistic fixed income portfolio consists of separately managed accounts, limited partnerships, promissory notes and equity interests. The underlying securities are primarily floating rate senior secured loans, comprised of short duration, collateralized, asset-oriented credit investments designed to generate attractive risk-adjusted returns. The limited partnerships are subject to future increases or decreases in asset value as asset values are monetized and the income is distributed. As of September 30, 2023, the opportunistic fixed income portfolio consisted of three components: diversified asset based lending (54.3%), commercial mortgage loans (32.5%) and cash and cash equivalents (13.2%).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sets forth the components of our opportunistic fixed income portfolio by industry sector at September 30,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w w:val="84"/>
              </w:rPr>
              <w:t>2022</w:t>
            </w:r>
          </w:p>
        </w:tc>
      </w:tr>
      <w:tr>
        <w:trPr>
          <w:trHeight w:val="223"/>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w w:val="99"/>
              </w:rPr>
              <w:t>Fair Value</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9"/>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90,370</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46.1 %</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Oil &amp; Gas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16,902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20,725</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10.6 %</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Banking, Finance &amp; Insurance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Other sectors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31,943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34,072</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Opportunistic fixed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196,021</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60" w:hanging="134"/>
        <w:spacing w:after="0"/>
        <w:tabs>
          <w:tab w:leader="none" w:pos="16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Other sectors primarily includes Financial Services and Commercial &amp; Industrial.</w:t>
      </w:r>
    </w:p>
    <w:p>
      <w:pPr>
        <w:spacing w:after="0" w:line="153" w:lineRule="exact"/>
        <w:rPr>
          <w:rFonts w:ascii="Arial" w:cs="Arial" w:eastAsia="Arial" w:hAnsi="Arial"/>
          <w:sz w:val="16"/>
          <w:szCs w:val="16"/>
          <w:i w:val="1"/>
          <w:iCs w:val="1"/>
          <w:color w:val="auto"/>
          <w:vertAlign w:val="superscript"/>
        </w:rPr>
      </w:pPr>
    </w:p>
    <w:p>
      <w:pPr>
        <w:ind w:left="160" w:hanging="134"/>
        <w:spacing w:after="0"/>
        <w:tabs>
          <w:tab w:leader="none" w:pos="16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cash on settlements that have not yet been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average duration of the debt instruments in the portfolio is approximately 1.3 years and 1.4 years as of September 30, 2023 and December 31, 2022, respectively. During the third quarter of 2023, we provided Arena with notice to withdraw from our investment in the Arena Special Opportunities Fund, LP.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equities portfolio primarily consists of domestic preferred stocks, common equities, exchange traded funds, limited partnerships, limited liability corporations and other types of equity interests, 74.8% of which are publicly traded. The portfolio is directed internally and includes both self-managed investments and portfolios managed by third-party investment management firms.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equities portfolio by security type at September 30,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w w:val="84"/>
              </w:rPr>
              <w:t>2022</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w w:val="99"/>
              </w:rPr>
              <w:t>Fair Value</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9"/>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r>
      <w:tr>
        <w:trPr>
          <w:trHeight w:val="223"/>
        </w:trPr>
        <w:tc>
          <w:tcPr>
            <w:tcW w:w="5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Domestic common equities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48.8 %</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International common equities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34,468</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21.9 %</w:t>
            </w: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5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25.2 %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37,337</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23.7 %</w:t>
            </w:r>
          </w:p>
        </w:tc>
      </w:tr>
      <w:tr>
        <w:trPr>
          <w:trHeight w:val="248"/>
        </w:trPr>
        <w:tc>
          <w:tcPr>
            <w:tcW w:w="5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157,506</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60" w:hanging="134"/>
        <w:spacing w:after="0"/>
        <w:tabs>
          <w:tab w:leader="none" w:pos="160" w:val="left"/>
        </w:tabs>
        <w:numPr>
          <w:ilvl w:val="0"/>
          <w:numId w:val="27"/>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Other includes limited partnerships, limited liability companies and other equity investments in unconsolidated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Income tax expense for the three and nine months ended September 30, 2023 was $6.1 million and $15.8 million, respectively, compared to an income tax benefit of $0.7 million and income tax expense of $4.8 million, respectively, for the same 2022 periods. Our effective tax rate for the three and nine months ended September 30, 2023 was 21.9% and 21.8%, respectively, compared to 23.1% and 20.3%, respectively, for the same 2022 periods. For additional information, see Note 9 of our condensed consolidated financial statements included in Item 1 of this Form 10-Q.</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for the nine months ended September 30, 2023 and 2022 were: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218,539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124,913</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(307,833)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(128,281)</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67,549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cash provided by operating activities in 2023 and 2022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investing activities in 2023 and 2022 was primarily driven by purchases of fixed maturity securities and short-term investments.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financing activities in 2023 was primarily from proceeds of $66.3 million from our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29, 2023, we entered into an unsecured revolving credit facility (the “Revolving Credit Facility”) with a syndicate of participating banks. The Revolving Credit Facility provides us with up to a $150.0 million revolving credit facility, with an accordion that can increase the capacity by $50.0 million, and a letter of credit sub-facility of up to $30.0 million.</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 months ended September 30, 2023, we drew $50.0 million on the Revolving Credit Facility and used the proceeds to pay off the principal on our existing term loan. In connection with our entry into the Revolving Credit Facility, we terminated the existing term loan and revolving line of credit pursuant to our Credit Agreement dated as of December 11, 2019, with Prosperity Bank.</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At September 30, 2023, the six-month SOFR on the Revolving Credit Facility was 5.47%, plus a margin of 1.60%.</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covenants on the Revolving Credit Facility based on minimum net worth, maximum debt to capital ratio, minimum A.M. Best Rating and minimum liquidity. As of September 30, 2023, we are in compliance with all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Preferred</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The Trust Preferred are an unsecured obligation, are redeemable, and have a maturity date of September 15, 2036. Interest on the Trust Preferred is payable quarterly at an annual rate based on the three-month LIBOR (5.66% and 4.77% at September 30, 2023 and December 31, 2022, respectively), plus 3.4%.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eight-year commitment requires all interest payments to be paid in full, as well as the return of all capital. Principal payment is due at maturity on May 24, 2039 and interest is payable quarterly.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September 30, 2023 the ratio of total debt outstanding, including the Revolving Credit Facility, the Trust Preferred and the Notes, to total capitalization (defined as total debt plus stockholders’ equity) was 19.4% and at December 31, 2022, the ratio of total debt outstanding, including the Term Loan, the Revolver, the Trust Preferred and the Notes, to total capitalization was 23.4%.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16" w:lineRule="exact"/>
        <w:rPr>
          <w:sz w:val="20"/>
          <w:szCs w:val="20"/>
          <w:color w:val="auto"/>
        </w:rPr>
      </w:pPr>
    </w:p>
    <w:p>
      <w:pPr>
        <w:ind w:left="660" w:right="2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Quota share reinsurance </w:t>
      </w:r>
      <w:r>
        <w:rPr>
          <w:rFonts w:ascii="Arial" w:cs="Arial" w:eastAsia="Arial" w:hAnsi="Arial"/>
          <w:sz w:val="16"/>
          <w:szCs w:val="16"/>
          <w:color w:val="auto"/>
        </w:rPr>
        <w:t>refers to a reinsurance contract whereby the reinsurer agrees to assume a specified percentage of the ceding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arising out of a defined class of business in exchange for a corresponding percentage of premiums, net of a ceding commission.</w:t>
      </w:r>
    </w:p>
    <w:p>
      <w:pPr>
        <w:spacing w:after="0" w:line="15"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Excess of loss reinsurance </w:t>
      </w:r>
      <w:r>
        <w:rPr>
          <w:rFonts w:ascii="Arial" w:cs="Arial" w:eastAsia="Arial" w:hAnsi="Arial"/>
          <w:sz w:val="18"/>
          <w:szCs w:val="18"/>
          <w:color w:val="auto"/>
        </w:rPr>
        <w:t>refers to a reinsurance contract whereby the reinsurer agrees to assume all or a portion of the ceding company’s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 individual claim or an event in excess of a specified amount in exchange for a premium payable amount negotiated between the parties, which includes our catastrophe reinsurance program.</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Facultative coverage </w:t>
      </w:r>
      <w:r>
        <w:rPr>
          <w:rFonts w:ascii="Arial" w:cs="Arial" w:eastAsia="Arial" w:hAnsi="Arial"/>
          <w:sz w:val="17"/>
          <w:szCs w:val="17"/>
          <w:color w:val="auto"/>
        </w:rPr>
        <w:t>refers to a reinsurance contract on individual risks as opposed to a group or class of business. It is used for a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reasons, including supplementing the limits provided by the treaty coverage or covering risks or perils excluded from treaty reinsurance.</w:t>
      </w:r>
    </w:p>
    <w:p>
      <w:pPr>
        <w:spacing w:after="0" w:line="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the three and nine months ended September 30, 2023 our net retention on a written basis (calculated as net written premiums as a percentage of gross written premiums) was 78.9% and 61.2%, respectively, compared to 63.4% and 56.4%, respectively, for the same 2022 periods. Net retention for the three and nine months ended September 30, 2023 was impacted by the cancellation of a quota share reinsurance arrangement, the impact of which increased net written premiums by $50.5 million, respectively, that had previously been ceded under the contract through the first six months of 2023.</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reinsurance programs as of September 30,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Line of Business</w:t>
            </w:r>
          </w:p>
        </w:tc>
        <w:tc>
          <w:tcPr>
            <w:tcW w:w="28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&amp; Health</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$0.88 million per occurrence</w:t>
            </w:r>
          </w:p>
        </w:tc>
      </w:tr>
      <w:tr>
        <w:trPr>
          <w:trHeight w:val="230"/>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Commercial Auto</w:t>
            </w:r>
            <w:r>
              <w:rPr>
                <w:rFonts w:ascii="Arial" w:cs="Arial" w:eastAsia="Arial" w:hAnsi="Arial"/>
                <w:sz w:val="23"/>
                <w:szCs w:val="23"/>
                <w:color w:val="auto"/>
                <w:vertAlign w:val="superscript"/>
              </w:rPr>
              <w:t>(1)</w:t>
            </w:r>
          </w:p>
        </w:tc>
        <w:tc>
          <w:tcPr>
            <w:tcW w:w="2840" w:type="dxa"/>
            <w:vAlign w:val="bottom"/>
          </w:tcPr>
          <w:p>
            <w:pPr>
              <w:spacing w:after="0"/>
              <w:rPr>
                <w:sz w:val="20"/>
                <w:szCs w:val="20"/>
                <w:color w:val="auto"/>
              </w:rPr>
            </w:pPr>
            <w:r>
              <w:rPr>
                <w:rFonts w:ascii="Arial" w:cs="Arial" w:eastAsia="Arial" w:hAnsi="Arial"/>
                <w:sz w:val="18"/>
                <w:szCs w:val="18"/>
                <w:color w:val="auto"/>
              </w:rPr>
              <w:t>$1.00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Excess Casualty</w:t>
            </w:r>
            <w:r>
              <w:rPr>
                <w:rFonts w:ascii="Arial" w:cs="Arial" w:eastAsia="Arial" w:hAnsi="Arial"/>
                <w:sz w:val="23"/>
                <w:szCs w:val="23"/>
                <w:color w:val="auto"/>
                <w:vertAlign w:val="superscript"/>
              </w:rPr>
              <w:t>(1)(2)</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$1.24 million per occurrence</w:t>
            </w:r>
          </w:p>
        </w:tc>
      </w:tr>
      <w:tr>
        <w:trPr>
          <w:trHeight w:val="230"/>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General Liability</w:t>
            </w:r>
            <w:r>
              <w:rPr>
                <w:rFonts w:ascii="Arial" w:cs="Arial" w:eastAsia="Arial" w:hAnsi="Arial"/>
                <w:sz w:val="23"/>
                <w:szCs w:val="23"/>
                <w:color w:val="auto"/>
                <w:vertAlign w:val="superscript"/>
              </w:rPr>
              <w:t>(1)</w:t>
            </w:r>
          </w:p>
        </w:tc>
        <w:tc>
          <w:tcPr>
            <w:tcW w:w="2840" w:type="dxa"/>
            <w:vAlign w:val="bottom"/>
          </w:tcPr>
          <w:p>
            <w:pPr>
              <w:spacing w:after="0"/>
              <w:rPr>
                <w:sz w:val="20"/>
                <w:szCs w:val="20"/>
                <w:color w:val="auto"/>
              </w:rPr>
            </w:pPr>
            <w:r>
              <w:rPr>
                <w:rFonts w:ascii="Arial" w:cs="Arial" w:eastAsia="Arial" w:hAnsi="Arial"/>
                <w:sz w:val="18"/>
                <w:szCs w:val="18"/>
                <w:color w:val="auto"/>
              </w:rPr>
              <w:t>$1.25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Professional Lines</w:t>
            </w:r>
            <w:r>
              <w:rPr>
                <w:rFonts w:ascii="Arial" w:cs="Arial" w:eastAsia="Arial" w:hAnsi="Arial"/>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$2.70 million per occurrence</w:t>
            </w:r>
          </w:p>
        </w:tc>
      </w:tr>
      <w:tr>
        <w:trPr>
          <w:trHeight w:val="230"/>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Property</w:t>
            </w:r>
            <w:r>
              <w:rPr>
                <w:rFonts w:ascii="Arial" w:cs="Arial" w:eastAsia="Arial" w:hAnsi="Arial"/>
                <w:sz w:val="23"/>
                <w:szCs w:val="23"/>
                <w:color w:val="auto"/>
                <w:vertAlign w:val="superscript"/>
              </w:rPr>
              <w:t>(3)</w:t>
            </w:r>
          </w:p>
        </w:tc>
        <w:tc>
          <w:tcPr>
            <w:tcW w:w="2840" w:type="dxa"/>
            <w:vAlign w:val="bottom"/>
          </w:tcPr>
          <w:p>
            <w:pPr>
              <w:spacing w:after="0"/>
              <w:rPr>
                <w:sz w:val="20"/>
                <w:szCs w:val="20"/>
                <w:color w:val="auto"/>
              </w:rPr>
            </w:pPr>
            <w:r>
              <w:rPr>
                <w:rFonts w:ascii="Arial" w:cs="Arial" w:eastAsia="Arial" w:hAnsi="Arial"/>
                <w:sz w:val="18"/>
                <w:szCs w:val="18"/>
                <w:color w:val="auto"/>
              </w:rPr>
              <w:t>$2.80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Surety</w:t>
            </w:r>
            <w:r>
              <w:rPr>
                <w:rFonts w:ascii="Arial" w:cs="Arial" w:eastAsia="Arial" w:hAnsi="Arial"/>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$3.00 million per occurrence</w:t>
            </w:r>
          </w:p>
        </w:tc>
      </w:tr>
      <w:tr>
        <w:trPr>
          <w:trHeight w:val="230"/>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Workers’ Compensation</w:t>
            </w:r>
            <w:r>
              <w:rPr>
                <w:rFonts w:ascii="Arial" w:cs="Arial" w:eastAsia="Arial" w:hAnsi="Arial"/>
                <w:sz w:val="23"/>
                <w:szCs w:val="23"/>
                <w:color w:val="auto"/>
                <w:vertAlign w:val="superscript"/>
              </w:rPr>
              <w:t>(2)</w:t>
            </w:r>
          </w:p>
        </w:tc>
        <w:tc>
          <w:tcPr>
            <w:tcW w:w="2840" w:type="dxa"/>
            <w:vAlign w:val="bottom"/>
          </w:tcPr>
          <w:p>
            <w:pPr>
              <w:spacing w:after="0"/>
              <w:rPr>
                <w:sz w:val="20"/>
                <w:szCs w:val="20"/>
                <w:color w:val="auto"/>
              </w:rPr>
            </w:pPr>
            <w:r>
              <w:rPr>
                <w:rFonts w:ascii="Arial" w:cs="Arial" w:eastAsia="Arial" w:hAnsi="Arial"/>
                <w:sz w:val="18"/>
                <w:szCs w:val="18"/>
                <w:color w:val="auto"/>
              </w:rPr>
              <w:t>$1.55 million per occurrence</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Cyber</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$2.69 million per occurrence</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Representation and Warranty</w:t>
            </w:r>
          </w:p>
        </w:tc>
        <w:tc>
          <w:tcPr>
            <w:tcW w:w="2840" w:type="dxa"/>
            <w:vAlign w:val="bottom"/>
          </w:tcPr>
          <w:p>
            <w:pPr>
              <w:spacing w:after="0"/>
              <w:rPr>
                <w:sz w:val="20"/>
                <w:szCs w:val="20"/>
                <w:color w:val="auto"/>
              </w:rPr>
            </w:pPr>
            <w:r>
              <w:rPr>
                <w:rFonts w:ascii="Arial" w:cs="Arial" w:eastAsia="Arial" w:hAnsi="Arial"/>
                <w:sz w:val="18"/>
                <w:szCs w:val="18"/>
                <w:color w:val="auto"/>
              </w:rPr>
              <w:t>$2.50 million per occurrence</w:t>
            </w:r>
          </w:p>
        </w:tc>
      </w:tr>
    </w:tbl>
    <w:p>
      <w:pPr>
        <w:spacing w:after="0" w:line="23" w:lineRule="exact"/>
        <w:rPr>
          <w:sz w:val="20"/>
          <w:szCs w:val="20"/>
          <w:color w:val="auto"/>
        </w:rPr>
      </w:pPr>
    </w:p>
    <w:p>
      <w:pPr>
        <w:ind w:left="180" w:hanging="154"/>
        <w:spacing w:after="0"/>
        <w:tabs>
          <w:tab w:leader="none" w:pos="18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Legal defense expenses can force exposure above the maximum company retention for Excess Casualty, Commercial Auto and General Liability.</w:t>
      </w:r>
    </w:p>
    <w:p>
      <w:pPr>
        <w:spacing w:after="0" w:line="32" w:lineRule="exact"/>
        <w:rPr>
          <w:rFonts w:ascii="Arial" w:cs="Arial" w:eastAsia="Arial" w:hAnsi="Arial"/>
          <w:sz w:val="18"/>
          <w:szCs w:val="18"/>
          <w:i w:val="1"/>
          <w:iCs w:val="1"/>
          <w:color w:val="auto"/>
          <w:vertAlign w:val="superscript"/>
        </w:rPr>
      </w:pPr>
    </w:p>
    <w:p>
      <w:pPr>
        <w:ind w:left="180" w:hanging="154"/>
        <w:spacing w:after="0" w:line="197" w:lineRule="auto"/>
        <w:tabs>
          <w:tab w:leader="none" w:pos="18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Reinsurance is subject to a loss ratio cap or aggregate level of loss cover that exceeds a modeled 1:250-year PML event.</w:t>
      </w:r>
    </w:p>
    <w:p>
      <w:pPr>
        <w:spacing w:after="0" w:line="32" w:lineRule="exact"/>
        <w:rPr>
          <w:rFonts w:ascii="Arial" w:cs="Arial" w:eastAsia="Arial" w:hAnsi="Arial"/>
          <w:sz w:val="18"/>
          <w:szCs w:val="18"/>
          <w:i w:val="1"/>
          <w:iCs w:val="1"/>
          <w:color w:val="auto"/>
          <w:vertAlign w:val="superscript"/>
        </w:rPr>
      </w:pPr>
    </w:p>
    <w:p>
      <w:pPr>
        <w:ind w:left="180" w:hanging="154"/>
        <w:spacing w:after="0" w:line="197" w:lineRule="auto"/>
        <w:tabs>
          <w:tab w:leader="none" w:pos="18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Catastrophe loss protection is purchased up to $28.0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Financial Strength Ratings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August 25, 2023, A.M. Best affirmed Skyward Specialty’s financial strength rating of A- (Excellent) and revised the outlooks to positive from stable.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September 30, 2023,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during the last fiscal quarter that have materially affected, or are reasonably likely to materially affect, our internal control over financial reporting.</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September 30, 2023 from those disclosed in our Annual Report on Form 10-K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quarter ended September 30, 2023,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60" w:type="dxa"/>
            <w:vAlign w:val="bottom"/>
            <w:gridSpan w:val="10"/>
          </w:tcPr>
          <w:p>
            <w:pPr>
              <w:ind w:left="5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3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00" w:type="dxa"/>
            <w:vAlign w:val="bottom"/>
            <w:tcBorders>
              <w:top w:val="single" w:sz="8" w:color="auto"/>
            </w:tcBorders>
            <w:gridSpan w:val="13"/>
          </w:tcPr>
          <w:p>
            <w:pPr>
              <w:spacing w:after="0" w:line="169"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29"/>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11"/>
          </w:tcPr>
          <w:p>
            <w:pPr>
              <w:spacing w:after="0" w:line="129" w:lineRule="exact"/>
              <w:rPr>
                <w:rFonts w:ascii="Arial" w:cs="Arial" w:eastAsia="Arial" w:hAnsi="Arial"/>
                <w:sz w:val="13"/>
                <w:szCs w:val="13"/>
                <w:color w:val="0000FF"/>
              </w:rPr>
            </w:pPr>
            <w:hyperlink r:id="rId88">
              <w:r>
                <w:rPr>
                  <w:rFonts w:ascii="Arial" w:cs="Arial" w:eastAsia="Arial" w:hAnsi="Arial"/>
                  <w:sz w:val="13"/>
                  <w:szCs w:val="13"/>
                  <w:color w:val="0000FF"/>
                </w:rPr>
                <w:t>8-K filed with the Commission on January 18, 2023).</w:t>
              </w:r>
            </w:hyperlink>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3"/>
          </w:tcPr>
          <w:p>
            <w:pPr>
              <w:spacing w:after="0" w:line="182"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top w:val="single" w:sz="8" w:color="0000FF"/>
              <w:bottom w:val="single" w:sz="8" w:color="0000FF"/>
            </w:tcBorders>
            <w:gridSpan w:val="2"/>
          </w:tcPr>
          <w:p>
            <w:pPr>
              <w:spacing w:after="0" w:line="129" w:lineRule="exact"/>
              <w:rPr>
                <w:rFonts w:ascii="Arial" w:cs="Arial" w:eastAsia="Arial" w:hAnsi="Arial"/>
                <w:sz w:val="13"/>
                <w:szCs w:val="13"/>
                <w:color w:val="0000FF"/>
              </w:rPr>
            </w:pPr>
            <w:hyperlink r:id="rId89">
              <w:r>
                <w:rPr>
                  <w:rFonts w:ascii="Arial" w:cs="Arial" w:eastAsia="Arial" w:hAnsi="Arial"/>
                  <w:sz w:val="13"/>
                  <w:szCs w:val="13"/>
                  <w:color w:val="0000FF"/>
                </w:rPr>
                <w:t>Commission on January 18, 2023).</w:t>
              </w:r>
            </w:hyperlink>
          </w:p>
        </w:tc>
        <w:tc>
          <w:tcPr>
            <w:tcW w:w="7140" w:type="dxa"/>
            <w:vAlign w:val="bottom"/>
            <w:tcBorders>
              <w:top w:val="single" w:sz="8" w:color="0000FF"/>
            </w:tcBorders>
            <w:gridSpan w:val="8"/>
          </w:tcPr>
          <w:p>
            <w:pPr>
              <w:spacing w:after="0"/>
              <w:rPr>
                <w:sz w:val="11"/>
                <w:szCs w:val="11"/>
                <w:color w:val="auto"/>
              </w:rPr>
            </w:pPr>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3"/>
          </w:tcPr>
          <w:p>
            <w:pPr>
              <w:spacing w:after="0" w:line="196"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Amended and Restated Stockholders’ Agreement, by and among the Company and the stockholders listed therein (incorporated by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6" w:lineRule="exact"/>
              <w:rPr>
                <w:rFonts w:ascii="Arial" w:cs="Arial" w:eastAsia="Arial" w:hAnsi="Arial"/>
                <w:sz w:val="18"/>
                <w:szCs w:val="18"/>
                <w:color w:val="0000FF"/>
                <w:w w:val="96"/>
              </w:rPr>
            </w:pPr>
            <w:hyperlink r:id="rId90">
              <w:r>
                <w:rPr>
                  <w:rFonts w:ascii="Arial" w:cs="Arial" w:eastAsia="Arial" w:hAnsi="Arial"/>
                  <w:sz w:val="18"/>
                  <w:szCs w:val="18"/>
                  <w:color w:val="0000FF"/>
                  <w:w w:val="96"/>
                </w:rPr>
                <w:t>reference to Exhibit 4.1 to the Company’s Registration Statement on Form S-1, filed with the SEC on November 14, 2022).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0000FF"/>
                <w:w w:val="94"/>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4640" w:type="dxa"/>
            <w:vAlign w:val="bottom"/>
            <w:tcBorders>
              <w:top w:val="single" w:sz="8" w:color="0000FF"/>
            </w:tcBorders>
            <w:gridSpan w:val="5"/>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0000FF"/>
                <w:w w:val="92"/>
              </w:rPr>
              <w:t>Certification of Principal Financial and Accounting Officer pursuant to Rule 13a-14(a) or Rule 15d-14(a) of the Securities Exchange Act</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9"/>
              </w:rPr>
              <w:t>of 1934, as adopted pursuant to Section 302 of the Sarbanes-Oxley Act of 2002.</w:t>
            </w:r>
          </w:p>
        </w:tc>
        <w:tc>
          <w:tcPr>
            <w:tcW w:w="408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0000FF"/>
                <w:w w:val="94"/>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Oxley Act of 2002.</w:t>
            </w:r>
          </w:p>
        </w:tc>
        <w:tc>
          <w:tcPr>
            <w:tcW w:w="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8"/>
                <w:szCs w:val="18"/>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1"/>
        </w:trPr>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ind w:left="1340" w:hanging="961"/>
        <w:spacing w:after="0"/>
        <w:tabs>
          <w:tab w:leader="none" w:pos="13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360" w:hanging="352"/>
        <w:spacing w:after="0" w:line="277" w:lineRule="auto"/>
        <w:tabs>
          <w:tab w:leader="none" w:pos="358"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All financial statement schedules are omitted because the information called for is not required or is shown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 or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1431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Skyward Specialty Insurance Group, Inc.</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November 9, 2023</w:t>
            </w:r>
          </w:p>
        </w:tc>
        <w:tc>
          <w:tcPr>
            <w:tcW w:w="2080" w:type="dxa"/>
            <w:vAlign w:val="bottom"/>
          </w:tcPr>
          <w:p>
            <w:pPr>
              <w:ind w:left="16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Robinson</w:t>
            </w:r>
          </w:p>
        </w:tc>
      </w:tr>
      <w:tr>
        <w:trPr>
          <w:trHeight w:val="222"/>
        </w:trPr>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Andrew Robinson</w:t>
            </w:r>
          </w:p>
        </w:tc>
      </w:tr>
      <w:tr>
        <w:trPr>
          <w:trHeight w:val="229"/>
        </w:trPr>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Date: November 9, 2023</w:t>
            </w:r>
          </w:p>
        </w:tc>
        <w:tc>
          <w:tcPr>
            <w:tcW w:w="2080" w:type="dxa"/>
            <w:vAlign w:val="bottom"/>
          </w:tcPr>
          <w:p>
            <w:pPr>
              <w:ind w:left="16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Haushill</w:t>
            </w:r>
          </w:p>
        </w:tc>
      </w:tr>
      <w:tr>
        <w:trPr>
          <w:trHeight w:val="222"/>
        </w:trPr>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Mark Haushill</w:t>
            </w:r>
          </w:p>
        </w:tc>
      </w:tr>
      <w:tr>
        <w:trPr>
          <w:trHeight w:val="229"/>
        </w:trPr>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9" w:right="339" w:bottom="1440" w:gutter="0" w:footer="0" w:header="0"/>
        </w:sectPr>
      </w:pPr>
    </w:p>
    <w:bookmarkStart w:id="49" w:name="page50"/>
    <w:bookmarkEnd w:id="49"/>
    <w:p>
      <w:pPr>
        <w:ind w:left="101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Andrew Robinson, certify that:</w:t>
      </w:r>
    </w:p>
    <w:p>
      <w:pPr>
        <w:spacing w:after="0" w:line="117" w:lineRule="exact"/>
        <w:rPr>
          <w:sz w:val="20"/>
          <w:szCs w:val="20"/>
          <w:color w:val="auto"/>
        </w:rPr>
      </w:pPr>
    </w:p>
    <w:p>
      <w:pPr>
        <w:ind w:left="520" w:hanging="188"/>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Skyward Specialty Insurance Group,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40" w:hanging="8"/>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20" w:hanging="2"/>
        <w:spacing w:after="0" w:line="263" w:lineRule="auto"/>
        <w:tabs>
          <w:tab w:leader="none" w:pos="9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20" w:right="20" w:hanging="2"/>
        <w:spacing w:after="0" w:line="342" w:lineRule="auto"/>
        <w:tabs>
          <w:tab w:leader="none" w:pos="102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820" w:hanging="2"/>
        <w:spacing w:after="0" w:line="263" w:lineRule="auto"/>
        <w:tabs>
          <w:tab w:leader="none" w:pos="9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20" w:hanging="8"/>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2"/>
        <w:spacing w:after="0" w:line="277" w:lineRule="auto"/>
        <w:tabs>
          <w:tab w:leader="none" w:pos="10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2"/>
        <w:spacing w:after="0" w:line="277" w:lineRule="auto"/>
        <w:tabs>
          <w:tab w:leader="none" w:pos="10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360"/>
              <w:spacing w:after="0"/>
              <w:rPr>
                <w:sz w:val="20"/>
                <w:szCs w:val="20"/>
                <w:color w:val="auto"/>
              </w:rPr>
            </w:pPr>
            <w:r>
              <w:rPr>
                <w:rFonts w:ascii="Arial" w:cs="Arial" w:eastAsia="Arial" w:hAnsi="Arial"/>
                <w:sz w:val="18"/>
                <w:szCs w:val="18"/>
                <w:color w:val="auto"/>
              </w:rPr>
              <w:t>November 9, 2023</w:t>
            </w:r>
          </w:p>
        </w:tc>
        <w:tc>
          <w:tcPr>
            <w:tcW w:w="2000" w:type="dxa"/>
            <w:vAlign w:val="bottom"/>
          </w:tcPr>
          <w:p>
            <w:pPr>
              <w:ind w:left="12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Robinson</w:t>
            </w:r>
          </w:p>
        </w:tc>
      </w:tr>
      <w:tr>
        <w:trPr>
          <w:trHeight w:val="222"/>
        </w:trPr>
        <w:tc>
          <w:tcPr>
            <w:tcW w:w="7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00" w:type="dxa"/>
            <w:vAlign w:val="bottom"/>
          </w:tcPr>
          <w:p>
            <w:pPr>
              <w:ind w:left="1260"/>
              <w:spacing w:after="0"/>
              <w:rPr>
                <w:sz w:val="20"/>
                <w:szCs w:val="20"/>
                <w:color w:val="auto"/>
              </w:rPr>
            </w:pPr>
            <w:r>
              <w:rPr>
                <w:rFonts w:ascii="Arial" w:cs="Arial" w:eastAsia="Arial" w:hAnsi="Arial"/>
                <w:sz w:val="18"/>
                <w:szCs w:val="18"/>
                <w:color w:val="auto"/>
              </w:rPr>
              <w:t>Name:</w:t>
            </w:r>
          </w:p>
        </w:tc>
        <w:tc>
          <w:tcPr>
            <w:tcW w:w="5500" w:type="dxa"/>
            <w:vAlign w:val="bottom"/>
          </w:tcPr>
          <w:p>
            <w:pPr>
              <w:ind w:left="20"/>
              <w:spacing w:after="0"/>
              <w:rPr>
                <w:sz w:val="20"/>
                <w:szCs w:val="20"/>
                <w:color w:val="auto"/>
              </w:rPr>
            </w:pPr>
            <w:r>
              <w:rPr>
                <w:rFonts w:ascii="Arial" w:cs="Arial" w:eastAsia="Arial" w:hAnsi="Arial"/>
                <w:sz w:val="18"/>
                <w:szCs w:val="18"/>
                <w:color w:val="auto"/>
              </w:rPr>
              <w:t>Andrew Robinson</w:t>
            </w:r>
          </w:p>
        </w:tc>
      </w:tr>
      <w:tr>
        <w:trPr>
          <w:trHeight w:val="230"/>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0" w:type="dxa"/>
            <w:vAlign w:val="bottom"/>
          </w:tcPr>
          <w:p>
            <w:pPr>
              <w:ind w:left="1260"/>
              <w:spacing w:after="0"/>
              <w:rPr>
                <w:sz w:val="20"/>
                <w:szCs w:val="20"/>
                <w:color w:val="auto"/>
              </w:rPr>
            </w:pPr>
            <w:r>
              <w:rPr>
                <w:rFonts w:ascii="Arial" w:cs="Arial" w:eastAsia="Arial" w:hAnsi="Arial"/>
                <w:sz w:val="18"/>
                <w:szCs w:val="18"/>
                <w:color w:val="auto"/>
              </w:rPr>
              <w:t>Title:</w:t>
            </w:r>
          </w:p>
        </w:tc>
        <w:tc>
          <w:tcPr>
            <w:tcW w:w="55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50" w:name="page51"/>
    <w:bookmarkEnd w:id="50"/>
    <w:p>
      <w:pPr>
        <w:ind w:left="1012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Haushill, certify that:</w:t>
      </w:r>
    </w:p>
    <w:p>
      <w:pPr>
        <w:spacing w:after="0" w:line="117" w:lineRule="exact"/>
        <w:rPr>
          <w:sz w:val="20"/>
          <w:szCs w:val="20"/>
          <w:color w:val="auto"/>
        </w:rPr>
      </w:pPr>
    </w:p>
    <w:p>
      <w:pPr>
        <w:ind w:left="520" w:hanging="188"/>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Skyward Specialty Insurance Group,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40" w:hanging="8"/>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20" w:hanging="2"/>
        <w:spacing w:after="0" w:line="263" w:lineRule="auto"/>
        <w:tabs>
          <w:tab w:leader="none" w:pos="9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20" w:right="20" w:hanging="2"/>
        <w:spacing w:after="0" w:line="342" w:lineRule="auto"/>
        <w:tabs>
          <w:tab w:leader="none" w:pos="102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820" w:hanging="2"/>
        <w:spacing w:after="0" w:line="263" w:lineRule="auto"/>
        <w:tabs>
          <w:tab w:leader="none" w:pos="9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20" w:hanging="8"/>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2"/>
        <w:spacing w:after="0" w:line="277" w:lineRule="auto"/>
        <w:tabs>
          <w:tab w:leader="none" w:pos="10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2"/>
        <w:spacing w:after="0" w:line="277" w:lineRule="auto"/>
        <w:tabs>
          <w:tab w:leader="none" w:pos="101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360"/>
              <w:spacing w:after="0"/>
              <w:rPr>
                <w:sz w:val="20"/>
                <w:szCs w:val="20"/>
                <w:color w:val="auto"/>
              </w:rPr>
            </w:pPr>
            <w:r>
              <w:rPr>
                <w:rFonts w:ascii="Arial" w:cs="Arial" w:eastAsia="Arial" w:hAnsi="Arial"/>
                <w:sz w:val="18"/>
                <w:szCs w:val="18"/>
                <w:color w:val="auto"/>
              </w:rPr>
              <w:t>November 9, 2023</w:t>
            </w:r>
          </w:p>
        </w:tc>
        <w:tc>
          <w:tcPr>
            <w:tcW w:w="2000" w:type="dxa"/>
            <w:vAlign w:val="bottom"/>
          </w:tcPr>
          <w:p>
            <w:pPr>
              <w:ind w:left="12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Haushill</w:t>
            </w:r>
          </w:p>
        </w:tc>
      </w:tr>
      <w:tr>
        <w:trPr>
          <w:trHeight w:val="222"/>
        </w:trPr>
        <w:tc>
          <w:tcPr>
            <w:tcW w:w="7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00" w:type="dxa"/>
            <w:vAlign w:val="bottom"/>
          </w:tcPr>
          <w:p>
            <w:pPr>
              <w:ind w:left="1260"/>
              <w:spacing w:after="0"/>
              <w:rPr>
                <w:sz w:val="20"/>
                <w:szCs w:val="20"/>
                <w:color w:val="auto"/>
              </w:rPr>
            </w:pPr>
            <w:r>
              <w:rPr>
                <w:rFonts w:ascii="Arial" w:cs="Arial" w:eastAsia="Arial" w:hAnsi="Arial"/>
                <w:sz w:val="18"/>
                <w:szCs w:val="18"/>
                <w:color w:val="auto"/>
              </w:rPr>
              <w:t>Name:</w:t>
            </w:r>
          </w:p>
        </w:tc>
        <w:tc>
          <w:tcPr>
            <w:tcW w:w="5500" w:type="dxa"/>
            <w:vAlign w:val="bottom"/>
          </w:tcPr>
          <w:p>
            <w:pPr>
              <w:ind w:left="20"/>
              <w:spacing w:after="0"/>
              <w:rPr>
                <w:sz w:val="20"/>
                <w:szCs w:val="20"/>
                <w:color w:val="auto"/>
              </w:rPr>
            </w:pPr>
            <w:r>
              <w:rPr>
                <w:rFonts w:ascii="Arial" w:cs="Arial" w:eastAsia="Arial" w:hAnsi="Arial"/>
                <w:sz w:val="18"/>
                <w:szCs w:val="18"/>
                <w:color w:val="auto"/>
              </w:rPr>
              <w:t>Mark Haushill</w:t>
            </w:r>
          </w:p>
        </w:tc>
      </w:tr>
      <w:tr>
        <w:trPr>
          <w:trHeight w:val="230"/>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0" w:type="dxa"/>
            <w:vAlign w:val="bottom"/>
          </w:tcPr>
          <w:p>
            <w:pPr>
              <w:ind w:left="1260"/>
              <w:spacing w:after="0"/>
              <w:rPr>
                <w:sz w:val="20"/>
                <w:szCs w:val="20"/>
                <w:color w:val="auto"/>
              </w:rPr>
            </w:pPr>
            <w:r>
              <w:rPr>
                <w:rFonts w:ascii="Arial" w:cs="Arial" w:eastAsia="Arial" w:hAnsi="Arial"/>
                <w:sz w:val="18"/>
                <w:szCs w:val="18"/>
                <w:color w:val="auto"/>
              </w:rPr>
              <w:t>Title:</w:t>
            </w:r>
          </w:p>
        </w:tc>
        <w:tc>
          <w:tcPr>
            <w:tcW w:w="55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Quarterly Report on Form 10-Q of Skyward Specialty Insurance Group, Inc. (the “Company”) for the three and six months ended September 30, 2023,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63" w:lineRule="exact"/>
        <w:rPr>
          <w:sz w:val="20"/>
          <w:szCs w:val="20"/>
          <w:color w:val="auto"/>
        </w:rPr>
      </w:pPr>
    </w:p>
    <w:p>
      <w:pPr>
        <w:ind w:left="580" w:hanging="248"/>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40" w:lineRule="exact"/>
        <w:rPr>
          <w:rFonts w:ascii="Arial" w:cs="Arial" w:eastAsia="Arial" w:hAnsi="Arial"/>
          <w:sz w:val="16"/>
          <w:szCs w:val="16"/>
          <w:color w:val="auto"/>
        </w:rPr>
      </w:pPr>
    </w:p>
    <w:p>
      <w:pPr>
        <w:ind w:left="580" w:hanging="248"/>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360"/>
              <w:spacing w:after="0"/>
              <w:rPr>
                <w:sz w:val="20"/>
                <w:szCs w:val="20"/>
                <w:color w:val="auto"/>
              </w:rPr>
            </w:pPr>
            <w:r>
              <w:rPr>
                <w:rFonts w:ascii="Arial" w:cs="Arial" w:eastAsia="Arial" w:hAnsi="Arial"/>
                <w:sz w:val="18"/>
                <w:szCs w:val="18"/>
                <w:color w:val="auto"/>
              </w:rPr>
              <w:t>November 9, 2023</w:t>
            </w:r>
          </w:p>
        </w:tc>
        <w:tc>
          <w:tcPr>
            <w:tcW w:w="2020" w:type="dxa"/>
            <w:vAlign w:val="bottom"/>
          </w:tcPr>
          <w:p>
            <w:pPr>
              <w:ind w:left="126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Robinson</w:t>
            </w:r>
          </w:p>
        </w:tc>
      </w:tr>
      <w:tr>
        <w:trPr>
          <w:trHeight w:val="222"/>
        </w:trPr>
        <w:tc>
          <w:tcPr>
            <w:tcW w:w="7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rPr>
              <w:t>Name:</w:t>
            </w:r>
          </w:p>
        </w:tc>
        <w:tc>
          <w:tcPr>
            <w:tcW w:w="5480" w:type="dxa"/>
            <w:vAlign w:val="bottom"/>
          </w:tcPr>
          <w:p>
            <w:pPr>
              <w:ind w:left="20"/>
              <w:spacing w:after="0"/>
              <w:rPr>
                <w:sz w:val="20"/>
                <w:szCs w:val="20"/>
                <w:color w:val="auto"/>
              </w:rPr>
            </w:pPr>
            <w:r>
              <w:rPr>
                <w:rFonts w:ascii="Arial" w:cs="Arial" w:eastAsia="Arial" w:hAnsi="Arial"/>
                <w:sz w:val="18"/>
                <w:szCs w:val="18"/>
                <w:color w:val="auto"/>
              </w:rPr>
              <w:t>Andrew Robinson</w:t>
            </w:r>
          </w:p>
        </w:tc>
      </w:tr>
      <w:tr>
        <w:trPr>
          <w:trHeight w:val="230"/>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rPr>
              <w:t>Title:</w:t>
            </w:r>
          </w:p>
        </w:tc>
        <w:tc>
          <w:tcPr>
            <w:tcW w:w="5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360"/>
              <w:spacing w:after="0"/>
              <w:rPr>
                <w:sz w:val="20"/>
                <w:szCs w:val="20"/>
                <w:color w:val="auto"/>
              </w:rPr>
            </w:pPr>
            <w:r>
              <w:rPr>
                <w:rFonts w:ascii="Arial" w:cs="Arial" w:eastAsia="Arial" w:hAnsi="Arial"/>
                <w:sz w:val="18"/>
                <w:szCs w:val="18"/>
                <w:color w:val="auto"/>
              </w:rPr>
              <w:t>November 9, 2023</w:t>
            </w:r>
          </w:p>
        </w:tc>
        <w:tc>
          <w:tcPr>
            <w:tcW w:w="2020" w:type="dxa"/>
            <w:vAlign w:val="bottom"/>
          </w:tcPr>
          <w:p>
            <w:pPr>
              <w:ind w:left="126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Haushill</w:t>
            </w:r>
          </w:p>
        </w:tc>
      </w:tr>
      <w:tr>
        <w:trPr>
          <w:trHeight w:val="222"/>
        </w:trPr>
        <w:tc>
          <w:tcPr>
            <w:tcW w:w="7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rPr>
              <w:t>Name:</w:t>
            </w:r>
          </w:p>
        </w:tc>
        <w:tc>
          <w:tcPr>
            <w:tcW w:w="5480" w:type="dxa"/>
            <w:vAlign w:val="bottom"/>
          </w:tcPr>
          <w:p>
            <w:pPr>
              <w:ind w:left="20"/>
              <w:spacing w:after="0"/>
              <w:rPr>
                <w:sz w:val="20"/>
                <w:szCs w:val="20"/>
                <w:color w:val="auto"/>
              </w:rPr>
            </w:pPr>
            <w:r>
              <w:rPr>
                <w:rFonts w:ascii="Arial" w:cs="Arial" w:eastAsia="Arial" w:hAnsi="Arial"/>
                <w:sz w:val="18"/>
                <w:szCs w:val="18"/>
                <w:color w:val="auto"/>
              </w:rPr>
              <w:t>Mark Haushill</w:t>
            </w:r>
          </w:p>
        </w:tc>
      </w:tr>
      <w:tr>
        <w:trPr>
          <w:trHeight w:val="230"/>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rPr>
              <w:t>Title:</w:t>
            </w:r>
          </w:p>
        </w:tc>
        <w:tc>
          <w:tcPr>
            <w:tcW w:w="5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1"/>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3"/>
    </w:lvl>
  </w:abstractNum>
  <w:abstractNum w:abstractNumId="15">
    <w:nsid w:val="79838CB2"/>
    <w:multiLevelType w:val="hybridMultilevel"/>
    <w:lvl w:ilvl="0">
      <w:lvlJc w:val="left"/>
      <w:lvlText w:val="%1."/>
      <w:numFmt w:val="decimal"/>
      <w:start w:val="14"/>
    </w:lvl>
  </w:abstractNum>
  <w:abstractNum w:abstractNumId="16">
    <w:nsid w:val="4353D0CD"/>
    <w:multiLevelType w:val="hybridMultilevel"/>
    <w:lvl w:ilvl="0">
      <w:lvlJc w:val="left"/>
      <w:lvlText w:val="%1."/>
      <w:numFmt w:val="decimal"/>
      <w:start w:val="15"/>
    </w:lvl>
  </w:abstractNum>
  <w:abstractNum w:abstractNumId="17">
    <w:nsid w:val="B03E0C6"/>
    <w:multiLevelType w:val="hybridMultilevel"/>
    <w:lvl w:ilvl="0">
      <w:lvlJc w:val="left"/>
      <w:lvlText w:val="%1."/>
      <w:numFmt w:val="decimal"/>
      <w:start w:val="16"/>
    </w:lvl>
  </w:abstractNum>
  <w:abstractNum w:abstractNumId="18">
    <w:nsid w:val="189A769B"/>
    <w:multiLevelType w:val="hybridMultilevel"/>
    <w:lvl w:ilvl="0">
      <w:lvlJc w:val="left"/>
      <w:lvlText w:val="%1."/>
      <w:numFmt w:val="decimal"/>
      <w:start w:val="17"/>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lvl w:ilvl="1">
      <w:lvlJc w:val="left"/>
      <w:lvlText w:val="%2"/>
      <w:numFmt w:val="decimal"/>
      <w:start w:val="104"/>
    </w:lvl>
  </w:abstractNum>
  <w:abstractNum w:abstractNumId="30">
    <w:nsid w:val="22221A70"/>
    <w:multiLevelType w:val="hybridMultilevel"/>
    <w:lvl w:ilvl="0">
      <w:lvlJc w:val="left"/>
      <w:lvlText w:val="(%1)"/>
      <w:numFmt w:val="lowerLetter"/>
      <w:start w:val="2"/>
    </w:lvl>
    <w:lvl w:ilvl="1">
      <w:lvlJc w:val="left"/>
      <w:lvlText w:val="%2"/>
      <w:numFmt w:val="decimal"/>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88" Type="http://schemas.openxmlformats.org/officeDocument/2006/relationships/hyperlink" Target="https://www.sec.gov/Archives/edgar/data/1519449/000110465923004624/tm233575d1_ex3-1.htm" TargetMode="External"/><Relationship Id="rId89" Type="http://schemas.openxmlformats.org/officeDocument/2006/relationships/hyperlink" Target="https://www.sec.gov/Archives/edgar/data/1519449/000110465923004624/tm233575d1_ex3-2.htm" TargetMode="External"/><Relationship Id="rId90" Type="http://schemas.openxmlformats.org/officeDocument/2006/relationships/hyperlink" Target="https://www.sec.gov/Archives/edgar/data/1519449/000110465922117762/tm228594d1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2023-11-09T10:59:56Z</dcterms:created>
  <dcterms:modified xsi:type="dcterms:W3CDTF">2023-11-09T10:59:56Z</dcterms:modified>
</cp:coreProperties>
</file>