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Skyward Specialty Insurance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831,378.00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831,378.00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831,378.00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Skyward Specialty Insurance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800 GESSNER, SUITE 600, HOUSTON, TX 77024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80"/>
        <w:spacing w:after="0" w:line="253" w:lineRule="auto"/>
        <w:rPr>
          <w:sz w:val="20"/>
          <w:szCs w:val="20"/>
          <w:color w:val="auto"/>
        </w:rPr>
      </w:pPr>
      <w:r>
        <w:rPr>
          <w:rFonts w:ascii="Times New Roman" w:cs="Times New Roman" w:eastAsia="Times New Roman" w:hAnsi="Times New Roman"/>
          <w:sz w:val="21"/>
          <w:szCs w:val="21"/>
          <w:color w:val="auto"/>
        </w:rPr>
        <w:t>831,378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33" w:lineRule="auto"/>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831,378 shares or 1.9% of the 44,543,065 shares believed to be outstanding.</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1.9 %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831,378</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831,378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2026-05-14T11:54:59Z</dcterms:created>
  <dcterms:modified xsi:type="dcterms:W3CDTF">2026-05-14T11:54:59Z</dcterms:modified>
</cp:coreProperties>
</file>